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749C7CF8" w:rsidR="00E03E1D" w:rsidRPr="0067142E" w:rsidRDefault="00E03E1D" w:rsidP="00E03E1D">
      <w:pPr>
        <w:tabs>
          <w:tab w:val="right" w:pos="9216"/>
        </w:tabs>
        <w:jc w:val="left"/>
        <w:rPr>
          <w:rFonts w:cs="Times New Roman"/>
          <w:b/>
          <w:kern w:val="2"/>
          <w:lang w:val="en-GB"/>
        </w:rPr>
      </w:pPr>
      <w:r w:rsidRPr="0067142E">
        <w:rPr>
          <w:rFonts w:cs="Times New Roman"/>
          <w:b/>
          <w:kern w:val="2"/>
          <w:lang w:val="en-GB"/>
        </w:rPr>
        <w:t xml:space="preserve">3GPP TSG RAN WG1 </w:t>
      </w:r>
      <w:r w:rsidR="0004513C">
        <w:rPr>
          <w:rFonts w:cs="Times New Roman"/>
          <w:b/>
          <w:kern w:val="2"/>
          <w:lang w:val="en-GB"/>
        </w:rPr>
        <w:t>M</w:t>
      </w:r>
      <w:r w:rsidR="0012321A">
        <w:rPr>
          <w:rFonts w:cs="Times New Roman"/>
          <w:b/>
          <w:kern w:val="2"/>
          <w:lang w:val="en-GB"/>
        </w:rPr>
        <w:t xml:space="preserve">eeting </w:t>
      </w:r>
      <w:r w:rsidRPr="0067142E">
        <w:rPr>
          <w:rFonts w:cs="Times New Roman"/>
          <w:b/>
          <w:kern w:val="2"/>
          <w:lang w:val="en-GB"/>
        </w:rPr>
        <w:t>#10</w:t>
      </w:r>
      <w:r w:rsidR="00832C80">
        <w:rPr>
          <w:rFonts w:cs="Times New Roman"/>
          <w:b/>
          <w:kern w:val="2"/>
          <w:lang w:val="en-GB"/>
        </w:rPr>
        <w:t>7</w:t>
      </w:r>
      <w:r w:rsidRPr="0067142E">
        <w:rPr>
          <w:rFonts w:cs="Times New Roman"/>
          <w:b/>
          <w:kern w:val="2"/>
          <w:lang w:val="en-GB"/>
        </w:rPr>
        <w:t>-e</w:t>
      </w:r>
      <w:r w:rsidRPr="0067142E">
        <w:rPr>
          <w:rFonts w:cs="Times New Roman"/>
          <w:b/>
          <w:kern w:val="2"/>
          <w:lang w:val="en-GB"/>
        </w:rPr>
        <w:tab/>
      </w:r>
      <w:r w:rsidR="00465C6F" w:rsidRPr="00465C6F">
        <w:rPr>
          <w:rFonts w:cs="Times New Roman"/>
          <w:b/>
          <w:kern w:val="2"/>
          <w:lang w:val="en-GB"/>
        </w:rPr>
        <w:t>R1-2110781</w:t>
      </w:r>
    </w:p>
    <w:p w14:paraId="44443533" w14:textId="600DFDA0" w:rsidR="00E03E1D" w:rsidRPr="0067142E" w:rsidRDefault="00474336" w:rsidP="00E03E1D">
      <w:pPr>
        <w:tabs>
          <w:tab w:val="right" w:pos="9216"/>
        </w:tabs>
        <w:spacing w:afterLines="50" w:after="156"/>
        <w:jc w:val="left"/>
        <w:rPr>
          <w:rFonts w:cs="Times New Roman"/>
          <w:b/>
          <w:kern w:val="2"/>
          <w:lang w:val="en-GB"/>
        </w:rPr>
      </w:pPr>
      <w:proofErr w:type="gramStart"/>
      <w:r w:rsidRPr="00A12954">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proofErr w:type="gramEnd"/>
      <w:r w:rsidR="00E03E1D" w:rsidRPr="0067142E">
        <w:rPr>
          <w:rFonts w:cs="Times New Roman"/>
          <w:b/>
          <w:kern w:val="2"/>
        </w:rPr>
        <w:t xml:space="preserve">, </w:t>
      </w:r>
      <w:r w:rsidR="00832C80">
        <w:rPr>
          <w:rFonts w:cs="Times New Roman"/>
          <w:b/>
          <w:kern w:val="2"/>
        </w:rPr>
        <w:t>November</w:t>
      </w:r>
      <w:r w:rsidR="00E03E1D" w:rsidRPr="0067142E">
        <w:rPr>
          <w:rFonts w:cs="Times New Roman"/>
          <w:b/>
          <w:kern w:val="2"/>
        </w:rPr>
        <w:t xml:space="preserve"> </w:t>
      </w:r>
      <w:r w:rsidR="00202D72">
        <w:rPr>
          <w:rFonts w:cs="Times New Roman"/>
          <w:b/>
          <w:kern w:val="2"/>
        </w:rPr>
        <w:t>11</w:t>
      </w:r>
      <w:r w:rsidR="00CF7D8E" w:rsidRPr="00AC2719">
        <w:rPr>
          <w:rFonts w:cs="Times New Roman"/>
          <w:b/>
          <w:kern w:val="2"/>
          <w:vertAlign w:val="superscript"/>
        </w:rPr>
        <w:t>th</w:t>
      </w:r>
      <w:r w:rsidR="00CF7D8E">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202D72">
        <w:rPr>
          <w:rFonts w:cs="Times New Roman"/>
          <w:b/>
          <w:kern w:val="2"/>
        </w:rPr>
        <w:t>19</w:t>
      </w:r>
      <w:r w:rsidR="0048744D"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t>8.1.1</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0AC55E54"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t>Enhanc</w:t>
      </w:r>
      <w:r w:rsidR="00BF1F5C">
        <w:rPr>
          <w:rFonts w:cs="Times New Roman"/>
          <w:b/>
          <w:kern w:val="2"/>
          <w:lang w:val="en-GB"/>
        </w:rPr>
        <w:t>ements on multi-beam operation</w:t>
      </w:r>
      <w:r w:rsidR="00DB6A3F">
        <w:rPr>
          <w:rFonts w:cs="Times New Roman"/>
          <w:b/>
          <w:kern w:val="2"/>
          <w:lang w:val="en-GB"/>
        </w:rPr>
        <w:t xml:space="preserve"> in Rel</w:t>
      </w:r>
      <w:r w:rsidR="00DB6A3F">
        <w:rPr>
          <w:rFonts w:asciiTheme="minorEastAsia" w:eastAsiaTheme="minorEastAsia" w:hAnsiTheme="minorEastAsia" w:cs="Times New Roman" w:hint="eastAsia"/>
          <w:b/>
          <w:kern w:val="2"/>
          <w:lang w:val="en-GB"/>
        </w:rPr>
        <w:t>-</w:t>
      </w:r>
      <w:r w:rsidR="00DB6A3F">
        <w:rPr>
          <w:rFonts w:cs="Times New Roman"/>
          <w:b/>
          <w:kern w:val="2"/>
          <w:lang w:val="en-GB"/>
        </w:rPr>
        <w:t>17</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14FDF23F" w14:textId="23BCFA25" w:rsidR="00152655" w:rsidRPr="006E0154" w:rsidRDefault="00E03E1D" w:rsidP="00E03E1D">
      <w:pPr>
        <w:rPr>
          <w:rFonts w:eastAsiaTheme="minorEastAsia" w:cs="Times New Roman"/>
          <w:kern w:val="2"/>
          <w:lang w:val="en-GB"/>
        </w:rPr>
      </w:pPr>
      <w:r w:rsidRPr="0067142E">
        <w:rPr>
          <w:rFonts w:cs="Times New Roman"/>
          <w:kern w:val="2"/>
          <w:lang w:val="en-GB"/>
        </w:rPr>
        <w:t>In this paper, we provide our views on enhancements for multi-beam operation.</w:t>
      </w:r>
    </w:p>
    <w:p w14:paraId="35C5D8BC" w14:textId="31996AD4" w:rsidR="00CF100E" w:rsidRDefault="00731BC7" w:rsidP="00CF100E">
      <w:pPr>
        <w:pStyle w:val="1"/>
        <w:rPr>
          <w:szCs w:val="20"/>
        </w:rPr>
      </w:pPr>
      <w:r>
        <w:rPr>
          <w:szCs w:val="20"/>
          <w:lang w:eastAsia="zh-CN"/>
        </w:rPr>
        <w:t>RRC parameters for u</w:t>
      </w:r>
      <w:r w:rsidR="00CF100E" w:rsidRPr="0067142E">
        <w:rPr>
          <w:szCs w:val="20"/>
        </w:rPr>
        <w:t>nified TCI</w:t>
      </w:r>
    </w:p>
    <w:p w14:paraId="0946AE37" w14:textId="3E1AD948" w:rsidR="00141EE7" w:rsidRPr="00A12954" w:rsidRDefault="00AE7CD8" w:rsidP="00731BC7">
      <w:pPr>
        <w:pStyle w:val="2"/>
        <w:rPr>
          <w:lang w:val="en-GB"/>
        </w:rPr>
      </w:pPr>
      <w:r>
        <w:rPr>
          <w:lang w:val="en-GB"/>
        </w:rPr>
        <w:t>CSI-RS following PDCCH</w:t>
      </w:r>
    </w:p>
    <w:p w14:paraId="77962FEC" w14:textId="2FBDEB3E" w:rsidR="00141EE7" w:rsidRPr="00821428" w:rsidRDefault="0098444B" w:rsidP="00141EE7">
      <w:pPr>
        <w:spacing w:beforeLines="50" w:before="156"/>
        <w:rPr>
          <w:lang w:val="en-GB"/>
        </w:rPr>
      </w:pPr>
      <w:r>
        <w:rPr>
          <w:rFonts w:eastAsiaTheme="minorEastAsia" w:hint="eastAsia"/>
          <w:lang w:val="en-GB"/>
        </w:rPr>
        <w:t>I</w:t>
      </w:r>
      <w:r>
        <w:rPr>
          <w:rFonts w:eastAsiaTheme="minorEastAsia"/>
          <w:lang w:val="en-GB"/>
        </w:rPr>
        <w:t xml:space="preserve">t was agreed that </w:t>
      </w:r>
      <w:r w:rsidR="00AE7CD8">
        <w:rPr>
          <w:rFonts w:eastAsiaTheme="minorEastAsia"/>
          <w:lang w:val="en-GB"/>
        </w:rPr>
        <w:t>aperiodic CSI-RS for BM or CSI can be configured to follow the TCI state indicated for PDCCH/PDSCH reception</w:t>
      </w:r>
      <w:r w:rsidR="00141EE7" w:rsidRPr="00CD0D5E">
        <w:rPr>
          <w:lang w:val="en-GB"/>
        </w:rPr>
        <w:t>, but did not mention how to p</w:t>
      </w:r>
      <w:r>
        <w:rPr>
          <w:lang w:val="en-GB"/>
        </w:rPr>
        <w:t>rovide such configuration to UE. I</w:t>
      </w:r>
      <w:r w:rsidR="00141EE7" w:rsidRPr="00CD0D5E">
        <w:rPr>
          <w:lang w:val="en-GB"/>
        </w:rPr>
        <w:t xml:space="preserve">t seems natural to have an explicit RRC flag </w:t>
      </w:r>
      <w:r>
        <w:rPr>
          <w:lang w:val="en-GB"/>
        </w:rPr>
        <w:t xml:space="preserve">configured in the RS resource configuration </w:t>
      </w:r>
      <w:r w:rsidR="00141EE7" w:rsidRPr="00CD0D5E">
        <w:rPr>
          <w:lang w:val="en-GB"/>
        </w:rPr>
        <w:t>for this purpose</w:t>
      </w:r>
      <w:r w:rsidR="00141EE7">
        <w:rPr>
          <w:lang w:val="en-GB"/>
        </w:rPr>
        <w:t xml:space="preserve">. So, we suggest adding an </w:t>
      </w:r>
      <w:r w:rsidR="00141EE7" w:rsidRPr="009755C9">
        <w:rPr>
          <w:lang w:val="en-GB"/>
        </w:rPr>
        <w:t xml:space="preserve">RRC flag to indicate whether </w:t>
      </w:r>
      <w:r w:rsidR="00AE7CD8">
        <w:rPr>
          <w:lang w:val="en-GB"/>
        </w:rPr>
        <w:t>an aperiodic CSI-RS for BM or CSI</w:t>
      </w:r>
      <w:r w:rsidR="00141EE7" w:rsidRPr="009755C9">
        <w:rPr>
          <w:lang w:val="en-GB"/>
        </w:rPr>
        <w:t xml:space="preserve"> should follow the same indicated TCI state as PDCCH</w:t>
      </w:r>
      <w:r w:rsidR="00141EE7">
        <w:rPr>
          <w:lang w:val="en-GB"/>
        </w:rPr>
        <w:t>/</w:t>
      </w:r>
      <w:r w:rsidR="00141EE7" w:rsidRPr="009755C9">
        <w:rPr>
          <w:lang w:val="en-GB"/>
        </w:rPr>
        <w:t>PDSCH on the same CC</w:t>
      </w:r>
      <w:r w:rsidR="00141EE7">
        <w:rPr>
          <w:lang w:val="en-GB"/>
        </w:rPr>
        <w:t>.</w:t>
      </w:r>
    </w:p>
    <w:p w14:paraId="7C3AA674" w14:textId="77777777" w:rsidR="00141EE7" w:rsidRPr="00A12954" w:rsidRDefault="00141EE7" w:rsidP="00731BC7">
      <w:pPr>
        <w:pStyle w:val="2"/>
        <w:rPr>
          <w:lang w:val="en-GB"/>
        </w:rPr>
      </w:pPr>
      <w:r w:rsidRPr="00A12954">
        <w:rPr>
          <w:lang w:val="en-GB"/>
        </w:rPr>
        <w:t>QCL type for joint TCI</w:t>
      </w:r>
    </w:p>
    <w:p w14:paraId="7110AFAA" w14:textId="3F65F483" w:rsidR="00141EE7" w:rsidRDefault="00141EE7" w:rsidP="00141EE7">
      <w:pPr>
        <w:snapToGrid w:val="0"/>
        <w:spacing w:after="160" w:line="256" w:lineRule="auto"/>
        <w:rPr>
          <w:rFonts w:eastAsiaTheme="minorEastAsia"/>
        </w:rPr>
      </w:pPr>
      <w:r>
        <w:rPr>
          <w:rFonts w:eastAsiaTheme="minorEastAsia"/>
        </w:rPr>
        <w:t>In</w:t>
      </w:r>
      <w:r w:rsidRPr="00CB5358">
        <w:rPr>
          <w:rFonts w:eastAsiaTheme="minorEastAsia"/>
        </w:rPr>
        <w:t xml:space="preserve"> Rel-17, DL</w:t>
      </w:r>
      <w:r>
        <w:rPr>
          <w:rFonts w:eastAsiaTheme="minorEastAsia"/>
        </w:rPr>
        <w:t>-only</w:t>
      </w:r>
      <w:r w:rsidRPr="00CB5358">
        <w:rPr>
          <w:rFonts w:eastAsiaTheme="minorEastAsia"/>
        </w:rPr>
        <w:t xml:space="preserve"> TCI state can be configured with legacy QCL </w:t>
      </w:r>
      <w:proofErr w:type="spellStart"/>
      <w:r w:rsidRPr="00CB5358">
        <w:rPr>
          <w:rFonts w:eastAsiaTheme="minorEastAsia"/>
        </w:rPr>
        <w:t>TypeD</w:t>
      </w:r>
      <w:proofErr w:type="spellEnd"/>
      <w:r>
        <w:rPr>
          <w:rFonts w:eastAsiaTheme="minorEastAsia"/>
        </w:rPr>
        <w:t>, while UL-only TCI state can be configured with UL spatial relation.</w:t>
      </w:r>
      <w:r w:rsidRPr="00CB5358">
        <w:rPr>
          <w:rFonts w:eastAsiaTheme="minorEastAsia"/>
        </w:rPr>
        <w:t xml:space="preserve"> However, for joint TCI state, using QCL </w:t>
      </w:r>
      <w:proofErr w:type="spellStart"/>
      <w:r>
        <w:rPr>
          <w:rFonts w:eastAsiaTheme="minorEastAsia"/>
        </w:rPr>
        <w:t>T</w:t>
      </w:r>
      <w:r w:rsidRPr="00CB5358">
        <w:rPr>
          <w:rFonts w:eastAsiaTheme="minorEastAsia"/>
        </w:rPr>
        <w:t>ypeD</w:t>
      </w:r>
      <w:proofErr w:type="spellEnd"/>
      <w:r w:rsidRPr="00CB5358">
        <w:rPr>
          <w:rFonts w:eastAsiaTheme="minorEastAsia"/>
        </w:rPr>
        <w:t xml:space="preserve"> to </w:t>
      </w:r>
      <w:r>
        <w:rPr>
          <w:rFonts w:eastAsiaTheme="minorEastAsia"/>
        </w:rPr>
        <w:t>additionally describe</w:t>
      </w:r>
      <w:r w:rsidRPr="00CB5358">
        <w:rPr>
          <w:rFonts w:eastAsiaTheme="minorEastAsia"/>
        </w:rPr>
        <w:t xml:space="preserve"> the UL T</w:t>
      </w:r>
      <w:r>
        <w:rPr>
          <w:rFonts w:eastAsiaTheme="minorEastAsia"/>
        </w:rPr>
        <w:t>X</w:t>
      </w:r>
      <w:r w:rsidRPr="00CB5358">
        <w:rPr>
          <w:rFonts w:eastAsiaTheme="minorEastAsia"/>
        </w:rPr>
        <w:t xml:space="preserve"> filter </w:t>
      </w:r>
      <w:r>
        <w:rPr>
          <w:rFonts w:eastAsiaTheme="minorEastAsia"/>
        </w:rPr>
        <w:t xml:space="preserve">may lead to confusion on what QCL </w:t>
      </w:r>
      <w:proofErr w:type="spellStart"/>
      <w:r>
        <w:rPr>
          <w:rFonts w:eastAsiaTheme="minorEastAsia"/>
        </w:rPr>
        <w:t>TypeD</w:t>
      </w:r>
      <w:proofErr w:type="spellEnd"/>
      <w:r>
        <w:rPr>
          <w:rFonts w:eastAsiaTheme="minorEastAsia"/>
        </w:rPr>
        <w:t xml:space="preserve"> actually means, or lead to complicated specification descriptions (repeating the statement that source RS for QCL </w:t>
      </w:r>
      <w:proofErr w:type="spellStart"/>
      <w:r>
        <w:rPr>
          <w:rFonts w:eastAsiaTheme="minorEastAsia"/>
        </w:rPr>
        <w:t>TypeD</w:t>
      </w:r>
      <w:proofErr w:type="spellEnd"/>
      <w:r>
        <w:rPr>
          <w:rFonts w:eastAsiaTheme="minorEastAsia"/>
        </w:rPr>
        <w:t xml:space="preserve"> is used to determine the spatial relation</w:t>
      </w:r>
      <w:r w:rsidR="00F97FC6">
        <w:rPr>
          <w:rFonts w:eastAsiaTheme="minorEastAsia"/>
        </w:rPr>
        <w:t xml:space="preserve"> as in Rel-16</w:t>
      </w:r>
      <w:r>
        <w:rPr>
          <w:rFonts w:eastAsiaTheme="minorEastAsia"/>
        </w:rPr>
        <w:t xml:space="preserve">). For simplicity, we suggest adding a new QCL type for joint TCI indication – capturing both spatial Rx parameters and spatial </w:t>
      </w:r>
      <w:proofErr w:type="spellStart"/>
      <w:proofErr w:type="gramStart"/>
      <w:r>
        <w:rPr>
          <w:rFonts w:eastAsiaTheme="minorEastAsia"/>
        </w:rPr>
        <w:t>Tx</w:t>
      </w:r>
      <w:proofErr w:type="spellEnd"/>
      <w:proofErr w:type="gramEnd"/>
      <w:r>
        <w:rPr>
          <w:rFonts w:eastAsiaTheme="minorEastAsia"/>
        </w:rPr>
        <w:t xml:space="preserve"> parameters.</w:t>
      </w:r>
    </w:p>
    <w:p w14:paraId="283012F5" w14:textId="77777777" w:rsidR="00141EE7" w:rsidRPr="00A12954" w:rsidRDefault="00141EE7" w:rsidP="00731BC7">
      <w:pPr>
        <w:pStyle w:val="2"/>
        <w:rPr>
          <w:lang w:val="en-GB"/>
        </w:rPr>
      </w:pPr>
      <w:r w:rsidRPr="00A12954">
        <w:rPr>
          <w:lang w:val="en-GB"/>
        </w:rPr>
        <w:t>Switch between joint</w:t>
      </w:r>
      <w:r>
        <w:rPr>
          <w:lang w:val="en-GB"/>
        </w:rPr>
        <w:t>/</w:t>
      </w:r>
      <w:r w:rsidRPr="00A12954">
        <w:rPr>
          <w:lang w:val="en-GB"/>
        </w:rPr>
        <w:t xml:space="preserve">separate TCI </w:t>
      </w:r>
    </w:p>
    <w:p w14:paraId="575400C4" w14:textId="580051F6" w:rsidR="00141EE7" w:rsidRDefault="00141EE7" w:rsidP="00141EE7">
      <w:pPr>
        <w:snapToGrid w:val="0"/>
        <w:spacing w:after="160" w:line="256" w:lineRule="auto"/>
        <w:rPr>
          <w:rFonts w:eastAsiaTheme="minorEastAsia"/>
        </w:rPr>
      </w:pPr>
      <w:r>
        <w:rPr>
          <w:rFonts w:eastAsiaTheme="minorEastAsia"/>
        </w:rPr>
        <w:t xml:space="preserve">In RAN1#105e, there was a conclusion on switch between joint TCI and separate DL/UL TCI. According to the conclusion, a UE can be configured with both joint TCI and separate DL/UL TCI. Then, the switch between joint TCI and separate DL/UL TCI is based on RRC signaling. In this case, it </w:t>
      </w:r>
      <w:r w:rsidR="00F97FC6">
        <w:rPr>
          <w:rFonts w:eastAsiaTheme="minorEastAsia"/>
        </w:rPr>
        <w:t>is</w:t>
      </w:r>
      <w:r>
        <w:rPr>
          <w:rFonts w:eastAsiaTheme="minorEastAsia"/>
        </w:rPr>
        <w:t xml:space="preserve"> natural to have an RRC switch on whether joint TCI or separate DL/UL TCI is to be applied (for MAC-CE activation and subsequent DCI indication). So, we propose to add an RRC switch between joint TCI and separate DL/UL TCI</w:t>
      </w:r>
      <w:r w:rsidR="004E5F53">
        <w:rPr>
          <w:rFonts w:eastAsiaTheme="minorEastAsia"/>
        </w:rPr>
        <w:t xml:space="preserve"> in case of both types of TCI state were configured for a UE</w:t>
      </w:r>
      <w:r>
        <w:rPr>
          <w:rFonts w:eastAsiaTheme="minorEastAsia"/>
        </w:rPr>
        <w:t xml:space="preserve">. </w:t>
      </w:r>
    </w:p>
    <w:tbl>
      <w:tblPr>
        <w:tblStyle w:val="a6"/>
        <w:tblW w:w="9209" w:type="dxa"/>
        <w:tblLook w:val="04A0" w:firstRow="1" w:lastRow="0" w:firstColumn="1" w:lastColumn="0" w:noHBand="0" w:noVBand="1"/>
      </w:tblPr>
      <w:tblGrid>
        <w:gridCol w:w="9209"/>
      </w:tblGrid>
      <w:tr w:rsidR="00141EE7" w14:paraId="47265CA2" w14:textId="77777777" w:rsidTr="001412F1">
        <w:tc>
          <w:tcPr>
            <w:tcW w:w="9209" w:type="dxa"/>
          </w:tcPr>
          <w:p w14:paraId="4CAE4F25" w14:textId="77777777" w:rsidR="00141EE7" w:rsidRPr="004B104A" w:rsidRDefault="00141EE7" w:rsidP="004C0408">
            <w:pPr>
              <w:pStyle w:val="xmsonormal"/>
              <w:snapToGrid w:val="0"/>
              <w:spacing w:before="0" w:beforeAutospacing="0" w:after="0" w:afterAutospacing="0"/>
              <w:jc w:val="both"/>
              <w:rPr>
                <w:b/>
                <w:sz w:val="20"/>
                <w:szCs w:val="20"/>
              </w:rPr>
            </w:pPr>
            <w:r w:rsidRPr="004B104A">
              <w:rPr>
                <w:b/>
                <w:sz w:val="20"/>
                <w:szCs w:val="20"/>
              </w:rPr>
              <w:t>Conclusion</w:t>
            </w:r>
          </w:p>
          <w:p w14:paraId="561F2684" w14:textId="77777777" w:rsidR="00141EE7" w:rsidRPr="004B104A" w:rsidRDefault="00141EE7" w:rsidP="004C0408">
            <w:pPr>
              <w:pStyle w:val="xmsonormal"/>
              <w:snapToGrid w:val="0"/>
              <w:spacing w:before="0" w:beforeAutospacing="0" w:after="0" w:afterAutospacing="0"/>
              <w:jc w:val="both"/>
              <w:rPr>
                <w:sz w:val="20"/>
                <w:szCs w:val="20"/>
              </w:rPr>
            </w:pPr>
            <w:r w:rsidRPr="004B104A">
              <w:rPr>
                <w:sz w:val="20"/>
                <w:szCs w:val="20"/>
              </w:rPr>
              <w:t xml:space="preserve">On Rel-17 unified TCI framework, for a UE configured with both joint TCI and separate DL/UL TCI, configuration of joint TCI or separate DL/UL TCI is based on RRC signaling </w:t>
            </w:r>
          </w:p>
          <w:p w14:paraId="04157B43" w14:textId="77777777" w:rsidR="00141EE7" w:rsidRPr="004B104A" w:rsidRDefault="00141EE7" w:rsidP="00631BF2">
            <w:pPr>
              <w:pStyle w:val="a3"/>
              <w:numPr>
                <w:ilvl w:val="0"/>
                <w:numId w:val="11"/>
              </w:numPr>
              <w:snapToGrid w:val="0"/>
              <w:ind w:firstLineChars="0"/>
            </w:pPr>
            <w:r w:rsidRPr="004B104A">
              <w:rPr>
                <w:rFonts w:eastAsia="宋体" w:cs="Times New Roman"/>
                <w:sz w:val="20"/>
                <w:szCs w:val="20"/>
              </w:rPr>
              <w:t xml:space="preserve">There is no consensus in RAN1 on how to support dynamic switching (either MAC-CE or </w:t>
            </w:r>
            <w:proofErr w:type="spellStart"/>
            <w:r w:rsidRPr="004B104A">
              <w:rPr>
                <w:rFonts w:eastAsia="宋体" w:cs="Times New Roman"/>
                <w:sz w:val="20"/>
                <w:szCs w:val="20"/>
              </w:rPr>
              <w:t>codepoint</w:t>
            </w:r>
            <w:proofErr w:type="spellEnd"/>
            <w:r w:rsidRPr="004B104A">
              <w:rPr>
                <w:rFonts w:eastAsia="宋体" w:cs="Times New Roman"/>
                <w:sz w:val="20"/>
                <w:szCs w:val="20"/>
              </w:rPr>
              <w:t xml:space="preserve"> based)</w:t>
            </w:r>
          </w:p>
        </w:tc>
      </w:tr>
    </w:tbl>
    <w:p w14:paraId="2F6584A0" w14:textId="77777777" w:rsidR="00141EE7" w:rsidRDefault="00141EE7" w:rsidP="00141EE7">
      <w:pPr>
        <w:snapToGrid w:val="0"/>
        <w:spacing w:after="160" w:line="256" w:lineRule="auto"/>
        <w:rPr>
          <w:rFonts w:eastAsiaTheme="minorEastAsia"/>
        </w:rPr>
      </w:pPr>
      <w:r>
        <w:rPr>
          <w:rFonts w:eastAsiaTheme="minorEastAsia"/>
        </w:rPr>
        <w:t>With above discussions, we propose the following:</w:t>
      </w:r>
    </w:p>
    <w:p w14:paraId="649DBAC6" w14:textId="7698027B" w:rsidR="00141EE7" w:rsidRPr="00B87393" w:rsidRDefault="00141EE7" w:rsidP="00B87393">
      <w:pPr>
        <w:spacing w:beforeLines="50" w:before="156"/>
        <w:rPr>
          <w:b/>
          <w:i/>
        </w:rPr>
      </w:pPr>
      <w:r w:rsidRPr="00B87393">
        <w:rPr>
          <w:b/>
          <w:i/>
        </w:rPr>
        <w:t xml:space="preserve">Proposal </w:t>
      </w:r>
      <w:r w:rsidR="00C13E50" w:rsidRPr="00B87393">
        <w:rPr>
          <w:b/>
          <w:i/>
        </w:rPr>
        <w:t>2</w:t>
      </w:r>
      <w:r w:rsidRPr="00B87393">
        <w:rPr>
          <w:b/>
          <w:i/>
        </w:rPr>
        <w:t>-1: Adopt the following changes on RRC parameters for multi-beam enhancements:</w:t>
      </w:r>
    </w:p>
    <w:p w14:paraId="1213372B" w14:textId="77777777" w:rsidR="00141EE7" w:rsidRPr="00A12954" w:rsidRDefault="00141EE7" w:rsidP="00631BF2">
      <w:pPr>
        <w:pStyle w:val="a3"/>
        <w:numPr>
          <w:ilvl w:val="0"/>
          <w:numId w:val="11"/>
        </w:numPr>
        <w:ind w:firstLineChars="0"/>
        <w:rPr>
          <w:rFonts w:eastAsiaTheme="minorEastAsia"/>
          <w:b/>
          <w:i/>
          <w:lang w:val="en-GB"/>
        </w:rPr>
      </w:pPr>
      <w:r>
        <w:rPr>
          <w:b/>
          <w:i/>
          <w:iCs/>
        </w:rPr>
        <w:t xml:space="preserve">Add an </w:t>
      </w:r>
      <w:r w:rsidRPr="00A12954">
        <w:rPr>
          <w:b/>
          <w:i/>
          <w:iCs/>
        </w:rPr>
        <w:t>RRC flag to indicate whether aperiodic CSI-RS resources for CSI or BM should follow the same indicated TCI state as PDCCH</w:t>
      </w:r>
      <w:r>
        <w:rPr>
          <w:b/>
          <w:i/>
          <w:iCs/>
        </w:rPr>
        <w:t>/</w:t>
      </w:r>
      <w:r w:rsidRPr="00A12954">
        <w:rPr>
          <w:b/>
          <w:i/>
          <w:iCs/>
        </w:rPr>
        <w:t>PDSCH on the same CC</w:t>
      </w:r>
    </w:p>
    <w:p w14:paraId="06381C0E" w14:textId="77777777" w:rsidR="00141EE7" w:rsidRDefault="00141EE7" w:rsidP="00631BF2">
      <w:pPr>
        <w:pStyle w:val="a3"/>
        <w:numPr>
          <w:ilvl w:val="0"/>
          <w:numId w:val="11"/>
        </w:numPr>
        <w:ind w:firstLineChars="0"/>
        <w:rPr>
          <w:rFonts w:eastAsiaTheme="minorEastAsia"/>
          <w:b/>
          <w:i/>
          <w:lang w:val="en-GB"/>
        </w:rPr>
      </w:pPr>
      <w:r>
        <w:rPr>
          <w:rFonts w:eastAsiaTheme="minorEastAsia"/>
          <w:b/>
          <w:i/>
          <w:lang w:val="en-GB"/>
        </w:rPr>
        <w:t>A</w:t>
      </w:r>
      <w:r w:rsidRPr="009755C9">
        <w:rPr>
          <w:rFonts w:eastAsiaTheme="minorEastAsia"/>
          <w:b/>
          <w:i/>
          <w:lang w:val="en-GB"/>
        </w:rPr>
        <w:t xml:space="preserve">dd a new QCL type for joint TCI indication capturing both spatial Rx parameters and spatial </w:t>
      </w:r>
      <w:proofErr w:type="spellStart"/>
      <w:r w:rsidRPr="009755C9">
        <w:rPr>
          <w:rFonts w:eastAsiaTheme="minorEastAsia"/>
          <w:b/>
          <w:i/>
          <w:lang w:val="en-GB"/>
        </w:rPr>
        <w:t>Tx</w:t>
      </w:r>
      <w:proofErr w:type="spellEnd"/>
      <w:r w:rsidRPr="009755C9">
        <w:rPr>
          <w:rFonts w:eastAsiaTheme="minorEastAsia"/>
          <w:b/>
          <w:i/>
          <w:lang w:val="en-GB"/>
        </w:rPr>
        <w:t xml:space="preserve"> parameters</w:t>
      </w:r>
    </w:p>
    <w:p w14:paraId="3198F7BD" w14:textId="77777777" w:rsidR="00141EE7" w:rsidRDefault="00141EE7" w:rsidP="00631BF2">
      <w:pPr>
        <w:pStyle w:val="a3"/>
        <w:numPr>
          <w:ilvl w:val="0"/>
          <w:numId w:val="11"/>
        </w:numPr>
        <w:ind w:firstLineChars="0"/>
        <w:rPr>
          <w:rFonts w:eastAsiaTheme="minorEastAsia"/>
          <w:b/>
          <w:i/>
          <w:lang w:val="en-GB"/>
        </w:rPr>
      </w:pPr>
      <w:r>
        <w:rPr>
          <w:rFonts w:eastAsiaTheme="minorEastAsia"/>
          <w:b/>
          <w:i/>
          <w:lang w:val="en-GB"/>
        </w:rPr>
        <w:lastRenderedPageBreak/>
        <w:t>A</w:t>
      </w:r>
      <w:r w:rsidRPr="009755C9">
        <w:rPr>
          <w:rFonts w:eastAsiaTheme="minorEastAsia"/>
          <w:b/>
          <w:i/>
          <w:lang w:val="en-GB"/>
        </w:rPr>
        <w:t>dd an RRC switch between joint TCI and separate DL/UL TCI</w:t>
      </w:r>
    </w:p>
    <w:p w14:paraId="12115A40" w14:textId="0026F09D" w:rsidR="00BE4158" w:rsidRDefault="00044AC2" w:rsidP="00BE4158">
      <w:pPr>
        <w:pStyle w:val="2"/>
        <w:rPr>
          <w:lang w:val="en-GB"/>
        </w:rPr>
      </w:pPr>
      <w:r>
        <w:rPr>
          <w:lang w:val="en-GB"/>
        </w:rPr>
        <w:t>SRS following PDCCH</w:t>
      </w:r>
    </w:p>
    <w:p w14:paraId="62A9128D" w14:textId="37B2D4A1" w:rsidR="00044AC2" w:rsidRPr="00044AC2" w:rsidRDefault="00044AC2" w:rsidP="00465C6F">
      <w:pPr>
        <w:rPr>
          <w:rFonts w:eastAsiaTheme="minorEastAsia"/>
          <w:lang w:val="en-GB"/>
        </w:rPr>
      </w:pPr>
      <w:r>
        <w:rPr>
          <w:rFonts w:eastAsiaTheme="minorEastAsia"/>
          <w:lang w:val="en-GB"/>
        </w:rPr>
        <w:t xml:space="preserve">In R16, </w:t>
      </w:r>
      <w:r>
        <w:rPr>
          <w:rFonts w:eastAsiaTheme="minorEastAsia" w:hint="eastAsia"/>
          <w:lang w:val="en-GB"/>
        </w:rPr>
        <w:t>a</w:t>
      </w:r>
      <w:r>
        <w:rPr>
          <w:rFonts w:eastAsiaTheme="minorEastAsia"/>
          <w:lang w:val="en-GB"/>
        </w:rPr>
        <w:t xml:space="preserve">n SRS without spatial relation configured can be set to follow the QCL assumption for the lowest CORESET. To be specific, the Rx beam for receiving the lowest CORESET will be used as </w:t>
      </w:r>
      <w:proofErr w:type="spellStart"/>
      <w:proofErr w:type="gramStart"/>
      <w:r>
        <w:rPr>
          <w:rFonts w:eastAsiaTheme="minorEastAsia"/>
          <w:lang w:val="en-GB"/>
        </w:rPr>
        <w:t>Tx</w:t>
      </w:r>
      <w:proofErr w:type="spellEnd"/>
      <w:proofErr w:type="gramEnd"/>
      <w:r>
        <w:rPr>
          <w:rFonts w:eastAsiaTheme="minorEastAsia"/>
          <w:lang w:val="en-GB"/>
        </w:rPr>
        <w:t xml:space="preserve"> beam for transmitting such SRS. Similar functionality is also desirable under R17 unified TCI framework. So we propose the following:</w:t>
      </w:r>
    </w:p>
    <w:p w14:paraId="515A51E7" w14:textId="7C4147A6" w:rsidR="00FB50E7" w:rsidRPr="00B87393" w:rsidRDefault="00FB50E7" w:rsidP="00B87393">
      <w:pPr>
        <w:spacing w:beforeLines="50" w:before="156"/>
        <w:rPr>
          <w:b/>
          <w:i/>
        </w:rPr>
      </w:pPr>
      <w:r w:rsidRPr="00B87393">
        <w:rPr>
          <w:b/>
          <w:i/>
        </w:rPr>
        <w:t>Proposal 2-2:</w:t>
      </w:r>
      <w:r w:rsidR="00044AC2" w:rsidRPr="00B87393">
        <w:rPr>
          <w:b/>
          <w:i/>
        </w:rPr>
        <w:t xml:space="preserve"> Support configuring aperiodic SRS to follow the </w:t>
      </w:r>
      <w:r w:rsidR="001412F1" w:rsidRPr="00B87393">
        <w:rPr>
          <w:b/>
          <w:i/>
        </w:rPr>
        <w:t xml:space="preserve">joint/DL </w:t>
      </w:r>
      <w:r w:rsidR="00044AC2" w:rsidRPr="00B87393">
        <w:rPr>
          <w:b/>
          <w:i/>
        </w:rPr>
        <w:t>TCI state indicated for PDCCH/PDSCH</w:t>
      </w:r>
      <w:r w:rsidR="00FC0C68" w:rsidRPr="00B87393">
        <w:rPr>
          <w:b/>
          <w:i/>
        </w:rPr>
        <w:t>.</w:t>
      </w:r>
    </w:p>
    <w:p w14:paraId="1BE12F73" w14:textId="224BA399" w:rsidR="00CF100E" w:rsidRDefault="00540C3A" w:rsidP="00CF100E">
      <w:pPr>
        <w:pStyle w:val="1"/>
        <w:rPr>
          <w:lang w:val="en-GB"/>
        </w:rPr>
      </w:pPr>
      <w:r>
        <w:rPr>
          <w:lang w:val="en-GB"/>
        </w:rPr>
        <w:t>I</w:t>
      </w:r>
      <w:r w:rsidR="00CF100E" w:rsidRPr="0067142E">
        <w:rPr>
          <w:lang w:val="en-GB"/>
        </w:rPr>
        <w:t xml:space="preserve">nter-cell </w:t>
      </w:r>
      <w:r>
        <w:rPr>
          <w:lang w:val="en-GB"/>
        </w:rPr>
        <w:t>beam management</w:t>
      </w:r>
    </w:p>
    <w:p w14:paraId="56982082" w14:textId="4B7CD3D3" w:rsidR="00B72ABC" w:rsidRDefault="000C35DF" w:rsidP="00B72ABC">
      <w:pPr>
        <w:pStyle w:val="2"/>
      </w:pPr>
      <w:r>
        <w:t xml:space="preserve">QCL assumption for </w:t>
      </w:r>
      <w:r w:rsidR="00044AC2">
        <w:t>paging</w:t>
      </w:r>
    </w:p>
    <w:p w14:paraId="7EFDDEEC" w14:textId="555557D8" w:rsidR="00BE4170" w:rsidRDefault="00BE4170" w:rsidP="00BE4170">
      <w:pPr>
        <w:rPr>
          <w:szCs w:val="22"/>
        </w:rPr>
      </w:pPr>
      <w:r w:rsidRPr="00BE4170">
        <w:rPr>
          <w:szCs w:val="22"/>
        </w:rPr>
        <w:t>For paging/short messages</w:t>
      </w:r>
      <w:r w:rsidR="00BC7498">
        <w:rPr>
          <w:szCs w:val="22"/>
        </w:rPr>
        <w:t xml:space="preserve"> under inter-cell BM</w:t>
      </w:r>
      <w:r w:rsidRPr="00BE4170">
        <w:rPr>
          <w:szCs w:val="22"/>
        </w:rPr>
        <w:t>, RAN1 discussed three possibilities under Issue 2.3 in</w:t>
      </w:r>
      <w:r>
        <w:rPr>
          <w:szCs w:val="22"/>
        </w:rPr>
        <w:t xml:space="preserve"> [1]</w:t>
      </w:r>
      <w:r w:rsidRPr="00BE4170">
        <w:rPr>
          <w:szCs w:val="22"/>
        </w:rPr>
        <w:t xml:space="preserve">. Given that the design is targeting at CONNECTED mode, we prefer that the UE monitors paging following the TCI state associated with PCI different from the serving cell, i.e., over the beam pair that is actively maintained by the UE. So we support both Alt-1 and Alt-2 below. To cover the cases with both MAC-CE and DCI based TCI indication, we </w:t>
      </w:r>
      <w:r w:rsidR="00BC7498">
        <w:rPr>
          <w:szCs w:val="22"/>
        </w:rPr>
        <w:t xml:space="preserve">also </w:t>
      </w:r>
      <w:r w:rsidRPr="00BE4170">
        <w:rPr>
          <w:szCs w:val="22"/>
        </w:rPr>
        <w:t xml:space="preserve">suggest </w:t>
      </w:r>
      <w:r w:rsidR="00BC7498">
        <w:rPr>
          <w:szCs w:val="22"/>
        </w:rPr>
        <w:t>revising the</w:t>
      </w:r>
      <w:r w:rsidRPr="00BE4170">
        <w:rPr>
          <w:szCs w:val="22"/>
        </w:rPr>
        <w:t xml:space="preserve"> problem formulation</w:t>
      </w:r>
      <w:r w:rsidR="00BC7498">
        <w:rPr>
          <w:szCs w:val="22"/>
        </w:rPr>
        <w:t xml:space="preserve"> as below</w:t>
      </w:r>
      <w:r w:rsidRPr="00BE4170">
        <w:rPr>
          <w:szCs w:val="22"/>
        </w:rPr>
        <w:t>:</w:t>
      </w:r>
    </w:p>
    <w:tbl>
      <w:tblPr>
        <w:tblStyle w:val="a6"/>
        <w:tblW w:w="0" w:type="auto"/>
        <w:tblLook w:val="04A0" w:firstRow="1" w:lastRow="0" w:firstColumn="1" w:lastColumn="0" w:noHBand="0" w:noVBand="1"/>
      </w:tblPr>
      <w:tblGrid>
        <w:gridCol w:w="9016"/>
      </w:tblGrid>
      <w:tr w:rsidR="00BE4170" w14:paraId="1CD49951" w14:textId="77777777" w:rsidTr="00BE4170">
        <w:tc>
          <w:tcPr>
            <w:tcW w:w="9016" w:type="dxa"/>
          </w:tcPr>
          <w:p w14:paraId="230A7160" w14:textId="77777777" w:rsidR="00BE4170" w:rsidRPr="00BE4170" w:rsidRDefault="00BE4170" w:rsidP="00BE4170">
            <w:pPr>
              <w:tabs>
                <w:tab w:val="left" w:pos="1622"/>
              </w:tabs>
              <w:jc w:val="left"/>
              <w:rPr>
                <w:rFonts w:eastAsia="MS Mincho" w:cs="Times New Roman"/>
                <w:b/>
                <w:sz w:val="20"/>
                <w:szCs w:val="24"/>
                <w:lang w:val="en-GB" w:eastAsia="en-GB"/>
              </w:rPr>
            </w:pPr>
            <w:r w:rsidRPr="00BE4170">
              <w:rPr>
                <w:rFonts w:eastAsia="MS Mincho" w:cs="Times New Roman"/>
                <w:b/>
                <w:sz w:val="20"/>
                <w:szCs w:val="24"/>
                <w:lang w:val="en-GB" w:eastAsia="en-GB"/>
              </w:rPr>
              <w:t>Updated formulation for down-selection:</w:t>
            </w:r>
          </w:p>
          <w:p w14:paraId="62AC2526" w14:textId="77777777" w:rsidR="00BE4170" w:rsidRPr="00BE4170" w:rsidRDefault="00BE4170" w:rsidP="00BE4170">
            <w:pPr>
              <w:tabs>
                <w:tab w:val="left" w:pos="1622"/>
              </w:tabs>
              <w:jc w:val="left"/>
              <w:rPr>
                <w:rFonts w:eastAsia="MS Mincho" w:cs="Times New Roman"/>
                <w:sz w:val="20"/>
                <w:szCs w:val="24"/>
                <w:lang w:val="en-GB" w:eastAsia="en-GB"/>
              </w:rPr>
            </w:pPr>
            <w:r w:rsidRPr="00BE4170">
              <w:rPr>
                <w:rFonts w:eastAsia="MS Mincho" w:cs="Times New Roman"/>
                <w:sz w:val="20"/>
                <w:szCs w:val="24"/>
                <w:lang w:val="en-GB" w:eastAsia="en-GB"/>
              </w:rPr>
              <w:t xml:space="preserve">QCL assumption for paging reception after being activated with only one TCI state associated with PCI different from serving cell </w:t>
            </w:r>
            <w:r w:rsidRPr="00BE4170">
              <w:rPr>
                <w:rFonts w:eastAsia="MS Mincho" w:cs="Times New Roman"/>
                <w:color w:val="FF0000"/>
                <w:sz w:val="20"/>
                <w:szCs w:val="24"/>
                <w:lang w:val="en-GB" w:eastAsia="en-GB"/>
              </w:rPr>
              <w:t>by MAC-CE or after being indicated with one TCI state associated with PCI different from serving cell by DCI</w:t>
            </w:r>
          </w:p>
          <w:p w14:paraId="011A0244" w14:textId="77777777" w:rsidR="00BE4170" w:rsidRPr="00BE4170" w:rsidRDefault="00BE4170" w:rsidP="00BE4170">
            <w:pPr>
              <w:tabs>
                <w:tab w:val="left" w:pos="1622"/>
              </w:tabs>
              <w:jc w:val="left"/>
              <w:rPr>
                <w:rFonts w:eastAsia="MS Mincho" w:cs="Times New Roman"/>
                <w:strike/>
                <w:color w:val="FF0000"/>
                <w:sz w:val="20"/>
                <w:szCs w:val="24"/>
                <w:lang w:val="en-GB" w:eastAsia="en-GB"/>
              </w:rPr>
            </w:pPr>
            <w:r w:rsidRPr="00BE4170">
              <w:rPr>
                <w:rFonts w:eastAsia="MS Mincho" w:cs="Times New Roman"/>
                <w:strike/>
                <w:color w:val="FF0000"/>
                <w:sz w:val="20"/>
                <w:szCs w:val="24"/>
                <w:lang w:val="en-GB" w:eastAsia="en-GB"/>
              </w:rPr>
              <w:t>Alt0. UE not required to monitor paging associated with the newly activated TCI state</w:t>
            </w:r>
          </w:p>
          <w:p w14:paraId="5DD5ADEA" w14:textId="77777777" w:rsidR="00BE4170" w:rsidRPr="00BE4170" w:rsidRDefault="00BE4170" w:rsidP="00BE4170">
            <w:pPr>
              <w:tabs>
                <w:tab w:val="left" w:pos="1622"/>
              </w:tabs>
              <w:jc w:val="left"/>
              <w:rPr>
                <w:rFonts w:eastAsia="MS Mincho" w:cs="Times New Roman"/>
                <w:sz w:val="20"/>
                <w:szCs w:val="24"/>
                <w:lang w:val="en-GB" w:eastAsia="en-GB"/>
              </w:rPr>
            </w:pPr>
            <w:r w:rsidRPr="00BE4170">
              <w:rPr>
                <w:rFonts w:eastAsia="MS Mincho" w:cs="Times New Roman"/>
                <w:sz w:val="20"/>
                <w:szCs w:val="24"/>
                <w:lang w:val="en-GB" w:eastAsia="en-GB"/>
              </w:rPr>
              <w:t>Alt1. UE to monitor paging in USS associated with the newly activated TCI state</w:t>
            </w:r>
          </w:p>
          <w:p w14:paraId="289FFDB4" w14:textId="186A9D7F" w:rsidR="00BE4170" w:rsidRPr="00BE4170" w:rsidRDefault="00BE4170" w:rsidP="00BE4170">
            <w:pPr>
              <w:tabs>
                <w:tab w:val="left" w:pos="1622"/>
              </w:tabs>
              <w:jc w:val="left"/>
              <w:rPr>
                <w:rFonts w:eastAsia="MS Mincho" w:cs="Times New Roman"/>
                <w:sz w:val="20"/>
                <w:szCs w:val="24"/>
                <w:lang w:val="en-GB" w:eastAsia="en-GB"/>
              </w:rPr>
            </w:pPr>
            <w:r w:rsidRPr="00BE4170">
              <w:rPr>
                <w:rFonts w:eastAsia="MS Mincho" w:cs="Times New Roman"/>
                <w:sz w:val="20"/>
                <w:szCs w:val="24"/>
                <w:lang w:val="en-GB" w:eastAsia="en-GB"/>
              </w:rPr>
              <w:t>Alt2. UE to monitor paging in CSS configured for paging with the newly activated TCI state</w:t>
            </w:r>
          </w:p>
        </w:tc>
      </w:tr>
    </w:tbl>
    <w:p w14:paraId="00AF00AD" w14:textId="77777777" w:rsidR="00BE4170" w:rsidRPr="00AB4EBC" w:rsidRDefault="00BE4170" w:rsidP="00B87393">
      <w:pPr>
        <w:spacing w:beforeLines="50" w:before="156"/>
        <w:rPr>
          <w:b/>
          <w:i/>
        </w:rPr>
      </w:pPr>
      <w:r w:rsidRPr="00A12954">
        <w:rPr>
          <w:b/>
          <w:i/>
        </w:rPr>
        <w:t>Proposal 3-</w:t>
      </w:r>
      <w:r>
        <w:rPr>
          <w:b/>
          <w:i/>
        </w:rPr>
        <w:t>1</w:t>
      </w:r>
      <w:r w:rsidRPr="00A12954">
        <w:rPr>
          <w:b/>
          <w:i/>
        </w:rPr>
        <w:t xml:space="preserve">: </w:t>
      </w:r>
      <w:r>
        <w:rPr>
          <w:b/>
          <w:i/>
        </w:rPr>
        <w:t>F</w:t>
      </w:r>
      <w:r w:rsidRPr="00A12954">
        <w:rPr>
          <w:b/>
          <w:i/>
        </w:rPr>
        <w:t>or</w:t>
      </w:r>
      <w:r>
        <w:rPr>
          <w:b/>
          <w:i/>
        </w:rPr>
        <w:t xml:space="preserve"> inter-cell BM,</w:t>
      </w:r>
      <w:r w:rsidRPr="00A12954">
        <w:rPr>
          <w:b/>
          <w:i/>
        </w:rPr>
        <w:t xml:space="preserve"> </w:t>
      </w:r>
      <w:r>
        <w:rPr>
          <w:b/>
          <w:i/>
        </w:rPr>
        <w:t>the activated</w:t>
      </w:r>
      <w:r w:rsidRPr="0070087D">
        <w:rPr>
          <w:b/>
          <w:i/>
        </w:rPr>
        <w:t xml:space="preserve"> </w:t>
      </w:r>
      <w:r>
        <w:rPr>
          <w:b/>
          <w:i/>
        </w:rPr>
        <w:t>TCI state for UE-dedicated</w:t>
      </w:r>
      <w:r w:rsidRPr="00B87393">
        <w:rPr>
          <w:b/>
          <w:i/>
        </w:rPr>
        <w:t xml:space="preserve"> </w:t>
      </w:r>
      <w:r w:rsidRPr="00044AC2">
        <w:rPr>
          <w:b/>
          <w:i/>
        </w:rPr>
        <w:t>r</w:t>
      </w:r>
      <w:r w:rsidRPr="00074E71">
        <w:rPr>
          <w:b/>
          <w:i/>
        </w:rPr>
        <w:t>eception on PD</w:t>
      </w:r>
      <w:r>
        <w:rPr>
          <w:b/>
          <w:i/>
        </w:rPr>
        <w:t>C</w:t>
      </w:r>
      <w:r w:rsidRPr="00074E71">
        <w:rPr>
          <w:b/>
          <w:i/>
        </w:rPr>
        <w:t>CH/PD</w:t>
      </w:r>
      <w:r>
        <w:rPr>
          <w:b/>
          <w:i/>
        </w:rPr>
        <w:t>S</w:t>
      </w:r>
      <w:r w:rsidRPr="00074E71">
        <w:rPr>
          <w:b/>
          <w:i/>
        </w:rPr>
        <w:t>CH</w:t>
      </w:r>
      <w:r>
        <w:rPr>
          <w:b/>
          <w:i/>
        </w:rPr>
        <w:t xml:space="preserve"> is also applied for </w:t>
      </w:r>
      <w:r w:rsidRPr="00A12954">
        <w:rPr>
          <w:b/>
          <w:i/>
        </w:rPr>
        <w:t>receiving paging</w:t>
      </w:r>
      <w:r>
        <w:rPr>
          <w:b/>
          <w:i/>
        </w:rPr>
        <w:t xml:space="preserve"> and short messages.</w:t>
      </w:r>
      <w:r w:rsidRPr="00A12954">
        <w:rPr>
          <w:b/>
          <w:i/>
        </w:rPr>
        <w:t xml:space="preserve"> </w:t>
      </w:r>
    </w:p>
    <w:p w14:paraId="00482039" w14:textId="77777777" w:rsidR="00CF100E" w:rsidRDefault="00CF100E" w:rsidP="00CF100E">
      <w:pPr>
        <w:pStyle w:val="1"/>
        <w:rPr>
          <w:szCs w:val="20"/>
        </w:rPr>
      </w:pPr>
      <w:r w:rsidRPr="0067142E">
        <w:rPr>
          <w:szCs w:val="20"/>
        </w:rPr>
        <w:t xml:space="preserve">Dynamic TCI update </w:t>
      </w:r>
    </w:p>
    <w:p w14:paraId="537BA0DC" w14:textId="4A2BFF76" w:rsidR="008A4668" w:rsidRPr="00351A76" w:rsidRDefault="00BA28F6" w:rsidP="002A7AED">
      <w:pPr>
        <w:pStyle w:val="2"/>
      </w:pPr>
      <w:r w:rsidRPr="00351A76">
        <w:t>B</w:t>
      </w:r>
      <w:r w:rsidR="002A7AED" w:rsidRPr="00351A76">
        <w:t xml:space="preserve">eam application </w:t>
      </w:r>
      <w:r w:rsidR="0064691D" w:rsidRPr="00351A76">
        <w:t>time</w:t>
      </w:r>
    </w:p>
    <w:p w14:paraId="3DFDBAED" w14:textId="29AFD650" w:rsidR="005847CB" w:rsidRPr="005847CB" w:rsidRDefault="00F160B3" w:rsidP="00503164">
      <w:pPr>
        <w:rPr>
          <w:rFonts w:eastAsiaTheme="minorEastAsia"/>
          <w:szCs w:val="22"/>
        </w:rPr>
      </w:pPr>
      <w:r w:rsidRPr="00F160B3">
        <w:rPr>
          <w:szCs w:val="22"/>
        </w:rPr>
        <w:t>As indicated by RAN4 in R16, UE panel activation would require 2~3ms delay, which is much longer than the beam application time without activating a new UE panel</w:t>
      </w:r>
      <w:r>
        <w:rPr>
          <w:szCs w:val="22"/>
        </w:rPr>
        <w:t>. With this in mind, we propose the following:</w:t>
      </w:r>
    </w:p>
    <w:p w14:paraId="65D4B5CB" w14:textId="18374541" w:rsidR="00503164" w:rsidRPr="00B87393" w:rsidRDefault="00503164" w:rsidP="00B87393">
      <w:pPr>
        <w:spacing w:beforeLines="50" w:before="156"/>
        <w:rPr>
          <w:b/>
          <w:i/>
        </w:rPr>
      </w:pPr>
      <w:r w:rsidRPr="00B87393">
        <w:rPr>
          <w:b/>
          <w:i/>
        </w:rPr>
        <w:t>Proposal 4</w:t>
      </w:r>
      <w:r w:rsidRPr="00B87393">
        <w:rPr>
          <w:rFonts w:hint="eastAsia"/>
          <w:b/>
          <w:i/>
        </w:rPr>
        <w:t>-</w:t>
      </w:r>
      <w:r w:rsidR="00414CA8" w:rsidRPr="00B87393">
        <w:rPr>
          <w:b/>
          <w:i/>
        </w:rPr>
        <w:t>1</w:t>
      </w:r>
      <w:r w:rsidRPr="00B87393">
        <w:rPr>
          <w:rFonts w:ascii="宋体" w:eastAsia="宋体" w:hAnsi="宋体" w:cs="宋体" w:hint="eastAsia"/>
          <w:b/>
          <w:i/>
        </w:rPr>
        <w:t>：</w:t>
      </w:r>
      <w:r w:rsidR="007418FE" w:rsidRPr="00B87393">
        <w:rPr>
          <w:b/>
          <w:i/>
        </w:rPr>
        <w:t>Support d</w:t>
      </w:r>
      <w:r w:rsidRPr="00B87393">
        <w:rPr>
          <w:b/>
          <w:i/>
        </w:rPr>
        <w:t>ifferent beam application time</w:t>
      </w:r>
      <w:r w:rsidR="00F160B3" w:rsidRPr="00B87393">
        <w:rPr>
          <w:b/>
          <w:i/>
        </w:rPr>
        <w:t xml:space="preserve"> </w:t>
      </w:r>
      <w:r w:rsidRPr="00B87393">
        <w:rPr>
          <w:b/>
          <w:i/>
        </w:rPr>
        <w:t>(BAT) for</w:t>
      </w:r>
      <w:r w:rsidR="007418FE" w:rsidRPr="00B87393">
        <w:rPr>
          <w:b/>
          <w:i/>
        </w:rPr>
        <w:t xml:space="preserve"> the cases</w:t>
      </w:r>
      <w:r w:rsidRPr="00B87393">
        <w:rPr>
          <w:b/>
          <w:i/>
        </w:rPr>
        <w:t xml:space="preserve"> with</w:t>
      </w:r>
      <w:r w:rsidR="007418FE" w:rsidRPr="00B87393">
        <w:rPr>
          <w:b/>
          <w:i/>
        </w:rPr>
        <w:t xml:space="preserve"> and </w:t>
      </w:r>
      <w:r w:rsidRPr="00B87393">
        <w:rPr>
          <w:b/>
          <w:i/>
        </w:rPr>
        <w:t xml:space="preserve">without involving </w:t>
      </w:r>
      <w:r w:rsidR="007418FE" w:rsidRPr="00B87393">
        <w:rPr>
          <w:b/>
          <w:i/>
        </w:rPr>
        <w:t xml:space="preserve">UE </w:t>
      </w:r>
      <w:r w:rsidRPr="00B87393">
        <w:rPr>
          <w:b/>
          <w:i/>
        </w:rPr>
        <w:t>panel activati</w:t>
      </w:r>
      <w:r w:rsidR="007418FE" w:rsidRPr="00B87393">
        <w:rPr>
          <w:b/>
          <w:i/>
        </w:rPr>
        <w:t>on</w:t>
      </w:r>
      <w:r w:rsidRPr="00B87393">
        <w:rPr>
          <w:b/>
          <w:i/>
        </w:rPr>
        <w:t>.</w:t>
      </w:r>
    </w:p>
    <w:p w14:paraId="1BB2464E" w14:textId="36FED5EA" w:rsidR="00D42FCA" w:rsidRPr="00E1352D" w:rsidRDefault="00D42FCA" w:rsidP="00D42FCA">
      <w:pPr>
        <w:pStyle w:val="2"/>
      </w:pPr>
      <w:r w:rsidRPr="00E1352D">
        <w:t xml:space="preserve">Default </w:t>
      </w:r>
      <w:proofErr w:type="spellStart"/>
      <w:r w:rsidRPr="00E1352D">
        <w:t>codepoint</w:t>
      </w:r>
      <w:proofErr w:type="spellEnd"/>
    </w:p>
    <w:p w14:paraId="213FD76F" w14:textId="2AF1382E" w:rsidR="00D42FCA" w:rsidRPr="00E1352D" w:rsidRDefault="00D42FCA" w:rsidP="00D42FCA">
      <w:pPr>
        <w:spacing w:beforeLines="50" w:before="156"/>
        <w:rPr>
          <w:rFonts w:eastAsiaTheme="minorEastAsia"/>
          <w:lang w:val="en-GB"/>
        </w:rPr>
      </w:pPr>
      <w:r w:rsidRPr="00E1352D">
        <w:rPr>
          <w:rFonts w:eastAsiaTheme="minorEastAsia"/>
        </w:rPr>
        <w:t xml:space="preserve">As captured in previous agreement, there is one FFS point on whether to apply TCI states corresponding to the lowest </w:t>
      </w:r>
      <w:proofErr w:type="spellStart"/>
      <w:r w:rsidRPr="00E1352D">
        <w:rPr>
          <w:rFonts w:eastAsiaTheme="minorEastAsia"/>
        </w:rPr>
        <w:t>codepoint</w:t>
      </w:r>
      <w:proofErr w:type="spellEnd"/>
      <w:r w:rsidRPr="00E1352D">
        <w:rPr>
          <w:rFonts w:eastAsiaTheme="minorEastAsia"/>
        </w:rPr>
        <w:t xml:space="preserve"> right after MAC-CE activation. </w:t>
      </w:r>
      <w:r w:rsidRPr="00E1352D">
        <w:rPr>
          <w:rFonts w:eastAsiaTheme="minorEastAsia"/>
          <w:lang w:val="en-GB"/>
        </w:rPr>
        <w:t xml:space="preserve">In our view, it is </w:t>
      </w:r>
      <w:r w:rsidR="00356524">
        <w:rPr>
          <w:rFonts w:eastAsiaTheme="minorEastAsia"/>
          <w:lang w:val="en-GB"/>
        </w:rPr>
        <w:t xml:space="preserve">quite </w:t>
      </w:r>
      <w:r w:rsidRPr="00E1352D">
        <w:rPr>
          <w:rFonts w:eastAsiaTheme="minorEastAsia"/>
          <w:lang w:val="en-GB"/>
        </w:rPr>
        <w:t xml:space="preserve">beneficial to support this add-on feature, which can be turned on or off by RRC. With this feature, NW can map the TCI states (that are to be applied immediately right after TCI activation) to the lowest </w:t>
      </w:r>
      <w:proofErr w:type="spellStart"/>
      <w:r w:rsidRPr="00E1352D">
        <w:rPr>
          <w:rFonts w:eastAsiaTheme="minorEastAsia"/>
          <w:lang w:val="en-GB"/>
        </w:rPr>
        <w:t>codepoint</w:t>
      </w:r>
      <w:proofErr w:type="spellEnd"/>
      <w:r w:rsidRPr="00E1352D">
        <w:rPr>
          <w:rFonts w:eastAsiaTheme="minorEastAsia"/>
          <w:lang w:val="en-GB"/>
        </w:rPr>
        <w:t xml:space="preserve">, with which there is no need to send in a DCI for TCI indication immediately (hence saving one DCI and associated ACK), while further DCI-based TCI indication can still be performed when needed. </w:t>
      </w:r>
    </w:p>
    <w:p w14:paraId="29388089" w14:textId="15C621D6" w:rsidR="00D42FCA" w:rsidRPr="00B87393" w:rsidRDefault="00D42FCA" w:rsidP="00D42FCA">
      <w:pPr>
        <w:spacing w:beforeLines="50" w:before="156"/>
        <w:rPr>
          <w:b/>
          <w:i/>
        </w:rPr>
      </w:pPr>
      <w:r w:rsidRPr="00B87393">
        <w:rPr>
          <w:b/>
          <w:i/>
        </w:rPr>
        <w:lastRenderedPageBreak/>
        <w:t>Proposal 4-</w:t>
      </w:r>
      <w:r w:rsidR="00414CA8" w:rsidRPr="00B87393">
        <w:rPr>
          <w:b/>
          <w:i/>
        </w:rPr>
        <w:t>2</w:t>
      </w:r>
      <w:r w:rsidRPr="00B87393">
        <w:rPr>
          <w:b/>
          <w:i/>
        </w:rPr>
        <w:t xml:space="preserve">: When more than one TCI </w:t>
      </w:r>
      <w:proofErr w:type="spellStart"/>
      <w:r w:rsidRPr="00B87393">
        <w:rPr>
          <w:b/>
          <w:i/>
        </w:rPr>
        <w:t>codepoints</w:t>
      </w:r>
      <w:proofErr w:type="spellEnd"/>
      <w:r w:rsidRPr="00B87393">
        <w:rPr>
          <w:b/>
          <w:i/>
        </w:rPr>
        <w:t xml:space="preserve"> are activated by MAC CE, the activated TCI state(s) for the lowest </w:t>
      </w:r>
      <w:proofErr w:type="spellStart"/>
      <w:r w:rsidRPr="00B87393">
        <w:rPr>
          <w:b/>
          <w:i/>
        </w:rPr>
        <w:t>codepoint</w:t>
      </w:r>
      <w:proofErr w:type="spellEnd"/>
      <w:r w:rsidRPr="00B87393">
        <w:rPr>
          <w:b/>
          <w:i/>
        </w:rPr>
        <w:t xml:space="preserve"> is/are applied.</w:t>
      </w:r>
    </w:p>
    <w:p w14:paraId="4B12BEB2" w14:textId="77777777" w:rsidR="00CF100E" w:rsidRDefault="00CF100E" w:rsidP="00CF100E">
      <w:pPr>
        <w:pStyle w:val="1"/>
        <w:rPr>
          <w:szCs w:val="20"/>
        </w:rPr>
      </w:pPr>
      <w:r w:rsidRPr="0067142E">
        <w:rPr>
          <w:szCs w:val="20"/>
        </w:rPr>
        <w:t>Fast UL panel selection</w:t>
      </w:r>
    </w:p>
    <w:p w14:paraId="5A98F002" w14:textId="4FC2AF56" w:rsidR="00471365" w:rsidRDefault="00760FB8" w:rsidP="00471365">
      <w:pPr>
        <w:rPr>
          <w:lang w:val="en-GB"/>
        </w:rPr>
      </w:pPr>
      <w:r>
        <w:rPr>
          <w:lang w:val="en-GB"/>
        </w:rPr>
        <w:t>In the offline discussion [2]</w:t>
      </w:r>
      <w:r w:rsidR="00471365">
        <w:rPr>
          <w:lang w:val="en-GB"/>
        </w:rPr>
        <w:t xml:space="preserve">, </w:t>
      </w:r>
      <w:r>
        <w:rPr>
          <w:lang w:val="en-GB"/>
        </w:rPr>
        <w:t>to facilitate</w:t>
      </w:r>
      <w:r w:rsidR="00471365">
        <w:rPr>
          <w:lang w:val="en-GB"/>
        </w:rPr>
        <w:t xml:space="preserve"> </w:t>
      </w:r>
      <w:r w:rsidR="00471365" w:rsidRPr="00471365">
        <w:rPr>
          <w:lang w:val="en-GB"/>
        </w:rPr>
        <w:t xml:space="preserve">UE-initiated panel activation and </w:t>
      </w:r>
      <w:r>
        <w:rPr>
          <w:lang w:val="en-GB"/>
        </w:rPr>
        <w:t xml:space="preserve">selection, there were discussions on </w:t>
      </w:r>
      <w:r w:rsidR="00471365" w:rsidRPr="00471365">
        <w:rPr>
          <w:lang w:val="en-GB"/>
        </w:rPr>
        <w:t xml:space="preserve">UE </w:t>
      </w:r>
      <w:r>
        <w:rPr>
          <w:lang w:val="en-GB"/>
        </w:rPr>
        <w:t xml:space="preserve">capability </w:t>
      </w:r>
      <w:r w:rsidR="00471365" w:rsidRPr="00471365">
        <w:rPr>
          <w:lang w:val="en-GB"/>
        </w:rPr>
        <w:t>repor</w:t>
      </w:r>
      <w:r>
        <w:rPr>
          <w:lang w:val="en-GB"/>
        </w:rPr>
        <w:t>ting of a list of transmission/reception capabilities associated with UE panels and correspondence information along with regular beam reporting</w:t>
      </w:r>
      <w:r w:rsidR="00ED52C5">
        <w:rPr>
          <w:lang w:val="en-GB"/>
        </w:rPr>
        <w:t xml:space="preserve">. </w:t>
      </w:r>
      <w:r w:rsidR="00471365">
        <w:rPr>
          <w:lang w:val="en-GB"/>
        </w:rPr>
        <w:t xml:space="preserve"> </w:t>
      </w:r>
    </w:p>
    <w:p w14:paraId="589FE06A" w14:textId="04664920" w:rsidR="001C3C5C" w:rsidRPr="001C3C5C" w:rsidRDefault="001C3C5C" w:rsidP="001C3C5C">
      <w:pPr>
        <w:pStyle w:val="2"/>
        <w:rPr>
          <w:lang w:val="en-GB"/>
        </w:rPr>
      </w:pPr>
      <w:r w:rsidRPr="001C3C5C">
        <w:rPr>
          <w:lang w:val="en-GB"/>
        </w:rPr>
        <w:t xml:space="preserve">UE </w:t>
      </w:r>
      <w:r>
        <w:rPr>
          <w:lang w:val="en-GB"/>
        </w:rPr>
        <w:t xml:space="preserve">capability </w:t>
      </w:r>
      <w:r w:rsidR="00E44078">
        <w:rPr>
          <w:lang w:val="en-GB"/>
        </w:rPr>
        <w:t>reporting</w:t>
      </w:r>
    </w:p>
    <w:p w14:paraId="5E92F101" w14:textId="13D768CB" w:rsidR="00974FED" w:rsidRPr="002C6A78" w:rsidRDefault="00760FB8" w:rsidP="002C6A78">
      <w:pPr>
        <w:rPr>
          <w:rFonts w:eastAsiaTheme="minorEastAsia"/>
        </w:rPr>
      </w:pPr>
      <w:r>
        <w:rPr>
          <w:rFonts w:eastAsiaTheme="minorEastAsia"/>
        </w:rPr>
        <w:t xml:space="preserve">For the transmission/reception capabilities associated with UE panels, we are interested in allowing for different numbers of TXRUs as well as different numbers of beams on UE panels. In addition, as the UE panels are facing different spatial directions, even if the transmission/reception capabilities are the </w:t>
      </w:r>
      <w:r w:rsidR="0028788C">
        <w:rPr>
          <w:rFonts w:eastAsiaTheme="minorEastAsia"/>
        </w:rPr>
        <w:t xml:space="preserve">same, different link adaption loops are still required at both UE and </w:t>
      </w:r>
      <w:proofErr w:type="spellStart"/>
      <w:r w:rsidR="0028788C">
        <w:rPr>
          <w:rFonts w:eastAsiaTheme="minorEastAsia"/>
        </w:rPr>
        <w:t>gNB</w:t>
      </w:r>
      <w:proofErr w:type="spellEnd"/>
      <w:r w:rsidR="0028788C">
        <w:rPr>
          <w:rFonts w:eastAsiaTheme="minorEastAsia"/>
        </w:rPr>
        <w:t>, with which repeated capability reporting should be allowed.</w:t>
      </w:r>
      <w:r>
        <w:rPr>
          <w:rFonts w:eastAsiaTheme="minorEastAsia"/>
        </w:rPr>
        <w:t xml:space="preserve"> </w:t>
      </w:r>
      <w:r w:rsidR="0028788C">
        <w:rPr>
          <w:rFonts w:eastAsiaTheme="minorEastAsia"/>
        </w:rPr>
        <w:t>W</w:t>
      </w:r>
      <w:r w:rsidR="00F854A7">
        <w:rPr>
          <w:rFonts w:eastAsiaTheme="minorEastAsia"/>
        </w:rPr>
        <w:t>e propose the following:</w:t>
      </w:r>
    </w:p>
    <w:p w14:paraId="7247D690" w14:textId="4CD61EC8" w:rsidR="00D42FDA" w:rsidRPr="00B87393" w:rsidRDefault="00D42FDA" w:rsidP="00B87393">
      <w:pPr>
        <w:spacing w:beforeLines="50" w:before="156"/>
        <w:rPr>
          <w:b/>
          <w:i/>
        </w:rPr>
      </w:pPr>
      <w:r w:rsidRPr="00B87393">
        <w:rPr>
          <w:b/>
          <w:i/>
        </w:rPr>
        <w:t>Proposal 5-</w:t>
      </w:r>
      <w:r w:rsidR="00095A56" w:rsidRPr="00B87393">
        <w:rPr>
          <w:b/>
          <w:i/>
        </w:rPr>
        <w:t>1</w:t>
      </w:r>
      <w:r w:rsidRPr="00B87393">
        <w:rPr>
          <w:b/>
          <w:i/>
        </w:rPr>
        <w:t xml:space="preserve">: </w:t>
      </w:r>
      <w:r w:rsidRPr="00B87393">
        <w:rPr>
          <w:rFonts w:hint="eastAsia"/>
          <w:b/>
          <w:i/>
        </w:rPr>
        <w:t>S</w:t>
      </w:r>
      <w:r w:rsidRPr="00B87393">
        <w:rPr>
          <w:b/>
          <w:i/>
        </w:rPr>
        <w:t xml:space="preserve">upport </w:t>
      </w:r>
      <w:r w:rsidR="00760FB8" w:rsidRPr="00B87393">
        <w:rPr>
          <w:b/>
          <w:i/>
        </w:rPr>
        <w:t xml:space="preserve">reporting </w:t>
      </w:r>
      <w:r w:rsidR="00E44078" w:rsidRPr="00B87393">
        <w:rPr>
          <w:b/>
          <w:i/>
        </w:rPr>
        <w:t xml:space="preserve">multiple sets of </w:t>
      </w:r>
      <w:r w:rsidR="00760FB8" w:rsidRPr="00B87393">
        <w:rPr>
          <w:b/>
          <w:i/>
        </w:rPr>
        <w:t>the following</w:t>
      </w:r>
      <w:r w:rsidRPr="00B87393">
        <w:rPr>
          <w:b/>
          <w:i/>
        </w:rPr>
        <w:t xml:space="preserve"> </w:t>
      </w:r>
      <w:r w:rsidR="00E44078" w:rsidRPr="00B87393">
        <w:rPr>
          <w:b/>
          <w:i/>
        </w:rPr>
        <w:t xml:space="preserve">UE </w:t>
      </w:r>
      <w:r w:rsidR="00760FB8" w:rsidRPr="00B87393">
        <w:rPr>
          <w:b/>
          <w:i/>
        </w:rPr>
        <w:t xml:space="preserve">capabilities </w:t>
      </w:r>
      <w:r w:rsidR="006735E9" w:rsidRPr="00B87393">
        <w:rPr>
          <w:b/>
          <w:i/>
        </w:rPr>
        <w:t>(</w:t>
      </w:r>
      <w:r w:rsidR="00760FB8" w:rsidRPr="00B87393">
        <w:rPr>
          <w:b/>
          <w:i/>
        </w:rPr>
        <w:t>corresponding to UE panels</w:t>
      </w:r>
      <w:r w:rsidR="006735E9" w:rsidRPr="00B87393">
        <w:rPr>
          <w:b/>
          <w:i/>
        </w:rPr>
        <w:t>)</w:t>
      </w:r>
      <w:r w:rsidR="00760FB8" w:rsidRPr="00B87393">
        <w:rPr>
          <w:b/>
          <w:i/>
        </w:rPr>
        <w:t xml:space="preserve"> with repetition</w:t>
      </w:r>
      <w:r w:rsidR="0028788C" w:rsidRPr="00B87393">
        <w:rPr>
          <w:b/>
          <w:i/>
        </w:rPr>
        <w:t xml:space="preserve"> allowed</w:t>
      </w:r>
      <w:r w:rsidRPr="00B87393">
        <w:rPr>
          <w:b/>
          <w:i/>
        </w:rPr>
        <w:t>:</w:t>
      </w:r>
    </w:p>
    <w:p w14:paraId="6D31D30B" w14:textId="1CF4A193" w:rsidR="00D42FDA" w:rsidRPr="008715D2" w:rsidRDefault="00D42FDA" w:rsidP="00760FB8">
      <w:pPr>
        <w:pStyle w:val="a3"/>
        <w:numPr>
          <w:ilvl w:val="0"/>
          <w:numId w:val="29"/>
        </w:numPr>
        <w:ind w:firstLineChars="0"/>
        <w:rPr>
          <w:b/>
          <w:i/>
          <w:szCs w:val="22"/>
        </w:rPr>
      </w:pPr>
      <w:r w:rsidRPr="008715D2">
        <w:rPr>
          <w:b/>
          <w:i/>
          <w:szCs w:val="22"/>
        </w:rPr>
        <w:t>Max supported # of SRS ports</w:t>
      </w:r>
      <w:r w:rsidR="00760FB8">
        <w:rPr>
          <w:b/>
          <w:i/>
          <w:szCs w:val="22"/>
        </w:rPr>
        <w:t xml:space="preserve"> or UL </w:t>
      </w:r>
      <w:r w:rsidRPr="008715D2">
        <w:rPr>
          <w:b/>
          <w:i/>
          <w:szCs w:val="22"/>
        </w:rPr>
        <w:t>layers</w:t>
      </w:r>
    </w:p>
    <w:p w14:paraId="51C908EA" w14:textId="2867E4FB" w:rsidR="00D42FDA" w:rsidRPr="00465C6F" w:rsidRDefault="00D42FDA" w:rsidP="0032080B">
      <w:pPr>
        <w:pStyle w:val="a3"/>
        <w:numPr>
          <w:ilvl w:val="0"/>
          <w:numId w:val="29"/>
        </w:numPr>
        <w:ind w:firstLineChars="0"/>
        <w:rPr>
          <w:rFonts w:eastAsiaTheme="minorEastAsia"/>
          <w:b/>
          <w:i/>
          <w:szCs w:val="22"/>
        </w:rPr>
      </w:pPr>
      <w:r w:rsidRPr="008715D2">
        <w:rPr>
          <w:b/>
          <w:i/>
          <w:szCs w:val="22"/>
        </w:rPr>
        <w:t>Max supported # of SRS resources within one SRS resource set</w:t>
      </w:r>
    </w:p>
    <w:p w14:paraId="5CF51FAF" w14:textId="41346751" w:rsidR="00095A56" w:rsidRPr="001C3C5C" w:rsidRDefault="00095A56" w:rsidP="00095A56">
      <w:pPr>
        <w:pStyle w:val="2"/>
        <w:rPr>
          <w:lang w:val="en-GB"/>
        </w:rPr>
      </w:pPr>
      <w:r>
        <w:rPr>
          <w:lang w:val="en-GB"/>
        </w:rPr>
        <w:t>C</w:t>
      </w:r>
      <w:r w:rsidRPr="00095A56">
        <w:rPr>
          <w:lang w:val="en-GB"/>
        </w:rPr>
        <w:t>orrespondence</w:t>
      </w:r>
      <w:r w:rsidR="00AE7CD8">
        <w:rPr>
          <w:lang w:val="en-GB"/>
        </w:rPr>
        <w:t xml:space="preserve"> </w:t>
      </w:r>
      <w:r w:rsidR="00E44078">
        <w:rPr>
          <w:lang w:val="en-GB"/>
        </w:rPr>
        <w:t>with beam reporting</w:t>
      </w:r>
    </w:p>
    <w:p w14:paraId="26BE3513" w14:textId="763DC9B6" w:rsidR="00E63650" w:rsidRDefault="00E44078" w:rsidP="00465C6F">
      <w:pPr>
        <w:rPr>
          <w:rFonts w:eastAsiaTheme="minorEastAsia"/>
        </w:rPr>
      </w:pPr>
      <w:r>
        <w:rPr>
          <w:rFonts w:eastAsiaTheme="minorEastAsia"/>
        </w:rPr>
        <w:t>Even if there is no UE panel ID explicitly defined, each</w:t>
      </w:r>
      <w:r w:rsidR="00095A56">
        <w:rPr>
          <w:rFonts w:eastAsiaTheme="minorEastAsia"/>
        </w:rPr>
        <w:t xml:space="preserve"> reported </w:t>
      </w:r>
      <w:r>
        <w:rPr>
          <w:rFonts w:eastAsiaTheme="minorEastAsia"/>
        </w:rPr>
        <w:t>UE capability value set</w:t>
      </w:r>
      <w:r w:rsidR="00095A56" w:rsidRPr="00095A56">
        <w:rPr>
          <w:rFonts w:eastAsiaTheme="minorEastAsia"/>
        </w:rPr>
        <w:t xml:space="preserve"> </w:t>
      </w:r>
      <w:r w:rsidR="00095A56">
        <w:rPr>
          <w:rFonts w:eastAsiaTheme="minorEastAsia"/>
        </w:rPr>
        <w:t xml:space="preserve">can be interpreted as </w:t>
      </w:r>
      <w:r>
        <w:rPr>
          <w:rFonts w:eastAsiaTheme="minorEastAsia"/>
        </w:rPr>
        <w:t xml:space="preserve">one UE panel. Then, the </w:t>
      </w:r>
      <w:r w:rsidR="00095A56">
        <w:rPr>
          <w:rFonts w:eastAsiaTheme="minorEastAsia"/>
        </w:rPr>
        <w:t xml:space="preserve">correspondence </w:t>
      </w:r>
      <w:r>
        <w:rPr>
          <w:rFonts w:eastAsiaTheme="minorEastAsia"/>
        </w:rPr>
        <w:t xml:space="preserve">between </w:t>
      </w:r>
      <w:r w:rsidR="006735E9">
        <w:rPr>
          <w:rFonts w:eastAsiaTheme="minorEastAsia"/>
        </w:rPr>
        <w:t>DL measurement</w:t>
      </w:r>
      <w:r>
        <w:rPr>
          <w:rFonts w:eastAsiaTheme="minorEastAsia"/>
        </w:rPr>
        <w:t>/report</w:t>
      </w:r>
      <w:r w:rsidR="006735E9">
        <w:rPr>
          <w:rFonts w:eastAsiaTheme="minorEastAsia"/>
        </w:rPr>
        <w:t xml:space="preserve"> </w:t>
      </w:r>
      <w:r>
        <w:rPr>
          <w:rFonts w:eastAsiaTheme="minorEastAsia"/>
        </w:rPr>
        <w:t>and UE panel</w:t>
      </w:r>
      <w:r w:rsidR="006735E9">
        <w:rPr>
          <w:rFonts w:eastAsiaTheme="minorEastAsia"/>
        </w:rPr>
        <w:t xml:space="preserve"> (i.e., the reported result is measured from which UE panel)</w:t>
      </w:r>
      <w:r>
        <w:rPr>
          <w:rFonts w:eastAsiaTheme="minorEastAsia"/>
        </w:rPr>
        <w:t xml:space="preserve"> </w:t>
      </w:r>
      <w:r w:rsidR="00095A56">
        <w:rPr>
          <w:rFonts w:eastAsiaTheme="minorEastAsia"/>
        </w:rPr>
        <w:t xml:space="preserve">could be </w:t>
      </w:r>
      <w:r>
        <w:rPr>
          <w:rFonts w:eastAsiaTheme="minorEastAsia"/>
        </w:rPr>
        <w:t>reported via such UE capability value set</w:t>
      </w:r>
      <w:r w:rsidR="00E63650">
        <w:rPr>
          <w:rFonts w:eastAsiaTheme="minorEastAsia"/>
        </w:rPr>
        <w:t xml:space="preserve">. </w:t>
      </w:r>
      <w:r>
        <w:rPr>
          <w:rFonts w:eastAsiaTheme="minorEastAsia"/>
        </w:rPr>
        <w:t>We propose the following:</w:t>
      </w:r>
    </w:p>
    <w:p w14:paraId="677802E0" w14:textId="1F5ABF6E" w:rsidR="00E63650" w:rsidRPr="00B87393" w:rsidRDefault="00E63650" w:rsidP="00B87393">
      <w:pPr>
        <w:spacing w:beforeLines="50" w:before="156"/>
        <w:rPr>
          <w:b/>
          <w:i/>
        </w:rPr>
      </w:pPr>
      <w:r w:rsidRPr="00B87393">
        <w:rPr>
          <w:b/>
          <w:i/>
        </w:rPr>
        <w:t xml:space="preserve">Proposal 5-2: </w:t>
      </w:r>
      <w:r w:rsidRPr="00B87393">
        <w:rPr>
          <w:rFonts w:hint="eastAsia"/>
          <w:b/>
          <w:i/>
        </w:rPr>
        <w:t>S</w:t>
      </w:r>
      <w:r w:rsidRPr="00B87393">
        <w:rPr>
          <w:b/>
          <w:i/>
        </w:rPr>
        <w:t xml:space="preserve">upport </w:t>
      </w:r>
      <w:r w:rsidR="00E44078" w:rsidRPr="00B87393">
        <w:rPr>
          <w:b/>
          <w:i/>
        </w:rPr>
        <w:t xml:space="preserve">reporting </w:t>
      </w:r>
      <w:r w:rsidRPr="00B87393">
        <w:rPr>
          <w:b/>
          <w:i/>
        </w:rPr>
        <w:t xml:space="preserve">the index of </w:t>
      </w:r>
      <w:r w:rsidR="00E44078" w:rsidRPr="00B87393">
        <w:rPr>
          <w:b/>
          <w:i/>
        </w:rPr>
        <w:t xml:space="preserve">UE capability value </w:t>
      </w:r>
      <w:r w:rsidRPr="00B87393">
        <w:rPr>
          <w:b/>
          <w:i/>
        </w:rPr>
        <w:t>set</w:t>
      </w:r>
      <w:r w:rsidR="00E44078" w:rsidRPr="00B87393">
        <w:rPr>
          <w:b/>
          <w:i/>
        </w:rPr>
        <w:t xml:space="preserve"> (corresponding to one UE panel) along with</w:t>
      </w:r>
      <w:r w:rsidRPr="00B87393">
        <w:rPr>
          <w:b/>
          <w:i/>
        </w:rPr>
        <w:t xml:space="preserve"> SSBRI/CRI</w:t>
      </w:r>
      <w:r w:rsidR="00E44078" w:rsidRPr="00B87393">
        <w:rPr>
          <w:b/>
          <w:i/>
        </w:rPr>
        <w:t>/RSRP/SINR in beam reporting</w:t>
      </w:r>
      <w:r w:rsidRPr="00B87393">
        <w:rPr>
          <w:b/>
          <w:i/>
        </w:rPr>
        <w:t>.</w:t>
      </w:r>
    </w:p>
    <w:p w14:paraId="23C8B269" w14:textId="77777777" w:rsidR="0040376C" w:rsidRDefault="00CF100E" w:rsidP="00F94A95">
      <w:pPr>
        <w:pStyle w:val="1"/>
        <w:rPr>
          <w:szCs w:val="20"/>
        </w:rPr>
      </w:pPr>
      <w:r w:rsidRPr="0067142E">
        <w:rPr>
          <w:szCs w:val="20"/>
        </w:rPr>
        <w:t>MPE mitigation</w:t>
      </w:r>
    </w:p>
    <w:p w14:paraId="657119FE" w14:textId="48EA3551" w:rsidR="008A4668" w:rsidRDefault="008A4668" w:rsidP="008A4668">
      <w:pPr>
        <w:rPr>
          <w:lang w:eastAsia="en-US"/>
        </w:rPr>
      </w:pPr>
      <w:r w:rsidRPr="00674ABB">
        <w:rPr>
          <w:rFonts w:cs="Times New Roman" w:hint="eastAsia"/>
          <w:szCs w:val="22"/>
        </w:rPr>
        <w:t>R</w:t>
      </w:r>
      <w:r w:rsidRPr="00674ABB">
        <w:rPr>
          <w:rFonts w:cs="Times New Roman"/>
          <w:szCs w:val="22"/>
        </w:rPr>
        <w:t xml:space="preserve">egarding MPE mitigation, the following </w:t>
      </w:r>
      <w:r w:rsidR="00AE7CD8">
        <w:rPr>
          <w:rFonts w:cs="Times New Roman"/>
          <w:szCs w:val="22"/>
        </w:rPr>
        <w:t>were</w:t>
      </w:r>
      <w:r w:rsidRPr="00674ABB">
        <w:rPr>
          <w:rFonts w:cs="Times New Roman"/>
          <w:szCs w:val="22"/>
        </w:rPr>
        <w:t xml:space="preserve"> agreed in RAN1#10</w:t>
      </w:r>
      <w:r w:rsidR="00E16DF1">
        <w:rPr>
          <w:rFonts w:cs="Times New Roman"/>
          <w:szCs w:val="22"/>
        </w:rPr>
        <w:t>6</w:t>
      </w:r>
      <w:r w:rsidR="00617E66">
        <w:rPr>
          <w:rFonts w:cs="Times New Roman"/>
          <w:szCs w:val="22"/>
        </w:rPr>
        <w:t>bis</w:t>
      </w:r>
      <w:r w:rsidRPr="00674ABB">
        <w:rPr>
          <w:rFonts w:cs="Times New Roman"/>
          <w:szCs w:val="22"/>
        </w:rPr>
        <w:t>-e:</w:t>
      </w:r>
    </w:p>
    <w:tbl>
      <w:tblPr>
        <w:tblStyle w:val="a6"/>
        <w:tblW w:w="9067" w:type="dxa"/>
        <w:tblLook w:val="04A0" w:firstRow="1" w:lastRow="0" w:firstColumn="1" w:lastColumn="0" w:noHBand="0" w:noVBand="1"/>
      </w:tblPr>
      <w:tblGrid>
        <w:gridCol w:w="9067"/>
      </w:tblGrid>
      <w:tr w:rsidR="008A4668" w:rsidRPr="00187DD2" w14:paraId="1B9F4C83" w14:textId="77777777" w:rsidTr="00AE7CD8">
        <w:tc>
          <w:tcPr>
            <w:tcW w:w="9067" w:type="dxa"/>
          </w:tcPr>
          <w:p w14:paraId="7F38A5EB" w14:textId="77777777" w:rsidR="00187DD2" w:rsidRPr="00187DD2" w:rsidRDefault="00187DD2" w:rsidP="00BF1BC0">
            <w:pPr>
              <w:adjustRightInd w:val="0"/>
              <w:snapToGrid w:val="0"/>
              <w:rPr>
                <w:b/>
                <w:sz w:val="20"/>
                <w:highlight w:val="green"/>
              </w:rPr>
            </w:pPr>
            <w:r w:rsidRPr="00187DD2">
              <w:rPr>
                <w:b/>
                <w:sz w:val="20"/>
                <w:highlight w:val="green"/>
              </w:rPr>
              <w:t>Agreement</w:t>
            </w:r>
          </w:p>
          <w:p w14:paraId="3B422CB2" w14:textId="77777777" w:rsidR="00187DD2" w:rsidRPr="00187DD2" w:rsidRDefault="00187DD2" w:rsidP="00BF1BC0">
            <w:pPr>
              <w:adjustRightInd w:val="0"/>
              <w:snapToGrid w:val="0"/>
              <w:rPr>
                <w:rFonts w:cs="Times"/>
                <w:sz w:val="20"/>
              </w:rPr>
            </w:pPr>
            <w:r w:rsidRPr="00187DD2">
              <w:rPr>
                <w:rFonts w:cs="Times"/>
                <w:sz w:val="20"/>
              </w:rPr>
              <w:t>On Rel.17 enhancements to facilitate MPE mitigation, support N=1, 2, 3, and 4</w:t>
            </w:r>
          </w:p>
          <w:p w14:paraId="74B97A1C" w14:textId="77777777" w:rsidR="00187DD2" w:rsidRPr="00187DD2" w:rsidRDefault="00187DD2" w:rsidP="00BF1BC0">
            <w:pPr>
              <w:numPr>
                <w:ilvl w:val="0"/>
                <w:numId w:val="24"/>
              </w:numPr>
              <w:adjustRightInd w:val="0"/>
              <w:snapToGrid w:val="0"/>
              <w:rPr>
                <w:rFonts w:cs="Times"/>
                <w:sz w:val="20"/>
              </w:rPr>
            </w:pPr>
            <w:r w:rsidRPr="00187DD2">
              <w:rPr>
                <w:rFonts w:cs="Times"/>
                <w:sz w:val="20"/>
              </w:rPr>
              <w:t>N is defined as the number of reported measurements</w:t>
            </w:r>
          </w:p>
          <w:p w14:paraId="0A8E6F06" w14:textId="77777777" w:rsidR="00187DD2" w:rsidRPr="00187DD2" w:rsidRDefault="00187DD2" w:rsidP="00BF1BC0">
            <w:pPr>
              <w:numPr>
                <w:ilvl w:val="0"/>
                <w:numId w:val="24"/>
              </w:numPr>
              <w:adjustRightInd w:val="0"/>
              <w:snapToGrid w:val="0"/>
              <w:rPr>
                <w:rFonts w:cs="Times"/>
                <w:sz w:val="20"/>
              </w:rPr>
            </w:pPr>
            <w:r w:rsidRPr="00187DD2">
              <w:rPr>
                <w:rFonts w:cs="Times"/>
                <w:sz w:val="20"/>
              </w:rPr>
              <w:t>UE reports supported largest N value as a UE capability</w:t>
            </w:r>
          </w:p>
          <w:p w14:paraId="1545ED8F" w14:textId="77777777" w:rsidR="00187DD2" w:rsidRPr="00187DD2" w:rsidRDefault="00187DD2" w:rsidP="00BF1BC0">
            <w:pPr>
              <w:adjustRightInd w:val="0"/>
              <w:snapToGrid w:val="0"/>
              <w:rPr>
                <w:rFonts w:cs="Times"/>
                <w:sz w:val="20"/>
                <w:lang w:eastAsia="x-none"/>
              </w:rPr>
            </w:pPr>
          </w:p>
          <w:p w14:paraId="36B73927" w14:textId="77777777" w:rsidR="00187DD2" w:rsidRPr="00187DD2" w:rsidRDefault="00187DD2" w:rsidP="00BF1BC0">
            <w:pPr>
              <w:adjustRightInd w:val="0"/>
              <w:snapToGrid w:val="0"/>
              <w:rPr>
                <w:sz w:val="20"/>
                <w:szCs w:val="20"/>
                <w:highlight w:val="green"/>
              </w:rPr>
            </w:pPr>
            <w:r w:rsidRPr="00187DD2">
              <w:rPr>
                <w:b/>
                <w:sz w:val="20"/>
                <w:szCs w:val="20"/>
                <w:highlight w:val="green"/>
              </w:rPr>
              <w:t>Agreement</w:t>
            </w:r>
          </w:p>
          <w:p w14:paraId="2E185B78" w14:textId="77777777" w:rsidR="00187DD2" w:rsidRPr="00187DD2" w:rsidRDefault="00187DD2" w:rsidP="00BF1BC0">
            <w:pPr>
              <w:adjustRightInd w:val="0"/>
              <w:snapToGrid w:val="0"/>
              <w:rPr>
                <w:rFonts w:ascii="Calibri" w:hAnsi="Calibri"/>
                <w:color w:val="1F497D"/>
                <w:sz w:val="20"/>
                <w:szCs w:val="20"/>
              </w:rPr>
            </w:pPr>
            <w:r w:rsidRPr="00187DD2">
              <w:rPr>
                <w:sz w:val="20"/>
                <w:szCs w:val="20"/>
              </w:rPr>
              <w:t xml:space="preserve">On Rel.17 enhancements to facilitate MPE mitigation, confirm the following working assumption (in the midst of the previous agreement) as an agreement with the following refinement (highlighted in </w:t>
            </w:r>
            <w:r w:rsidRPr="00187DD2">
              <w:rPr>
                <w:color w:val="FF0000"/>
                <w:sz w:val="20"/>
                <w:szCs w:val="20"/>
              </w:rPr>
              <w:t>red</w:t>
            </w:r>
            <w:r w:rsidRPr="00187DD2">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1"/>
            </w:tblGrid>
            <w:tr w:rsidR="00187DD2" w:rsidRPr="00187DD2" w14:paraId="36A38F98" w14:textId="77777777" w:rsidTr="004C0408">
              <w:tc>
                <w:tcPr>
                  <w:tcW w:w="9857" w:type="dxa"/>
                  <w:shd w:val="clear" w:color="auto" w:fill="auto"/>
                </w:tcPr>
                <w:p w14:paraId="7779DD50" w14:textId="77777777" w:rsidR="00187DD2" w:rsidRPr="00187DD2" w:rsidRDefault="00187DD2" w:rsidP="00BF1BC0">
                  <w:pPr>
                    <w:adjustRightInd w:val="0"/>
                    <w:snapToGrid w:val="0"/>
                    <w:rPr>
                      <w:sz w:val="20"/>
                      <w:szCs w:val="20"/>
                    </w:rPr>
                  </w:pPr>
                  <w:r w:rsidRPr="00187DD2">
                    <w:rPr>
                      <w:sz w:val="20"/>
                      <w:szCs w:val="20"/>
                    </w:rPr>
                    <w:t>On Rel.17 enhancements to facilitate MPE mitigation, support the following enhancement on the Rel-16 event-triggered P-MPR-based reporting (included in the PHR report when a threshold is reached, reported via MAC-CE):</w:t>
                  </w:r>
                </w:p>
                <w:p w14:paraId="192C3449" w14:textId="77777777" w:rsidR="00187DD2" w:rsidRPr="00187DD2" w:rsidRDefault="00187DD2" w:rsidP="00BF1BC0">
                  <w:pPr>
                    <w:numPr>
                      <w:ilvl w:val="0"/>
                      <w:numId w:val="4"/>
                    </w:numPr>
                    <w:adjustRightInd w:val="0"/>
                    <w:snapToGrid w:val="0"/>
                    <w:jc w:val="left"/>
                    <w:rPr>
                      <w:sz w:val="20"/>
                      <w:szCs w:val="20"/>
                    </w:rPr>
                  </w:pPr>
                  <w:r w:rsidRPr="00187DD2">
                    <w:rPr>
                      <w:sz w:val="20"/>
                      <w:szCs w:val="20"/>
                    </w:rPr>
                    <w:t xml:space="preserve">In addition to the existing field in the PHR MAC-CE, N≥1 P-MPR values can be reported </w:t>
                  </w:r>
                </w:p>
                <w:p w14:paraId="4FDE8F7D" w14:textId="77777777" w:rsidR="00187DD2" w:rsidRPr="00187DD2" w:rsidRDefault="00187DD2" w:rsidP="00BF1BC0">
                  <w:pPr>
                    <w:numPr>
                      <w:ilvl w:val="1"/>
                      <w:numId w:val="4"/>
                    </w:numPr>
                    <w:adjustRightInd w:val="0"/>
                    <w:snapToGrid w:val="0"/>
                    <w:jc w:val="left"/>
                    <w:rPr>
                      <w:sz w:val="20"/>
                      <w:szCs w:val="20"/>
                    </w:rPr>
                  </w:pPr>
                  <w:r w:rsidRPr="00187DD2">
                    <w:rPr>
                      <w:sz w:val="20"/>
                      <w:szCs w:val="20"/>
                    </w:rPr>
                    <w:t xml:space="preserve">The N P-MPR values are reported together with the following: </w:t>
                  </w:r>
                </w:p>
                <w:p w14:paraId="28338661" w14:textId="77777777" w:rsidR="00187DD2" w:rsidRPr="00187DD2" w:rsidRDefault="00187DD2" w:rsidP="00BF1BC0">
                  <w:pPr>
                    <w:numPr>
                      <w:ilvl w:val="2"/>
                      <w:numId w:val="4"/>
                    </w:numPr>
                    <w:adjustRightInd w:val="0"/>
                    <w:snapToGrid w:val="0"/>
                    <w:jc w:val="left"/>
                    <w:rPr>
                      <w:sz w:val="20"/>
                      <w:szCs w:val="20"/>
                    </w:rPr>
                  </w:pPr>
                  <w:r w:rsidRPr="00187DD2">
                    <w:rPr>
                      <w:strike/>
                      <w:color w:val="FF0000"/>
                      <w:sz w:val="20"/>
                      <w:szCs w:val="20"/>
                    </w:rPr>
                    <w:t>(Working Assumption)</w:t>
                  </w:r>
                  <w:r w:rsidRPr="00187DD2">
                    <w:rPr>
                      <w:sz w:val="20"/>
                      <w:szCs w:val="20"/>
                    </w:rPr>
                    <w:t xml:space="preserve"> For each P-MPR value, up to M SSBRI(s)/CRI(s), where the SSBRI(s)/CRI(s) is selected by the UE from a candidate SSB/CSI-RS resource pool (FFS: how to perform the selection) </w:t>
                  </w:r>
                </w:p>
                <w:p w14:paraId="5BB6F427" w14:textId="77777777" w:rsidR="00187DD2" w:rsidRPr="00187DD2" w:rsidRDefault="00187DD2" w:rsidP="00BF1BC0">
                  <w:pPr>
                    <w:numPr>
                      <w:ilvl w:val="3"/>
                      <w:numId w:val="4"/>
                    </w:numPr>
                    <w:adjustRightInd w:val="0"/>
                    <w:snapToGrid w:val="0"/>
                    <w:jc w:val="left"/>
                    <w:rPr>
                      <w:color w:val="FF0000"/>
                      <w:sz w:val="20"/>
                      <w:szCs w:val="20"/>
                    </w:rPr>
                  </w:pPr>
                  <w:r w:rsidRPr="00187DD2">
                    <w:rPr>
                      <w:color w:val="FF0000"/>
                      <w:sz w:val="20"/>
                      <w:szCs w:val="20"/>
                    </w:rPr>
                    <w:t>Support M=1</w:t>
                  </w:r>
                </w:p>
                <w:p w14:paraId="14C16FDC" w14:textId="77777777" w:rsidR="00187DD2" w:rsidRPr="00187DD2" w:rsidRDefault="00187DD2" w:rsidP="00BF1BC0">
                  <w:pPr>
                    <w:numPr>
                      <w:ilvl w:val="3"/>
                      <w:numId w:val="4"/>
                    </w:numPr>
                    <w:adjustRightInd w:val="0"/>
                    <w:snapToGrid w:val="0"/>
                    <w:jc w:val="left"/>
                    <w:rPr>
                      <w:strike/>
                      <w:color w:val="FF0000"/>
                      <w:sz w:val="20"/>
                      <w:szCs w:val="20"/>
                    </w:rPr>
                  </w:pPr>
                  <w:r w:rsidRPr="00187DD2">
                    <w:rPr>
                      <w:strike/>
                      <w:color w:val="FF0000"/>
                      <w:sz w:val="20"/>
                      <w:szCs w:val="20"/>
                    </w:rPr>
                    <w:t>FFS: The supported value(s) of M</w:t>
                  </w:r>
                  <w:r w:rsidRPr="00187DD2">
                    <w:rPr>
                      <w:iCs/>
                      <w:strike/>
                      <w:color w:val="FF0000"/>
                      <w:sz w:val="20"/>
                      <w:szCs w:val="20"/>
                    </w:rPr>
                    <w:t xml:space="preserve"> </w:t>
                  </w:r>
                </w:p>
                <w:p w14:paraId="5BED0FC8" w14:textId="77777777" w:rsidR="00187DD2" w:rsidRPr="00187DD2" w:rsidRDefault="00187DD2" w:rsidP="00BF1BC0">
                  <w:pPr>
                    <w:numPr>
                      <w:ilvl w:val="0"/>
                      <w:numId w:val="4"/>
                    </w:numPr>
                    <w:adjustRightInd w:val="0"/>
                    <w:snapToGrid w:val="0"/>
                    <w:jc w:val="left"/>
                    <w:rPr>
                      <w:strike/>
                      <w:color w:val="FF0000"/>
                      <w:sz w:val="20"/>
                      <w:szCs w:val="20"/>
                    </w:rPr>
                  </w:pPr>
                  <w:r w:rsidRPr="00187DD2">
                    <w:rPr>
                      <w:strike/>
                      <w:color w:val="FF0000"/>
                      <w:sz w:val="20"/>
                      <w:szCs w:val="20"/>
                    </w:rPr>
                    <w:t>FFS: Additional reporting quantities, e.g. SSBRI/CRI, MPR+DL RSRP, or modified virtual PHR</w:t>
                  </w:r>
                </w:p>
                <w:p w14:paraId="308342B9" w14:textId="77777777" w:rsidR="00187DD2" w:rsidRPr="00187DD2" w:rsidRDefault="00187DD2" w:rsidP="00BF1BC0">
                  <w:pPr>
                    <w:numPr>
                      <w:ilvl w:val="0"/>
                      <w:numId w:val="4"/>
                    </w:numPr>
                    <w:adjustRightInd w:val="0"/>
                    <w:snapToGrid w:val="0"/>
                    <w:jc w:val="left"/>
                    <w:rPr>
                      <w:strike/>
                      <w:color w:val="FF0000"/>
                      <w:sz w:val="20"/>
                      <w:szCs w:val="20"/>
                    </w:rPr>
                  </w:pPr>
                  <w:r w:rsidRPr="00187DD2">
                    <w:rPr>
                      <w:strike/>
                      <w:color w:val="FF0000"/>
                      <w:sz w:val="20"/>
                      <w:szCs w:val="20"/>
                    </w:rPr>
                    <w:t>FFS: additional signaling (e.g. CSI triggering) from the NW</w:t>
                  </w:r>
                </w:p>
              </w:tc>
            </w:tr>
          </w:tbl>
          <w:p w14:paraId="3BC892A2" w14:textId="77777777" w:rsidR="00187DD2" w:rsidRPr="00187DD2" w:rsidRDefault="00187DD2" w:rsidP="00BF1BC0">
            <w:pPr>
              <w:adjustRightInd w:val="0"/>
              <w:snapToGrid w:val="0"/>
              <w:rPr>
                <w:sz w:val="20"/>
                <w:lang w:eastAsia="x-none"/>
              </w:rPr>
            </w:pPr>
          </w:p>
          <w:p w14:paraId="18AE3795" w14:textId="77777777" w:rsidR="00187DD2" w:rsidRPr="00187DD2" w:rsidRDefault="00187DD2" w:rsidP="00BF1BC0">
            <w:pPr>
              <w:adjustRightInd w:val="0"/>
              <w:snapToGrid w:val="0"/>
              <w:rPr>
                <w:sz w:val="20"/>
                <w:szCs w:val="20"/>
                <w:highlight w:val="green"/>
              </w:rPr>
            </w:pPr>
            <w:r w:rsidRPr="00187DD2">
              <w:rPr>
                <w:b/>
                <w:sz w:val="20"/>
                <w:szCs w:val="20"/>
                <w:highlight w:val="green"/>
              </w:rPr>
              <w:t>Agreement</w:t>
            </w:r>
          </w:p>
          <w:p w14:paraId="22B52D80" w14:textId="6E9703BA" w:rsidR="008A4668" w:rsidRPr="00187DD2" w:rsidRDefault="00187DD2" w:rsidP="00BF1BC0">
            <w:pPr>
              <w:pStyle w:val="a3"/>
              <w:numPr>
                <w:ilvl w:val="0"/>
                <w:numId w:val="3"/>
              </w:numPr>
              <w:adjustRightInd w:val="0"/>
              <w:snapToGrid w:val="0"/>
              <w:ind w:firstLineChars="0"/>
              <w:rPr>
                <w:sz w:val="20"/>
                <w:szCs w:val="20"/>
              </w:rPr>
            </w:pPr>
            <w:r w:rsidRPr="00187DD2">
              <w:rPr>
                <w:sz w:val="20"/>
              </w:rPr>
              <w:t>On Rel.17 enhancements to facilitate MPE mitigation, the candidate resource pool corresponds to a CSI-RS/SSB resource set configured via RRC (details up to RAN2)</w:t>
            </w:r>
          </w:p>
        </w:tc>
      </w:tr>
    </w:tbl>
    <w:p w14:paraId="38F9A907" w14:textId="37F79835" w:rsidR="005D3B85" w:rsidRDefault="00F854A7" w:rsidP="00F9575E">
      <w:pPr>
        <w:spacing w:beforeLines="50" w:before="156"/>
        <w:rPr>
          <w:rFonts w:eastAsiaTheme="minorEastAsia"/>
        </w:rPr>
      </w:pPr>
      <w:r>
        <w:rPr>
          <w:rFonts w:eastAsiaTheme="minorEastAsia"/>
        </w:rPr>
        <w:lastRenderedPageBreak/>
        <w:t>The previous agreements on MPE mitigation did not specify whether the reported N measurements are per UE panel or per UE beam. We propose the following:</w:t>
      </w:r>
    </w:p>
    <w:p w14:paraId="4A4D1FB9" w14:textId="7C844B2A" w:rsidR="00F854A7" w:rsidRPr="00F854A7" w:rsidRDefault="00F854A7" w:rsidP="00F9575E">
      <w:pPr>
        <w:spacing w:beforeLines="50" w:before="156"/>
      </w:pPr>
      <w:r w:rsidRPr="006932F9">
        <w:rPr>
          <w:b/>
          <w:i/>
        </w:rPr>
        <w:t xml:space="preserve">Proposal 6-1: </w:t>
      </w:r>
      <w:r w:rsidRPr="006932F9">
        <w:rPr>
          <w:b/>
          <w:i/>
          <w:iCs/>
        </w:rPr>
        <w:t>The quantity N in previous agreement represents the number of UE panels</w:t>
      </w:r>
      <w:r w:rsidRPr="006932F9">
        <w:rPr>
          <w:b/>
          <w:i/>
        </w:rPr>
        <w:t>.</w:t>
      </w:r>
    </w:p>
    <w:p w14:paraId="6C2FF4E6" w14:textId="4DC9BEE7" w:rsidR="00D82165" w:rsidRDefault="005D3B85" w:rsidP="00F9575E">
      <w:pPr>
        <w:spacing w:beforeLines="50" w:before="156"/>
        <w:rPr>
          <w:rFonts w:eastAsiaTheme="minorEastAsia"/>
        </w:rPr>
      </w:pPr>
      <w:r>
        <w:rPr>
          <w:rFonts w:eastAsiaTheme="minorEastAsia" w:hint="eastAsia"/>
        </w:rPr>
        <w:t>I</w:t>
      </w:r>
      <w:r>
        <w:rPr>
          <w:rFonts w:eastAsiaTheme="minorEastAsia"/>
        </w:rPr>
        <w:t>n addition</w:t>
      </w:r>
      <w:r>
        <w:rPr>
          <w:rFonts w:eastAsiaTheme="minorEastAsia" w:hint="eastAsia"/>
        </w:rPr>
        <w:t>,</w:t>
      </w:r>
      <w:r>
        <w:rPr>
          <w:rFonts w:eastAsiaTheme="minorEastAsia"/>
        </w:rPr>
        <w:t xml:space="preserve"> when </w:t>
      </w:r>
      <w:r w:rsidR="00F854A7">
        <w:rPr>
          <w:rFonts w:eastAsiaTheme="minorEastAsia"/>
        </w:rPr>
        <w:t>only one P-MPR is reported</w:t>
      </w:r>
      <w:r>
        <w:rPr>
          <w:rFonts w:eastAsiaTheme="minorEastAsia"/>
        </w:rPr>
        <w:t xml:space="preserve">, it </w:t>
      </w:r>
      <w:r w:rsidR="00F854A7">
        <w:rPr>
          <w:rFonts w:eastAsiaTheme="minorEastAsia"/>
        </w:rPr>
        <w:t>implies</w:t>
      </w:r>
      <w:r>
        <w:rPr>
          <w:rFonts w:eastAsiaTheme="minorEastAsia"/>
        </w:rPr>
        <w:t xml:space="preserve"> </w:t>
      </w:r>
      <w:r w:rsidR="00F854A7">
        <w:rPr>
          <w:rFonts w:eastAsiaTheme="minorEastAsia"/>
        </w:rPr>
        <w:t xml:space="preserve">only the UL </w:t>
      </w:r>
      <w:proofErr w:type="spellStart"/>
      <w:proofErr w:type="gramStart"/>
      <w:r w:rsidR="00F854A7">
        <w:rPr>
          <w:rFonts w:eastAsiaTheme="minorEastAsia"/>
        </w:rPr>
        <w:t>Tx</w:t>
      </w:r>
      <w:proofErr w:type="spellEnd"/>
      <w:proofErr w:type="gramEnd"/>
      <w:r w:rsidR="00F854A7">
        <w:rPr>
          <w:rFonts w:eastAsiaTheme="minorEastAsia"/>
        </w:rPr>
        <w:t xml:space="preserve"> panel/beam associated with the corresponding </w:t>
      </w:r>
      <w:r w:rsidR="00D82165">
        <w:rPr>
          <w:rFonts w:eastAsiaTheme="minorEastAsia"/>
        </w:rPr>
        <w:t xml:space="preserve">SSBRI/CRI </w:t>
      </w:r>
      <w:r w:rsidR="00F854A7">
        <w:rPr>
          <w:rFonts w:eastAsiaTheme="minorEastAsia"/>
        </w:rPr>
        <w:t xml:space="preserve">can be used for subsequent uplink </w:t>
      </w:r>
      <w:r w:rsidR="00D82165">
        <w:rPr>
          <w:rFonts w:eastAsiaTheme="minorEastAsia"/>
        </w:rPr>
        <w:t>transmission</w:t>
      </w:r>
      <w:r w:rsidR="00F854A7">
        <w:rPr>
          <w:rFonts w:eastAsiaTheme="minorEastAsia"/>
        </w:rPr>
        <w:t>s (due to MPE restriction)</w:t>
      </w:r>
      <w:r w:rsidR="00D82165">
        <w:rPr>
          <w:rFonts w:eastAsiaTheme="minorEastAsia"/>
        </w:rPr>
        <w:t xml:space="preserve">. </w:t>
      </w:r>
      <w:r w:rsidR="00F854A7">
        <w:rPr>
          <w:rFonts w:eastAsiaTheme="minorEastAsia"/>
        </w:rPr>
        <w:t>So we propose the following:</w:t>
      </w:r>
    </w:p>
    <w:p w14:paraId="78FF7C26" w14:textId="05C5D2CE" w:rsidR="00D82165" w:rsidRPr="00D82165" w:rsidRDefault="00D82165" w:rsidP="00D82165">
      <w:pPr>
        <w:spacing w:beforeLines="50" w:before="156"/>
        <w:rPr>
          <w:b/>
          <w:i/>
        </w:rPr>
      </w:pPr>
      <w:r w:rsidRPr="006932F9">
        <w:rPr>
          <w:b/>
          <w:i/>
        </w:rPr>
        <w:t>Proposal 6-</w:t>
      </w:r>
      <w:r w:rsidR="00F854A7">
        <w:rPr>
          <w:b/>
          <w:i/>
        </w:rPr>
        <w:t>2</w:t>
      </w:r>
      <w:r w:rsidRPr="006932F9">
        <w:rPr>
          <w:b/>
          <w:i/>
        </w:rPr>
        <w:t xml:space="preserve">: </w:t>
      </w:r>
      <w:r w:rsidR="00F854A7" w:rsidRPr="00F854A7">
        <w:rPr>
          <w:b/>
          <w:i/>
        </w:rPr>
        <w:t xml:space="preserve">When </w:t>
      </w:r>
      <w:r w:rsidR="00F854A7">
        <w:rPr>
          <w:b/>
          <w:i/>
        </w:rPr>
        <w:t>only one P-MPR is reported,</w:t>
      </w:r>
      <w:r w:rsidR="00F854A7" w:rsidRPr="00F854A7">
        <w:rPr>
          <w:b/>
          <w:i/>
        </w:rPr>
        <w:t xml:space="preserve"> the</w:t>
      </w:r>
      <w:r w:rsidR="00F854A7">
        <w:rPr>
          <w:b/>
          <w:i/>
        </w:rPr>
        <w:t xml:space="preserve"> UL </w:t>
      </w:r>
      <w:proofErr w:type="spellStart"/>
      <w:proofErr w:type="gramStart"/>
      <w:r w:rsidR="00F854A7">
        <w:rPr>
          <w:b/>
          <w:i/>
        </w:rPr>
        <w:t>Tx</w:t>
      </w:r>
      <w:proofErr w:type="spellEnd"/>
      <w:proofErr w:type="gramEnd"/>
      <w:r w:rsidR="00F854A7">
        <w:rPr>
          <w:b/>
          <w:i/>
        </w:rPr>
        <w:t xml:space="preserve"> panel/beam associated with the reported</w:t>
      </w:r>
      <w:r w:rsidR="00F854A7" w:rsidRPr="00F854A7">
        <w:rPr>
          <w:b/>
          <w:i/>
        </w:rPr>
        <w:t xml:space="preserve"> SSBRI/CRI </w:t>
      </w:r>
      <w:r w:rsidR="00F854A7">
        <w:rPr>
          <w:b/>
          <w:i/>
        </w:rPr>
        <w:t>is used as</w:t>
      </w:r>
      <w:r w:rsidR="00F854A7" w:rsidRPr="00F854A7">
        <w:rPr>
          <w:b/>
          <w:i/>
        </w:rPr>
        <w:t xml:space="preserve"> default</w:t>
      </w:r>
      <w:r w:rsidR="00F854A7">
        <w:rPr>
          <w:b/>
          <w:i/>
        </w:rPr>
        <w:t xml:space="preserve"> panel/beam</w:t>
      </w:r>
      <w:r w:rsidR="00F854A7" w:rsidRPr="00F854A7">
        <w:rPr>
          <w:b/>
          <w:i/>
        </w:rPr>
        <w:t xml:space="preserve"> for the </w:t>
      </w:r>
      <w:r w:rsidR="00F854A7">
        <w:rPr>
          <w:b/>
          <w:i/>
        </w:rPr>
        <w:t xml:space="preserve">subsequent uplink </w:t>
      </w:r>
      <w:r w:rsidR="00F854A7" w:rsidRPr="00F854A7">
        <w:rPr>
          <w:b/>
          <w:i/>
        </w:rPr>
        <w:t>transmission</w:t>
      </w:r>
      <w:r w:rsidR="00F854A7">
        <w:rPr>
          <w:b/>
          <w:i/>
        </w:rPr>
        <w:t>s</w:t>
      </w:r>
      <w:r w:rsidR="00F854A7" w:rsidRPr="00F854A7">
        <w:rPr>
          <w:b/>
          <w:i/>
        </w:rPr>
        <w:t>.</w:t>
      </w:r>
    </w:p>
    <w:p w14:paraId="721F069F" w14:textId="69D1E48C" w:rsidR="00A57F37" w:rsidRDefault="00A57F37" w:rsidP="00A57F37">
      <w:pPr>
        <w:pStyle w:val="1"/>
        <w:rPr>
          <w:rFonts w:eastAsiaTheme="minorEastAsia"/>
          <w:lang w:val="en-GB" w:eastAsia="zh-CN"/>
        </w:rPr>
      </w:pPr>
      <w:r>
        <w:rPr>
          <w:rFonts w:eastAsiaTheme="minorEastAsia"/>
          <w:lang w:val="en-GB" w:eastAsia="zh-CN"/>
        </w:rPr>
        <w:t>Summary and conclusion</w:t>
      </w:r>
    </w:p>
    <w:p w14:paraId="3439B73C" w14:textId="7CAC6464"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Pr="008C6457">
        <w:rPr>
          <w:lang w:val="en-GB"/>
        </w:rPr>
        <w:t>propose</w:t>
      </w:r>
      <w:r w:rsidR="003E1C52">
        <w:rPr>
          <w:rFonts w:eastAsiaTheme="minorEastAsia"/>
          <w:lang w:val="en-GB"/>
        </w:rPr>
        <w:t xml:space="preserve"> </w:t>
      </w:r>
      <w:r w:rsidR="00F16457">
        <w:rPr>
          <w:rFonts w:eastAsiaTheme="minorEastAsia"/>
          <w:lang w:val="en-GB"/>
        </w:rPr>
        <w:t xml:space="preserve">the </w:t>
      </w:r>
      <w:r w:rsidR="003E1C52">
        <w:rPr>
          <w:rFonts w:eastAsiaTheme="minorEastAsia"/>
          <w:lang w:val="en-GB"/>
        </w:rPr>
        <w:t>following</w:t>
      </w:r>
      <w:r>
        <w:rPr>
          <w:rFonts w:eastAsiaTheme="minorEastAsia"/>
          <w:lang w:val="en-GB"/>
        </w:rPr>
        <w:t>:</w:t>
      </w:r>
    </w:p>
    <w:p w14:paraId="4148CDB6" w14:textId="77777777" w:rsidR="00F97FC6" w:rsidRPr="00B87393" w:rsidRDefault="00F97FC6" w:rsidP="00B87393">
      <w:pPr>
        <w:spacing w:beforeLines="50" w:before="156"/>
        <w:rPr>
          <w:b/>
          <w:i/>
        </w:rPr>
      </w:pPr>
      <w:r w:rsidRPr="00B87393">
        <w:rPr>
          <w:b/>
          <w:i/>
        </w:rPr>
        <w:t>Proposal 2-1: Adopt the following changes on RRC parameters for multi-beam enhancements:</w:t>
      </w:r>
    </w:p>
    <w:p w14:paraId="21089211" w14:textId="77777777" w:rsidR="00F97FC6" w:rsidRPr="00A12954" w:rsidRDefault="00F97FC6" w:rsidP="00B87393">
      <w:pPr>
        <w:pStyle w:val="a3"/>
        <w:numPr>
          <w:ilvl w:val="0"/>
          <w:numId w:val="11"/>
        </w:numPr>
        <w:ind w:left="714" w:firstLineChars="0" w:hanging="357"/>
        <w:rPr>
          <w:rFonts w:eastAsiaTheme="minorEastAsia"/>
          <w:b/>
          <w:i/>
          <w:lang w:val="en-GB"/>
        </w:rPr>
      </w:pPr>
      <w:r>
        <w:rPr>
          <w:b/>
          <w:i/>
          <w:iCs/>
        </w:rPr>
        <w:t xml:space="preserve">Add an </w:t>
      </w:r>
      <w:r w:rsidRPr="00A12954">
        <w:rPr>
          <w:b/>
          <w:i/>
          <w:iCs/>
        </w:rPr>
        <w:t>RRC flag to indicate whether aperiodic CSI-RS resources for CSI or BM should follow the same indicated TCI state as PDCCH</w:t>
      </w:r>
      <w:r>
        <w:rPr>
          <w:b/>
          <w:i/>
          <w:iCs/>
        </w:rPr>
        <w:t>/</w:t>
      </w:r>
      <w:r w:rsidRPr="00A12954">
        <w:rPr>
          <w:b/>
          <w:i/>
          <w:iCs/>
        </w:rPr>
        <w:t>PDSCH on the same CC</w:t>
      </w:r>
    </w:p>
    <w:p w14:paraId="60D84C92" w14:textId="77777777" w:rsidR="00F97FC6" w:rsidRDefault="00F97FC6" w:rsidP="00B87393">
      <w:pPr>
        <w:pStyle w:val="a3"/>
        <w:numPr>
          <w:ilvl w:val="0"/>
          <w:numId w:val="11"/>
        </w:numPr>
        <w:ind w:left="714" w:firstLineChars="0" w:hanging="357"/>
        <w:rPr>
          <w:rFonts w:eastAsiaTheme="minorEastAsia"/>
          <w:b/>
          <w:i/>
          <w:lang w:val="en-GB"/>
        </w:rPr>
      </w:pPr>
      <w:r>
        <w:rPr>
          <w:rFonts w:eastAsiaTheme="minorEastAsia"/>
          <w:b/>
          <w:i/>
          <w:lang w:val="en-GB"/>
        </w:rPr>
        <w:t>A</w:t>
      </w:r>
      <w:r w:rsidRPr="009755C9">
        <w:rPr>
          <w:rFonts w:eastAsiaTheme="minorEastAsia"/>
          <w:b/>
          <w:i/>
          <w:lang w:val="en-GB"/>
        </w:rPr>
        <w:t xml:space="preserve">dd a new QCL type for joint TCI indication capturing both spatial Rx parameters and spatial </w:t>
      </w:r>
      <w:proofErr w:type="spellStart"/>
      <w:r w:rsidRPr="009755C9">
        <w:rPr>
          <w:rFonts w:eastAsiaTheme="minorEastAsia"/>
          <w:b/>
          <w:i/>
          <w:lang w:val="en-GB"/>
        </w:rPr>
        <w:t>Tx</w:t>
      </w:r>
      <w:proofErr w:type="spellEnd"/>
      <w:r w:rsidRPr="009755C9">
        <w:rPr>
          <w:rFonts w:eastAsiaTheme="minorEastAsia"/>
          <w:b/>
          <w:i/>
          <w:lang w:val="en-GB"/>
        </w:rPr>
        <w:t xml:space="preserve"> parameters</w:t>
      </w:r>
    </w:p>
    <w:p w14:paraId="50C04B11" w14:textId="4CFD8636" w:rsidR="0091002E" w:rsidRPr="00044AC2" w:rsidRDefault="00F97FC6" w:rsidP="00B87393">
      <w:pPr>
        <w:pStyle w:val="a3"/>
        <w:numPr>
          <w:ilvl w:val="0"/>
          <w:numId w:val="11"/>
        </w:numPr>
        <w:ind w:left="714" w:firstLineChars="0" w:hanging="357"/>
        <w:rPr>
          <w:rFonts w:eastAsiaTheme="minorEastAsia"/>
          <w:b/>
          <w:i/>
          <w:lang w:val="en-GB"/>
        </w:rPr>
      </w:pPr>
      <w:r>
        <w:rPr>
          <w:rFonts w:eastAsiaTheme="minorEastAsia"/>
          <w:b/>
          <w:i/>
          <w:lang w:val="en-GB"/>
        </w:rPr>
        <w:t>A</w:t>
      </w:r>
      <w:r w:rsidRPr="009755C9">
        <w:rPr>
          <w:rFonts w:eastAsiaTheme="minorEastAsia"/>
          <w:b/>
          <w:i/>
          <w:lang w:val="en-GB"/>
        </w:rPr>
        <w:t>dd an RRC switch between joint TCI and separate DL/UL TCI</w:t>
      </w:r>
    </w:p>
    <w:p w14:paraId="3690C669" w14:textId="2C5923EF" w:rsidR="00044AC2" w:rsidRPr="00044AC2" w:rsidRDefault="001412F1" w:rsidP="00B87393">
      <w:pPr>
        <w:spacing w:beforeLines="50" w:before="156"/>
        <w:rPr>
          <w:b/>
          <w:i/>
        </w:rPr>
      </w:pPr>
      <w:r w:rsidRPr="001412F1">
        <w:rPr>
          <w:b/>
          <w:i/>
        </w:rPr>
        <w:t>Proposal 2-2: Support configuring aperiodic SRS to follow the joint/DL TCI state indicated for PDCCH/PDSCH.</w:t>
      </w:r>
    </w:p>
    <w:p w14:paraId="57F3DF09" w14:textId="77777777" w:rsidR="00BC7498" w:rsidRPr="00AB4EBC" w:rsidRDefault="00BC7498" w:rsidP="00B87393">
      <w:pPr>
        <w:spacing w:beforeLines="50" w:before="156"/>
        <w:rPr>
          <w:b/>
          <w:i/>
        </w:rPr>
      </w:pPr>
      <w:r w:rsidRPr="00A12954">
        <w:rPr>
          <w:b/>
          <w:i/>
        </w:rPr>
        <w:t>Proposal 3-</w:t>
      </w:r>
      <w:r>
        <w:rPr>
          <w:b/>
          <w:i/>
        </w:rPr>
        <w:t>1</w:t>
      </w:r>
      <w:r w:rsidRPr="00A12954">
        <w:rPr>
          <w:b/>
          <w:i/>
        </w:rPr>
        <w:t xml:space="preserve">: </w:t>
      </w:r>
      <w:r>
        <w:rPr>
          <w:b/>
          <w:i/>
        </w:rPr>
        <w:t>F</w:t>
      </w:r>
      <w:r w:rsidRPr="00A12954">
        <w:rPr>
          <w:b/>
          <w:i/>
        </w:rPr>
        <w:t>or</w:t>
      </w:r>
      <w:r>
        <w:rPr>
          <w:b/>
          <w:i/>
        </w:rPr>
        <w:t xml:space="preserve"> inter-cell BM,</w:t>
      </w:r>
      <w:r w:rsidRPr="00A12954">
        <w:rPr>
          <w:b/>
          <w:i/>
        </w:rPr>
        <w:t xml:space="preserve"> </w:t>
      </w:r>
      <w:r>
        <w:rPr>
          <w:b/>
          <w:i/>
        </w:rPr>
        <w:t>the activated</w:t>
      </w:r>
      <w:r w:rsidRPr="0070087D">
        <w:rPr>
          <w:b/>
          <w:i/>
        </w:rPr>
        <w:t xml:space="preserve"> </w:t>
      </w:r>
      <w:r>
        <w:rPr>
          <w:b/>
          <w:i/>
        </w:rPr>
        <w:t>TCI state for UE-dedicated</w:t>
      </w:r>
      <w:r w:rsidRPr="00B87393">
        <w:rPr>
          <w:b/>
          <w:i/>
        </w:rPr>
        <w:t xml:space="preserve"> </w:t>
      </w:r>
      <w:r w:rsidRPr="00044AC2">
        <w:rPr>
          <w:b/>
          <w:i/>
        </w:rPr>
        <w:t>r</w:t>
      </w:r>
      <w:r w:rsidRPr="00074E71">
        <w:rPr>
          <w:b/>
          <w:i/>
        </w:rPr>
        <w:t>eception on PD</w:t>
      </w:r>
      <w:r>
        <w:rPr>
          <w:b/>
          <w:i/>
        </w:rPr>
        <w:t>C</w:t>
      </w:r>
      <w:r w:rsidRPr="00074E71">
        <w:rPr>
          <w:b/>
          <w:i/>
        </w:rPr>
        <w:t>CH/PD</w:t>
      </w:r>
      <w:r>
        <w:rPr>
          <w:b/>
          <w:i/>
        </w:rPr>
        <w:t>S</w:t>
      </w:r>
      <w:r w:rsidRPr="00074E71">
        <w:rPr>
          <w:b/>
          <w:i/>
        </w:rPr>
        <w:t>CH</w:t>
      </w:r>
      <w:r>
        <w:rPr>
          <w:b/>
          <w:i/>
        </w:rPr>
        <w:t xml:space="preserve"> is also applied for </w:t>
      </w:r>
      <w:r w:rsidRPr="00A12954">
        <w:rPr>
          <w:b/>
          <w:i/>
        </w:rPr>
        <w:t>receiving paging</w:t>
      </w:r>
      <w:r>
        <w:rPr>
          <w:b/>
          <w:i/>
        </w:rPr>
        <w:t xml:space="preserve"> and short messages.</w:t>
      </w:r>
      <w:r w:rsidRPr="00A12954">
        <w:rPr>
          <w:b/>
          <w:i/>
        </w:rPr>
        <w:t xml:space="preserve"> </w:t>
      </w:r>
    </w:p>
    <w:p w14:paraId="260DC22F" w14:textId="77777777" w:rsidR="001412F1" w:rsidRPr="00B87393" w:rsidRDefault="001412F1" w:rsidP="00B87393">
      <w:pPr>
        <w:spacing w:beforeLines="50" w:before="156"/>
        <w:rPr>
          <w:b/>
          <w:i/>
        </w:rPr>
      </w:pPr>
      <w:r w:rsidRPr="00B87393">
        <w:rPr>
          <w:b/>
          <w:i/>
        </w:rPr>
        <w:t>Proposal 4</w:t>
      </w:r>
      <w:r w:rsidRPr="00B87393">
        <w:rPr>
          <w:rFonts w:hint="eastAsia"/>
          <w:b/>
          <w:i/>
        </w:rPr>
        <w:t>-</w:t>
      </w:r>
      <w:r w:rsidRPr="00B87393">
        <w:rPr>
          <w:b/>
          <w:i/>
        </w:rPr>
        <w:t>1</w:t>
      </w:r>
      <w:r w:rsidRPr="00B87393">
        <w:rPr>
          <w:rFonts w:ascii="宋体" w:eastAsia="宋体" w:hAnsi="宋体" w:cs="宋体" w:hint="eastAsia"/>
          <w:b/>
          <w:i/>
        </w:rPr>
        <w:t>：</w:t>
      </w:r>
      <w:r w:rsidRPr="00B87393">
        <w:rPr>
          <w:b/>
          <w:i/>
        </w:rPr>
        <w:t>Support different beam application time (BAT) for the cases with and without involving UE panel activation.</w:t>
      </w:r>
    </w:p>
    <w:p w14:paraId="2BE18D56" w14:textId="77777777" w:rsidR="001412F1" w:rsidRPr="00B87393" w:rsidRDefault="001412F1" w:rsidP="00B87393">
      <w:pPr>
        <w:spacing w:beforeLines="50" w:before="156"/>
        <w:rPr>
          <w:b/>
          <w:i/>
        </w:rPr>
      </w:pPr>
      <w:r w:rsidRPr="00B87393">
        <w:rPr>
          <w:b/>
          <w:i/>
        </w:rPr>
        <w:t xml:space="preserve">Proposal 4-2: When more than one TCI </w:t>
      </w:r>
      <w:proofErr w:type="spellStart"/>
      <w:r w:rsidRPr="00B87393">
        <w:rPr>
          <w:b/>
          <w:i/>
        </w:rPr>
        <w:t>codepoints</w:t>
      </w:r>
      <w:proofErr w:type="spellEnd"/>
      <w:r w:rsidRPr="00B87393">
        <w:rPr>
          <w:b/>
          <w:i/>
        </w:rPr>
        <w:t xml:space="preserve"> are activated by MAC CE, the activated TCI state(s) for the lowest </w:t>
      </w:r>
      <w:proofErr w:type="spellStart"/>
      <w:r w:rsidRPr="00B87393">
        <w:rPr>
          <w:b/>
          <w:i/>
        </w:rPr>
        <w:t>codepoint</w:t>
      </w:r>
      <w:proofErr w:type="spellEnd"/>
      <w:r w:rsidRPr="00B87393">
        <w:rPr>
          <w:b/>
          <w:i/>
        </w:rPr>
        <w:t xml:space="preserve"> is/are applied.</w:t>
      </w:r>
    </w:p>
    <w:p w14:paraId="72E85177" w14:textId="77777777" w:rsidR="00A02319" w:rsidRPr="00B87393" w:rsidRDefault="00A02319" w:rsidP="00A02319">
      <w:pPr>
        <w:spacing w:beforeLines="50" w:before="156"/>
        <w:rPr>
          <w:b/>
          <w:i/>
        </w:rPr>
      </w:pPr>
      <w:r w:rsidRPr="00B87393">
        <w:rPr>
          <w:b/>
          <w:i/>
        </w:rPr>
        <w:t xml:space="preserve">Proposal 5-1: </w:t>
      </w:r>
      <w:r w:rsidRPr="00B87393">
        <w:rPr>
          <w:rFonts w:hint="eastAsia"/>
          <w:b/>
          <w:i/>
        </w:rPr>
        <w:t>S</w:t>
      </w:r>
      <w:r w:rsidRPr="00B87393">
        <w:rPr>
          <w:b/>
          <w:i/>
        </w:rPr>
        <w:t>upport reporting multiple sets of the following UE capabilities (corresponding to UE panels) with repetition allowed:</w:t>
      </w:r>
    </w:p>
    <w:p w14:paraId="558A37A4" w14:textId="77777777" w:rsidR="00A02319" w:rsidRPr="008715D2" w:rsidRDefault="00A02319" w:rsidP="00A02319">
      <w:pPr>
        <w:pStyle w:val="a3"/>
        <w:numPr>
          <w:ilvl w:val="0"/>
          <w:numId w:val="29"/>
        </w:numPr>
        <w:ind w:firstLineChars="0"/>
        <w:rPr>
          <w:b/>
          <w:i/>
          <w:szCs w:val="22"/>
        </w:rPr>
      </w:pPr>
      <w:r w:rsidRPr="008715D2">
        <w:rPr>
          <w:b/>
          <w:i/>
          <w:szCs w:val="22"/>
        </w:rPr>
        <w:t>Max supported # of SRS ports</w:t>
      </w:r>
      <w:r>
        <w:rPr>
          <w:b/>
          <w:i/>
          <w:szCs w:val="22"/>
        </w:rPr>
        <w:t xml:space="preserve"> or UL </w:t>
      </w:r>
      <w:r w:rsidRPr="008715D2">
        <w:rPr>
          <w:b/>
          <w:i/>
          <w:szCs w:val="22"/>
        </w:rPr>
        <w:t>layers</w:t>
      </w:r>
    </w:p>
    <w:p w14:paraId="328580B2" w14:textId="77777777" w:rsidR="00A02319" w:rsidRPr="00465C6F" w:rsidRDefault="00A02319" w:rsidP="00A02319">
      <w:pPr>
        <w:pStyle w:val="a3"/>
        <w:numPr>
          <w:ilvl w:val="0"/>
          <w:numId w:val="29"/>
        </w:numPr>
        <w:ind w:firstLineChars="0"/>
        <w:rPr>
          <w:rFonts w:eastAsiaTheme="minorEastAsia"/>
          <w:b/>
          <w:i/>
          <w:szCs w:val="22"/>
        </w:rPr>
      </w:pPr>
      <w:r w:rsidRPr="008715D2">
        <w:rPr>
          <w:b/>
          <w:i/>
          <w:szCs w:val="22"/>
        </w:rPr>
        <w:t>Max supported # of SRS resources within one SRS resource set</w:t>
      </w:r>
    </w:p>
    <w:p w14:paraId="3D1013BB" w14:textId="77777777" w:rsidR="00E44078" w:rsidRPr="00E44078" w:rsidRDefault="00E44078" w:rsidP="00B87393">
      <w:pPr>
        <w:spacing w:beforeLines="50" w:before="156"/>
        <w:rPr>
          <w:b/>
          <w:i/>
        </w:rPr>
      </w:pPr>
      <w:bookmarkStart w:id="0" w:name="_GoBack"/>
      <w:bookmarkEnd w:id="0"/>
      <w:r w:rsidRPr="00E44078">
        <w:rPr>
          <w:b/>
          <w:i/>
        </w:rPr>
        <w:t xml:space="preserve">Proposal 5-2: </w:t>
      </w:r>
      <w:r w:rsidRPr="00E44078">
        <w:rPr>
          <w:rFonts w:hint="eastAsia"/>
          <w:b/>
          <w:i/>
        </w:rPr>
        <w:t>S</w:t>
      </w:r>
      <w:r w:rsidRPr="00E44078">
        <w:rPr>
          <w:b/>
          <w:i/>
        </w:rPr>
        <w:t>upport reporting the index of UE capability value set (corresponding to one UE panel) along with SSBRI/CRI/RSRP/SINR in beam reporting.</w:t>
      </w:r>
    </w:p>
    <w:p w14:paraId="4245779D" w14:textId="77777777" w:rsidR="00F854A7" w:rsidRPr="00B87393" w:rsidRDefault="00F854A7" w:rsidP="00B87393">
      <w:pPr>
        <w:spacing w:beforeLines="50" w:before="156"/>
        <w:rPr>
          <w:b/>
          <w:i/>
        </w:rPr>
      </w:pPr>
      <w:r w:rsidRPr="006932F9">
        <w:rPr>
          <w:b/>
          <w:i/>
        </w:rPr>
        <w:t xml:space="preserve">Proposal 6-1: </w:t>
      </w:r>
      <w:r w:rsidRPr="00B87393">
        <w:rPr>
          <w:b/>
          <w:i/>
        </w:rPr>
        <w:t>The quantity N in previous agreement represents the number of UE panels</w:t>
      </w:r>
      <w:r w:rsidRPr="006932F9">
        <w:rPr>
          <w:b/>
          <w:i/>
        </w:rPr>
        <w:t>.</w:t>
      </w:r>
    </w:p>
    <w:p w14:paraId="4CC71845" w14:textId="77777777" w:rsidR="00F854A7" w:rsidRPr="00D82165" w:rsidRDefault="00F854A7" w:rsidP="00B87393">
      <w:pPr>
        <w:spacing w:beforeLines="50" w:before="156"/>
        <w:rPr>
          <w:b/>
          <w:i/>
        </w:rPr>
      </w:pPr>
      <w:r w:rsidRPr="006932F9">
        <w:rPr>
          <w:b/>
          <w:i/>
        </w:rPr>
        <w:t>Proposal 6-</w:t>
      </w:r>
      <w:r>
        <w:rPr>
          <w:b/>
          <w:i/>
        </w:rPr>
        <w:t>2</w:t>
      </w:r>
      <w:r w:rsidRPr="006932F9">
        <w:rPr>
          <w:b/>
          <w:i/>
        </w:rPr>
        <w:t xml:space="preserve">: </w:t>
      </w:r>
      <w:r w:rsidRPr="00F854A7">
        <w:rPr>
          <w:b/>
          <w:i/>
        </w:rPr>
        <w:t xml:space="preserve">When </w:t>
      </w:r>
      <w:r>
        <w:rPr>
          <w:b/>
          <w:i/>
        </w:rPr>
        <w:t>only one P-MPR is reported,</w:t>
      </w:r>
      <w:r w:rsidRPr="00F854A7">
        <w:rPr>
          <w:b/>
          <w:i/>
        </w:rPr>
        <w:t xml:space="preserve"> the</w:t>
      </w:r>
      <w:r>
        <w:rPr>
          <w:b/>
          <w:i/>
        </w:rPr>
        <w:t xml:space="preserve"> UL </w:t>
      </w:r>
      <w:proofErr w:type="spellStart"/>
      <w:proofErr w:type="gramStart"/>
      <w:r>
        <w:rPr>
          <w:b/>
          <w:i/>
        </w:rPr>
        <w:t>Tx</w:t>
      </w:r>
      <w:proofErr w:type="spellEnd"/>
      <w:proofErr w:type="gramEnd"/>
      <w:r>
        <w:rPr>
          <w:b/>
          <w:i/>
        </w:rPr>
        <w:t xml:space="preserve"> panel/beam associated with the reported</w:t>
      </w:r>
      <w:r w:rsidRPr="00F854A7">
        <w:rPr>
          <w:b/>
          <w:i/>
        </w:rPr>
        <w:t xml:space="preserve"> SSBRI/CRI </w:t>
      </w:r>
      <w:r>
        <w:rPr>
          <w:b/>
          <w:i/>
        </w:rPr>
        <w:t>is used as</w:t>
      </w:r>
      <w:r w:rsidRPr="00F854A7">
        <w:rPr>
          <w:b/>
          <w:i/>
        </w:rPr>
        <w:t xml:space="preserve"> default</w:t>
      </w:r>
      <w:r>
        <w:rPr>
          <w:b/>
          <w:i/>
        </w:rPr>
        <w:t xml:space="preserve"> panel/beam</w:t>
      </w:r>
      <w:r w:rsidRPr="00F854A7">
        <w:rPr>
          <w:b/>
          <w:i/>
        </w:rPr>
        <w:t xml:space="preserve"> for the </w:t>
      </w:r>
      <w:r>
        <w:rPr>
          <w:b/>
          <w:i/>
        </w:rPr>
        <w:t xml:space="preserve">subsequent uplink </w:t>
      </w:r>
      <w:r w:rsidRPr="00F854A7">
        <w:rPr>
          <w:b/>
          <w:i/>
        </w:rPr>
        <w:t>transmission</w:t>
      </w:r>
      <w:r>
        <w:rPr>
          <w:b/>
          <w:i/>
        </w:rPr>
        <w:t>s</w:t>
      </w:r>
      <w:r w:rsidRPr="00F854A7">
        <w:rPr>
          <w:b/>
          <w:i/>
        </w:rPr>
        <w:t>.</w:t>
      </w:r>
    </w:p>
    <w:p w14:paraId="37F3A95E" w14:textId="54D7BFBF" w:rsidR="00957C30" w:rsidRDefault="00957C30">
      <w:pPr>
        <w:rPr>
          <w:rFonts w:eastAsiaTheme="minorEastAsia"/>
          <w:lang w:val="en-GB"/>
        </w:rPr>
      </w:pPr>
    </w:p>
    <w:p w14:paraId="19EE9F35" w14:textId="06A2C699" w:rsidR="00980FFA" w:rsidRDefault="00980FFA" w:rsidP="00980FFA">
      <w:pPr>
        <w:pStyle w:val="1"/>
        <w:rPr>
          <w:rFonts w:eastAsiaTheme="minorEastAsia"/>
          <w:lang w:val="en-GB" w:eastAsia="zh-CN"/>
        </w:rPr>
      </w:pPr>
      <w:r>
        <w:rPr>
          <w:rFonts w:eastAsiaTheme="minorEastAsia"/>
          <w:lang w:val="en-GB" w:eastAsia="zh-CN"/>
        </w:rPr>
        <w:lastRenderedPageBreak/>
        <w:t>References</w:t>
      </w:r>
    </w:p>
    <w:p w14:paraId="18A4E529" w14:textId="39068B56" w:rsidR="00980FFA" w:rsidRDefault="00F15BFC">
      <w:pPr>
        <w:rPr>
          <w:rFonts w:eastAsiaTheme="minorEastAsia"/>
          <w:lang w:val="en-GB"/>
        </w:rPr>
      </w:pPr>
      <w:r>
        <w:rPr>
          <w:rFonts w:eastAsiaTheme="minorEastAsia" w:hint="eastAsia"/>
          <w:lang w:val="en-GB"/>
        </w:rPr>
        <w:t>[</w:t>
      </w:r>
      <w:r>
        <w:rPr>
          <w:rFonts w:eastAsiaTheme="minorEastAsia"/>
          <w:lang w:val="en-GB"/>
        </w:rPr>
        <w:t xml:space="preserve">1] </w:t>
      </w:r>
      <w:r w:rsidR="001412F1" w:rsidRPr="001412F1">
        <w:rPr>
          <w:rFonts w:eastAsiaTheme="minorEastAsia"/>
          <w:lang w:val="en-GB"/>
        </w:rPr>
        <w:t>R1-2110549, Moderator summary#4 for multi-beam enhancement: ROUND 3</w:t>
      </w:r>
    </w:p>
    <w:p w14:paraId="2C90BDB1" w14:textId="5E624315" w:rsidR="00F854A7" w:rsidRDefault="00F854A7">
      <w:pPr>
        <w:rPr>
          <w:rFonts w:eastAsiaTheme="minorEastAsia"/>
          <w:lang w:val="en-GB"/>
        </w:rPr>
      </w:pPr>
      <w:r>
        <w:rPr>
          <w:rFonts w:eastAsiaTheme="minorEastAsia"/>
          <w:lang w:val="en-GB"/>
        </w:rPr>
        <w:t xml:space="preserve">[2] </w:t>
      </w:r>
      <w:r w:rsidRPr="00F854A7">
        <w:rPr>
          <w:rFonts w:eastAsiaTheme="minorEastAsia"/>
          <w:lang w:val="en-GB"/>
        </w:rPr>
        <w:t>R1-2111716</w:t>
      </w:r>
      <w:r>
        <w:rPr>
          <w:rFonts w:eastAsiaTheme="minorEastAsia"/>
          <w:lang w:val="en-GB"/>
        </w:rPr>
        <w:t xml:space="preserve">, </w:t>
      </w:r>
      <w:r w:rsidRPr="00F854A7">
        <w:rPr>
          <w:rFonts w:eastAsiaTheme="minorEastAsia"/>
          <w:lang w:val="en-GB"/>
        </w:rPr>
        <w:t>Summary of offline discussion on unified TCI, inter-cell beam management, and MPUE</w:t>
      </w:r>
    </w:p>
    <w:p w14:paraId="769FEE94" w14:textId="77777777" w:rsidR="00F854A7" w:rsidRPr="006C69F8" w:rsidRDefault="00F854A7">
      <w:pPr>
        <w:rPr>
          <w:rFonts w:eastAsiaTheme="minorEastAsia"/>
          <w:lang w:val="en-GB"/>
        </w:rPr>
      </w:pPr>
    </w:p>
    <w:sectPr w:rsidR="00F854A7" w:rsidRPr="006C69F8" w:rsidSect="00BF1BC0">
      <w:pgSz w:w="11906" w:h="16838"/>
      <w:pgMar w:top="1440" w:right="1440" w:bottom="1440" w:left="144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7C5370" w16cid:durableId="25271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08EE9" w14:textId="77777777" w:rsidR="00B2498A" w:rsidRDefault="00B2498A" w:rsidP="00556F5B">
      <w:r>
        <w:separator/>
      </w:r>
    </w:p>
  </w:endnote>
  <w:endnote w:type="continuationSeparator" w:id="0">
    <w:p w14:paraId="6914E6E3" w14:textId="77777777" w:rsidR="00B2498A" w:rsidRDefault="00B2498A"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19E46" w14:textId="77777777" w:rsidR="00B2498A" w:rsidRDefault="00B2498A" w:rsidP="00556F5B">
      <w:r>
        <w:separator/>
      </w:r>
    </w:p>
  </w:footnote>
  <w:footnote w:type="continuationSeparator" w:id="0">
    <w:p w14:paraId="1149A2F6" w14:textId="77777777" w:rsidR="00B2498A" w:rsidRDefault="00B2498A"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5920C7"/>
    <w:multiLevelType w:val="hybridMultilevel"/>
    <w:tmpl w:val="509ABD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F55EA"/>
    <w:multiLevelType w:val="hybridMultilevel"/>
    <w:tmpl w:val="865AB1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2"/>
  </w:num>
  <w:num w:numId="4">
    <w:abstractNumId w:val="18"/>
  </w:num>
  <w:num w:numId="5">
    <w:abstractNumId w:val="21"/>
  </w:num>
  <w:num w:numId="6">
    <w:abstractNumId w:val="23"/>
  </w:num>
  <w:num w:numId="7">
    <w:abstractNumId w:val="11"/>
  </w:num>
  <w:num w:numId="8">
    <w:abstractNumId w:val="12"/>
  </w:num>
  <w:num w:numId="9">
    <w:abstractNumId w:val="8"/>
  </w:num>
  <w:num w:numId="10">
    <w:abstractNumId w:val="6"/>
  </w:num>
  <w:num w:numId="11">
    <w:abstractNumId w:val="15"/>
  </w:num>
  <w:num w:numId="12">
    <w:abstractNumId w:val="3"/>
  </w:num>
  <w:num w:numId="13">
    <w:abstractNumId w:val="2"/>
  </w:num>
  <w:num w:numId="14">
    <w:abstractNumId w:val="4"/>
  </w:num>
  <w:num w:numId="15">
    <w:abstractNumId w:val="0"/>
  </w:num>
  <w:num w:numId="16">
    <w:abstractNumId w:val="19"/>
  </w:num>
  <w:num w:numId="17">
    <w:abstractNumId w:val="9"/>
  </w:num>
  <w:num w:numId="18">
    <w:abstractNumId w:val="17"/>
  </w:num>
  <w:num w:numId="19">
    <w:abstractNumId w:val="20"/>
  </w:num>
  <w:num w:numId="20">
    <w:abstractNumId w:val="14"/>
  </w:num>
  <w:num w:numId="21">
    <w:abstractNumId w:val="24"/>
  </w:num>
  <w:num w:numId="22">
    <w:abstractNumId w:val="1"/>
  </w:num>
  <w:num w:numId="23">
    <w:abstractNumId w:val="5"/>
  </w:num>
  <w:num w:numId="24">
    <w:abstractNumId w:val="10"/>
  </w:num>
  <w:num w:numId="25">
    <w:abstractNumId w:val="13"/>
  </w:num>
  <w:num w:numId="26">
    <w:abstractNumId w:val="13"/>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16B15"/>
    <w:rsid w:val="00020124"/>
    <w:rsid w:val="0003000D"/>
    <w:rsid w:val="00033EA5"/>
    <w:rsid w:val="0003572D"/>
    <w:rsid w:val="00037B41"/>
    <w:rsid w:val="00043377"/>
    <w:rsid w:val="00043D0F"/>
    <w:rsid w:val="000448FE"/>
    <w:rsid w:val="00044AC2"/>
    <w:rsid w:val="0004513C"/>
    <w:rsid w:val="00053601"/>
    <w:rsid w:val="00054397"/>
    <w:rsid w:val="0005448C"/>
    <w:rsid w:val="00055032"/>
    <w:rsid w:val="00055A85"/>
    <w:rsid w:val="00057906"/>
    <w:rsid w:val="00057EAF"/>
    <w:rsid w:val="00062299"/>
    <w:rsid w:val="00065D4D"/>
    <w:rsid w:val="0006665D"/>
    <w:rsid w:val="00071A47"/>
    <w:rsid w:val="00074050"/>
    <w:rsid w:val="00074E71"/>
    <w:rsid w:val="000757EE"/>
    <w:rsid w:val="00075AEA"/>
    <w:rsid w:val="00086AE4"/>
    <w:rsid w:val="00086D13"/>
    <w:rsid w:val="00086D4E"/>
    <w:rsid w:val="00090C05"/>
    <w:rsid w:val="00090D72"/>
    <w:rsid w:val="00092731"/>
    <w:rsid w:val="00095A56"/>
    <w:rsid w:val="00096792"/>
    <w:rsid w:val="00097B44"/>
    <w:rsid w:val="000B2170"/>
    <w:rsid w:val="000B2D68"/>
    <w:rsid w:val="000B34D9"/>
    <w:rsid w:val="000B3EEE"/>
    <w:rsid w:val="000B513E"/>
    <w:rsid w:val="000C35DF"/>
    <w:rsid w:val="000C3747"/>
    <w:rsid w:val="000D3551"/>
    <w:rsid w:val="000D5DB4"/>
    <w:rsid w:val="000E14F4"/>
    <w:rsid w:val="000E76C8"/>
    <w:rsid w:val="0010111A"/>
    <w:rsid w:val="0010514C"/>
    <w:rsid w:val="00107493"/>
    <w:rsid w:val="00107A05"/>
    <w:rsid w:val="00113DFD"/>
    <w:rsid w:val="001220CE"/>
    <w:rsid w:val="0012321A"/>
    <w:rsid w:val="0012339B"/>
    <w:rsid w:val="0012343F"/>
    <w:rsid w:val="00123F1C"/>
    <w:rsid w:val="001242E7"/>
    <w:rsid w:val="0012432B"/>
    <w:rsid w:val="00126DBC"/>
    <w:rsid w:val="0012720C"/>
    <w:rsid w:val="00135E9B"/>
    <w:rsid w:val="00137D75"/>
    <w:rsid w:val="00140CE7"/>
    <w:rsid w:val="001412F1"/>
    <w:rsid w:val="00141EE7"/>
    <w:rsid w:val="0014328A"/>
    <w:rsid w:val="00143E54"/>
    <w:rsid w:val="00145D48"/>
    <w:rsid w:val="0014776E"/>
    <w:rsid w:val="00150DDD"/>
    <w:rsid w:val="00152655"/>
    <w:rsid w:val="00160AA2"/>
    <w:rsid w:val="00165E2C"/>
    <w:rsid w:val="001711F6"/>
    <w:rsid w:val="00175FCD"/>
    <w:rsid w:val="0017724F"/>
    <w:rsid w:val="0018146A"/>
    <w:rsid w:val="001814CD"/>
    <w:rsid w:val="001817D6"/>
    <w:rsid w:val="00183ABD"/>
    <w:rsid w:val="00187DD2"/>
    <w:rsid w:val="0019056C"/>
    <w:rsid w:val="001910E9"/>
    <w:rsid w:val="0019160C"/>
    <w:rsid w:val="00192286"/>
    <w:rsid w:val="001952B3"/>
    <w:rsid w:val="0019611B"/>
    <w:rsid w:val="00197840"/>
    <w:rsid w:val="00197D9D"/>
    <w:rsid w:val="001A683F"/>
    <w:rsid w:val="001B244D"/>
    <w:rsid w:val="001B32D2"/>
    <w:rsid w:val="001B6ABA"/>
    <w:rsid w:val="001B6FB6"/>
    <w:rsid w:val="001C13B2"/>
    <w:rsid w:val="001C1DF1"/>
    <w:rsid w:val="001C3129"/>
    <w:rsid w:val="001C3C5C"/>
    <w:rsid w:val="001C72BB"/>
    <w:rsid w:val="001D1BF3"/>
    <w:rsid w:val="001D24A3"/>
    <w:rsid w:val="001D6BA9"/>
    <w:rsid w:val="001E04E7"/>
    <w:rsid w:val="001E0CD6"/>
    <w:rsid w:val="001E0FAA"/>
    <w:rsid w:val="001E39EB"/>
    <w:rsid w:val="001E3ED7"/>
    <w:rsid w:val="001E41E0"/>
    <w:rsid w:val="001E5288"/>
    <w:rsid w:val="001F5BCC"/>
    <w:rsid w:val="001F7C2C"/>
    <w:rsid w:val="001F7FA9"/>
    <w:rsid w:val="00201298"/>
    <w:rsid w:val="00201310"/>
    <w:rsid w:val="00202D72"/>
    <w:rsid w:val="00203E84"/>
    <w:rsid w:val="00204A9D"/>
    <w:rsid w:val="002103B7"/>
    <w:rsid w:val="002111F2"/>
    <w:rsid w:val="0022446A"/>
    <w:rsid w:val="00231979"/>
    <w:rsid w:val="0023241E"/>
    <w:rsid w:val="00233380"/>
    <w:rsid w:val="00234DCA"/>
    <w:rsid w:val="00236334"/>
    <w:rsid w:val="0023657E"/>
    <w:rsid w:val="00237397"/>
    <w:rsid w:val="00243E39"/>
    <w:rsid w:val="00245FC3"/>
    <w:rsid w:val="00246F8B"/>
    <w:rsid w:val="002474E3"/>
    <w:rsid w:val="002478E6"/>
    <w:rsid w:val="00253194"/>
    <w:rsid w:val="002568EA"/>
    <w:rsid w:val="0026069B"/>
    <w:rsid w:val="00261D91"/>
    <w:rsid w:val="0026572A"/>
    <w:rsid w:val="00266D98"/>
    <w:rsid w:val="00267778"/>
    <w:rsid w:val="00270C6A"/>
    <w:rsid w:val="0027122F"/>
    <w:rsid w:val="0027255F"/>
    <w:rsid w:val="00273FB2"/>
    <w:rsid w:val="00276D74"/>
    <w:rsid w:val="002775B4"/>
    <w:rsid w:val="00283EA9"/>
    <w:rsid w:val="00285ABE"/>
    <w:rsid w:val="0028788C"/>
    <w:rsid w:val="00287FF3"/>
    <w:rsid w:val="002904CE"/>
    <w:rsid w:val="002916A5"/>
    <w:rsid w:val="00291DF8"/>
    <w:rsid w:val="00292AF1"/>
    <w:rsid w:val="00297F57"/>
    <w:rsid w:val="002A0824"/>
    <w:rsid w:val="002A4502"/>
    <w:rsid w:val="002A52B7"/>
    <w:rsid w:val="002A5D5E"/>
    <w:rsid w:val="002A7AED"/>
    <w:rsid w:val="002B556A"/>
    <w:rsid w:val="002B7639"/>
    <w:rsid w:val="002C69CF"/>
    <w:rsid w:val="002C6A78"/>
    <w:rsid w:val="002D0292"/>
    <w:rsid w:val="002D390F"/>
    <w:rsid w:val="002D5861"/>
    <w:rsid w:val="002D7336"/>
    <w:rsid w:val="002E0D92"/>
    <w:rsid w:val="002E1219"/>
    <w:rsid w:val="002E6435"/>
    <w:rsid w:val="002F1310"/>
    <w:rsid w:val="003027B2"/>
    <w:rsid w:val="00304B76"/>
    <w:rsid w:val="00312FB5"/>
    <w:rsid w:val="00314BD6"/>
    <w:rsid w:val="00317506"/>
    <w:rsid w:val="0031753A"/>
    <w:rsid w:val="0032007C"/>
    <w:rsid w:val="0032080B"/>
    <w:rsid w:val="00321BFC"/>
    <w:rsid w:val="00322BDB"/>
    <w:rsid w:val="00323E76"/>
    <w:rsid w:val="0032653F"/>
    <w:rsid w:val="00327A12"/>
    <w:rsid w:val="0033037F"/>
    <w:rsid w:val="00331477"/>
    <w:rsid w:val="0033455E"/>
    <w:rsid w:val="00334A79"/>
    <w:rsid w:val="003410F8"/>
    <w:rsid w:val="003427D7"/>
    <w:rsid w:val="00343FFB"/>
    <w:rsid w:val="00351A76"/>
    <w:rsid w:val="003541D5"/>
    <w:rsid w:val="00356524"/>
    <w:rsid w:val="00356589"/>
    <w:rsid w:val="003567AC"/>
    <w:rsid w:val="0036082E"/>
    <w:rsid w:val="00361991"/>
    <w:rsid w:val="00361D78"/>
    <w:rsid w:val="00362465"/>
    <w:rsid w:val="00362837"/>
    <w:rsid w:val="00364C05"/>
    <w:rsid w:val="00367FDF"/>
    <w:rsid w:val="003704B3"/>
    <w:rsid w:val="003716A5"/>
    <w:rsid w:val="0037358F"/>
    <w:rsid w:val="00375EE9"/>
    <w:rsid w:val="00385FA8"/>
    <w:rsid w:val="0039016F"/>
    <w:rsid w:val="00391A2A"/>
    <w:rsid w:val="00393D01"/>
    <w:rsid w:val="00394227"/>
    <w:rsid w:val="00396920"/>
    <w:rsid w:val="00396C2D"/>
    <w:rsid w:val="00397700"/>
    <w:rsid w:val="003977C5"/>
    <w:rsid w:val="003A0B68"/>
    <w:rsid w:val="003A6C8A"/>
    <w:rsid w:val="003B1E50"/>
    <w:rsid w:val="003B41BD"/>
    <w:rsid w:val="003B6CAF"/>
    <w:rsid w:val="003B749F"/>
    <w:rsid w:val="003B7A3F"/>
    <w:rsid w:val="003D18D1"/>
    <w:rsid w:val="003D3F3D"/>
    <w:rsid w:val="003D42F6"/>
    <w:rsid w:val="003D625C"/>
    <w:rsid w:val="003D6641"/>
    <w:rsid w:val="003D69F6"/>
    <w:rsid w:val="003D7689"/>
    <w:rsid w:val="003E1047"/>
    <w:rsid w:val="003E1C52"/>
    <w:rsid w:val="003E6F0B"/>
    <w:rsid w:val="003F1C9B"/>
    <w:rsid w:val="003F3F55"/>
    <w:rsid w:val="003F73D8"/>
    <w:rsid w:val="004006A9"/>
    <w:rsid w:val="0040376C"/>
    <w:rsid w:val="00403AC6"/>
    <w:rsid w:val="00403DAF"/>
    <w:rsid w:val="00404718"/>
    <w:rsid w:val="004051D3"/>
    <w:rsid w:val="004055DA"/>
    <w:rsid w:val="004064F4"/>
    <w:rsid w:val="00406C1D"/>
    <w:rsid w:val="0041093A"/>
    <w:rsid w:val="00412301"/>
    <w:rsid w:val="00412956"/>
    <w:rsid w:val="00413D95"/>
    <w:rsid w:val="0041476E"/>
    <w:rsid w:val="00414CA8"/>
    <w:rsid w:val="00416DF0"/>
    <w:rsid w:val="004219F7"/>
    <w:rsid w:val="0042203D"/>
    <w:rsid w:val="004229E6"/>
    <w:rsid w:val="00424A0A"/>
    <w:rsid w:val="00431325"/>
    <w:rsid w:val="00431902"/>
    <w:rsid w:val="0044202D"/>
    <w:rsid w:val="00442B07"/>
    <w:rsid w:val="00442F31"/>
    <w:rsid w:val="00442FD9"/>
    <w:rsid w:val="004439B2"/>
    <w:rsid w:val="00443D78"/>
    <w:rsid w:val="00445A56"/>
    <w:rsid w:val="0045351B"/>
    <w:rsid w:val="00454722"/>
    <w:rsid w:val="004567E6"/>
    <w:rsid w:val="004569B3"/>
    <w:rsid w:val="00457389"/>
    <w:rsid w:val="00461B65"/>
    <w:rsid w:val="004648A1"/>
    <w:rsid w:val="00464B3F"/>
    <w:rsid w:val="00465C6F"/>
    <w:rsid w:val="00466076"/>
    <w:rsid w:val="00471365"/>
    <w:rsid w:val="00473FA1"/>
    <w:rsid w:val="00474336"/>
    <w:rsid w:val="00474CE4"/>
    <w:rsid w:val="00486CF9"/>
    <w:rsid w:val="0048744D"/>
    <w:rsid w:val="004941C4"/>
    <w:rsid w:val="00495C59"/>
    <w:rsid w:val="004A1433"/>
    <w:rsid w:val="004A1D17"/>
    <w:rsid w:val="004A2465"/>
    <w:rsid w:val="004A3313"/>
    <w:rsid w:val="004A5ACF"/>
    <w:rsid w:val="004A60EE"/>
    <w:rsid w:val="004B104A"/>
    <w:rsid w:val="004B23D2"/>
    <w:rsid w:val="004B5F9A"/>
    <w:rsid w:val="004B6689"/>
    <w:rsid w:val="004B76BB"/>
    <w:rsid w:val="004C1E84"/>
    <w:rsid w:val="004D4207"/>
    <w:rsid w:val="004D665B"/>
    <w:rsid w:val="004D6D70"/>
    <w:rsid w:val="004E2D66"/>
    <w:rsid w:val="004E31E0"/>
    <w:rsid w:val="004E5F53"/>
    <w:rsid w:val="004E6332"/>
    <w:rsid w:val="004E6D43"/>
    <w:rsid w:val="004F662C"/>
    <w:rsid w:val="004F74D9"/>
    <w:rsid w:val="004F755B"/>
    <w:rsid w:val="005015E3"/>
    <w:rsid w:val="00503164"/>
    <w:rsid w:val="00506D8F"/>
    <w:rsid w:val="00517F8F"/>
    <w:rsid w:val="00526322"/>
    <w:rsid w:val="0052648A"/>
    <w:rsid w:val="00526733"/>
    <w:rsid w:val="005278CD"/>
    <w:rsid w:val="005350F0"/>
    <w:rsid w:val="00540357"/>
    <w:rsid w:val="00540C3A"/>
    <w:rsid w:val="00546508"/>
    <w:rsid w:val="00556F5B"/>
    <w:rsid w:val="00557602"/>
    <w:rsid w:val="00557E0D"/>
    <w:rsid w:val="005608CE"/>
    <w:rsid w:val="00560AEB"/>
    <w:rsid w:val="00560CC6"/>
    <w:rsid w:val="00565BC1"/>
    <w:rsid w:val="0058077D"/>
    <w:rsid w:val="00581F71"/>
    <w:rsid w:val="005847CB"/>
    <w:rsid w:val="005913A0"/>
    <w:rsid w:val="00593D9D"/>
    <w:rsid w:val="0059763F"/>
    <w:rsid w:val="005A42C6"/>
    <w:rsid w:val="005A448E"/>
    <w:rsid w:val="005A5F3D"/>
    <w:rsid w:val="005B0680"/>
    <w:rsid w:val="005B3C27"/>
    <w:rsid w:val="005C60CE"/>
    <w:rsid w:val="005C6D39"/>
    <w:rsid w:val="005C7CC4"/>
    <w:rsid w:val="005D3B85"/>
    <w:rsid w:val="005D54DB"/>
    <w:rsid w:val="005D595F"/>
    <w:rsid w:val="005D72A7"/>
    <w:rsid w:val="005E0611"/>
    <w:rsid w:val="005E555C"/>
    <w:rsid w:val="005F1FFF"/>
    <w:rsid w:val="005F2D24"/>
    <w:rsid w:val="005F3093"/>
    <w:rsid w:val="005F30D7"/>
    <w:rsid w:val="005F5AF6"/>
    <w:rsid w:val="005F7295"/>
    <w:rsid w:val="0060063B"/>
    <w:rsid w:val="006051DF"/>
    <w:rsid w:val="00606CB7"/>
    <w:rsid w:val="00611186"/>
    <w:rsid w:val="006164C6"/>
    <w:rsid w:val="00617E66"/>
    <w:rsid w:val="006219AD"/>
    <w:rsid w:val="00626C89"/>
    <w:rsid w:val="00626E32"/>
    <w:rsid w:val="0062729A"/>
    <w:rsid w:val="006317D2"/>
    <w:rsid w:val="00631BF2"/>
    <w:rsid w:val="0063727D"/>
    <w:rsid w:val="00637B3B"/>
    <w:rsid w:val="0064328A"/>
    <w:rsid w:val="0064464A"/>
    <w:rsid w:val="0064478E"/>
    <w:rsid w:val="00646761"/>
    <w:rsid w:val="0064691D"/>
    <w:rsid w:val="006510C7"/>
    <w:rsid w:val="00653EE6"/>
    <w:rsid w:val="00654AD5"/>
    <w:rsid w:val="0065706F"/>
    <w:rsid w:val="0066065A"/>
    <w:rsid w:val="00663652"/>
    <w:rsid w:val="0067142E"/>
    <w:rsid w:val="0067267C"/>
    <w:rsid w:val="00672CBF"/>
    <w:rsid w:val="00673386"/>
    <w:rsid w:val="006735E9"/>
    <w:rsid w:val="00674ABB"/>
    <w:rsid w:val="00676030"/>
    <w:rsid w:val="0067679D"/>
    <w:rsid w:val="00677517"/>
    <w:rsid w:val="0068003E"/>
    <w:rsid w:val="006817AC"/>
    <w:rsid w:val="00683336"/>
    <w:rsid w:val="006867B9"/>
    <w:rsid w:val="006905FA"/>
    <w:rsid w:val="006906BD"/>
    <w:rsid w:val="00691977"/>
    <w:rsid w:val="006929D3"/>
    <w:rsid w:val="006932F9"/>
    <w:rsid w:val="00694BB0"/>
    <w:rsid w:val="00696AA7"/>
    <w:rsid w:val="006A02E5"/>
    <w:rsid w:val="006A216B"/>
    <w:rsid w:val="006A348C"/>
    <w:rsid w:val="006B0948"/>
    <w:rsid w:val="006B09A2"/>
    <w:rsid w:val="006B1A91"/>
    <w:rsid w:val="006B1C04"/>
    <w:rsid w:val="006B68BB"/>
    <w:rsid w:val="006C1DB7"/>
    <w:rsid w:val="006C2902"/>
    <w:rsid w:val="006C35D1"/>
    <w:rsid w:val="006C69F8"/>
    <w:rsid w:val="006D0C5A"/>
    <w:rsid w:val="006D5EF5"/>
    <w:rsid w:val="006E0154"/>
    <w:rsid w:val="006F0D64"/>
    <w:rsid w:val="006F3879"/>
    <w:rsid w:val="006F5FE3"/>
    <w:rsid w:val="006F686E"/>
    <w:rsid w:val="0070087D"/>
    <w:rsid w:val="00700D2B"/>
    <w:rsid w:val="00701535"/>
    <w:rsid w:val="0071287E"/>
    <w:rsid w:val="00716485"/>
    <w:rsid w:val="007227C6"/>
    <w:rsid w:val="0072791D"/>
    <w:rsid w:val="00731BC7"/>
    <w:rsid w:val="0073318C"/>
    <w:rsid w:val="00733CF4"/>
    <w:rsid w:val="007344F2"/>
    <w:rsid w:val="007418FE"/>
    <w:rsid w:val="00741BF2"/>
    <w:rsid w:val="00743284"/>
    <w:rsid w:val="00743986"/>
    <w:rsid w:val="007455F1"/>
    <w:rsid w:val="00747C85"/>
    <w:rsid w:val="00750EE2"/>
    <w:rsid w:val="00752975"/>
    <w:rsid w:val="0075541C"/>
    <w:rsid w:val="00760FB8"/>
    <w:rsid w:val="00765DD4"/>
    <w:rsid w:val="0076728B"/>
    <w:rsid w:val="00767AD2"/>
    <w:rsid w:val="007717E4"/>
    <w:rsid w:val="00773AB1"/>
    <w:rsid w:val="007746C0"/>
    <w:rsid w:val="00776FB8"/>
    <w:rsid w:val="00777C15"/>
    <w:rsid w:val="00780226"/>
    <w:rsid w:val="007849FB"/>
    <w:rsid w:val="00785B52"/>
    <w:rsid w:val="00786B6C"/>
    <w:rsid w:val="007954EA"/>
    <w:rsid w:val="00796D88"/>
    <w:rsid w:val="007A1B0A"/>
    <w:rsid w:val="007A3A88"/>
    <w:rsid w:val="007B38C6"/>
    <w:rsid w:val="007B62DB"/>
    <w:rsid w:val="007B6A0B"/>
    <w:rsid w:val="007B6ED8"/>
    <w:rsid w:val="007B7D0B"/>
    <w:rsid w:val="007C237B"/>
    <w:rsid w:val="007C3235"/>
    <w:rsid w:val="007C6415"/>
    <w:rsid w:val="007C7C15"/>
    <w:rsid w:val="007D090B"/>
    <w:rsid w:val="007D0F4C"/>
    <w:rsid w:val="007D3E7E"/>
    <w:rsid w:val="007D5A3A"/>
    <w:rsid w:val="007E4A56"/>
    <w:rsid w:val="007F5200"/>
    <w:rsid w:val="007F54E9"/>
    <w:rsid w:val="00800E34"/>
    <w:rsid w:val="00803517"/>
    <w:rsid w:val="0080571D"/>
    <w:rsid w:val="008059A9"/>
    <w:rsid w:val="0080673D"/>
    <w:rsid w:val="00807147"/>
    <w:rsid w:val="008141B1"/>
    <w:rsid w:val="008145FC"/>
    <w:rsid w:val="00814DDC"/>
    <w:rsid w:val="00826D20"/>
    <w:rsid w:val="00830A41"/>
    <w:rsid w:val="008313A3"/>
    <w:rsid w:val="00832C80"/>
    <w:rsid w:val="008371A7"/>
    <w:rsid w:val="00846413"/>
    <w:rsid w:val="008511F4"/>
    <w:rsid w:val="0085276C"/>
    <w:rsid w:val="00855241"/>
    <w:rsid w:val="00857703"/>
    <w:rsid w:val="00864D28"/>
    <w:rsid w:val="0086540D"/>
    <w:rsid w:val="008715D2"/>
    <w:rsid w:val="008722F4"/>
    <w:rsid w:val="00873823"/>
    <w:rsid w:val="00873C97"/>
    <w:rsid w:val="008745F7"/>
    <w:rsid w:val="00880D3F"/>
    <w:rsid w:val="00882275"/>
    <w:rsid w:val="00887119"/>
    <w:rsid w:val="008915C0"/>
    <w:rsid w:val="008921C8"/>
    <w:rsid w:val="00893D18"/>
    <w:rsid w:val="0089452C"/>
    <w:rsid w:val="00895141"/>
    <w:rsid w:val="008A26C4"/>
    <w:rsid w:val="008A26E5"/>
    <w:rsid w:val="008A4668"/>
    <w:rsid w:val="008A79FE"/>
    <w:rsid w:val="008A7D5A"/>
    <w:rsid w:val="008B135D"/>
    <w:rsid w:val="008B2EEB"/>
    <w:rsid w:val="008B539D"/>
    <w:rsid w:val="008B59B2"/>
    <w:rsid w:val="008C0DDD"/>
    <w:rsid w:val="008C19D2"/>
    <w:rsid w:val="008C2CEB"/>
    <w:rsid w:val="008C54D9"/>
    <w:rsid w:val="008C6457"/>
    <w:rsid w:val="008C654F"/>
    <w:rsid w:val="008C77DD"/>
    <w:rsid w:val="008D2B38"/>
    <w:rsid w:val="008D3779"/>
    <w:rsid w:val="008D448A"/>
    <w:rsid w:val="008D4A50"/>
    <w:rsid w:val="008D607E"/>
    <w:rsid w:val="008F23BF"/>
    <w:rsid w:val="008F2D18"/>
    <w:rsid w:val="008F63B4"/>
    <w:rsid w:val="008F7D79"/>
    <w:rsid w:val="00903B3D"/>
    <w:rsid w:val="009057D9"/>
    <w:rsid w:val="00906A9B"/>
    <w:rsid w:val="00907292"/>
    <w:rsid w:val="00907394"/>
    <w:rsid w:val="0091002E"/>
    <w:rsid w:val="00910463"/>
    <w:rsid w:val="00916A91"/>
    <w:rsid w:val="00932C53"/>
    <w:rsid w:val="009433F6"/>
    <w:rsid w:val="0094471E"/>
    <w:rsid w:val="00946350"/>
    <w:rsid w:val="00947D6B"/>
    <w:rsid w:val="00957C30"/>
    <w:rsid w:val="00962006"/>
    <w:rsid w:val="00964050"/>
    <w:rsid w:val="00965120"/>
    <w:rsid w:val="009660C6"/>
    <w:rsid w:val="00966A35"/>
    <w:rsid w:val="009701AD"/>
    <w:rsid w:val="009730B8"/>
    <w:rsid w:val="00974FED"/>
    <w:rsid w:val="009755C9"/>
    <w:rsid w:val="00980FFA"/>
    <w:rsid w:val="00981FA4"/>
    <w:rsid w:val="00982221"/>
    <w:rsid w:val="0098238E"/>
    <w:rsid w:val="00983373"/>
    <w:rsid w:val="0098444B"/>
    <w:rsid w:val="00985A5F"/>
    <w:rsid w:val="0098639E"/>
    <w:rsid w:val="009A1E64"/>
    <w:rsid w:val="009A4049"/>
    <w:rsid w:val="009A4BEB"/>
    <w:rsid w:val="009A4E82"/>
    <w:rsid w:val="009B013E"/>
    <w:rsid w:val="009B33ED"/>
    <w:rsid w:val="009B6BA8"/>
    <w:rsid w:val="009C0058"/>
    <w:rsid w:val="009C29E4"/>
    <w:rsid w:val="009C73E5"/>
    <w:rsid w:val="009C7A84"/>
    <w:rsid w:val="009D19FE"/>
    <w:rsid w:val="009D54B5"/>
    <w:rsid w:val="009E0993"/>
    <w:rsid w:val="009F42F9"/>
    <w:rsid w:val="00A02319"/>
    <w:rsid w:val="00A024B4"/>
    <w:rsid w:val="00A04399"/>
    <w:rsid w:val="00A06740"/>
    <w:rsid w:val="00A12954"/>
    <w:rsid w:val="00A142C8"/>
    <w:rsid w:val="00A23322"/>
    <w:rsid w:val="00A23BEE"/>
    <w:rsid w:val="00A23CF8"/>
    <w:rsid w:val="00A309E1"/>
    <w:rsid w:val="00A338BC"/>
    <w:rsid w:val="00A34631"/>
    <w:rsid w:val="00A35FF6"/>
    <w:rsid w:val="00A36A5C"/>
    <w:rsid w:val="00A36A94"/>
    <w:rsid w:val="00A40A29"/>
    <w:rsid w:val="00A42680"/>
    <w:rsid w:val="00A431B1"/>
    <w:rsid w:val="00A4358C"/>
    <w:rsid w:val="00A4737D"/>
    <w:rsid w:val="00A50DFD"/>
    <w:rsid w:val="00A51D56"/>
    <w:rsid w:val="00A52D68"/>
    <w:rsid w:val="00A53BF1"/>
    <w:rsid w:val="00A54AA0"/>
    <w:rsid w:val="00A5576F"/>
    <w:rsid w:val="00A57F37"/>
    <w:rsid w:val="00A6539C"/>
    <w:rsid w:val="00A738BE"/>
    <w:rsid w:val="00A739BB"/>
    <w:rsid w:val="00A74AF0"/>
    <w:rsid w:val="00A9209B"/>
    <w:rsid w:val="00A9232A"/>
    <w:rsid w:val="00A9619A"/>
    <w:rsid w:val="00A96350"/>
    <w:rsid w:val="00AA64EE"/>
    <w:rsid w:val="00AB08DC"/>
    <w:rsid w:val="00AB373D"/>
    <w:rsid w:val="00AB4EBC"/>
    <w:rsid w:val="00AB56B5"/>
    <w:rsid w:val="00AB56BD"/>
    <w:rsid w:val="00AB7163"/>
    <w:rsid w:val="00AC0E56"/>
    <w:rsid w:val="00AC13E4"/>
    <w:rsid w:val="00AC2719"/>
    <w:rsid w:val="00AC5EB1"/>
    <w:rsid w:val="00AC7BDE"/>
    <w:rsid w:val="00AD0979"/>
    <w:rsid w:val="00AD5440"/>
    <w:rsid w:val="00AD7B4F"/>
    <w:rsid w:val="00AE08B0"/>
    <w:rsid w:val="00AE1BFF"/>
    <w:rsid w:val="00AE1E7E"/>
    <w:rsid w:val="00AE296A"/>
    <w:rsid w:val="00AE3DA2"/>
    <w:rsid w:val="00AE7CD8"/>
    <w:rsid w:val="00AF12F5"/>
    <w:rsid w:val="00AF2703"/>
    <w:rsid w:val="00AF735D"/>
    <w:rsid w:val="00B0096F"/>
    <w:rsid w:val="00B01804"/>
    <w:rsid w:val="00B02326"/>
    <w:rsid w:val="00B10C4C"/>
    <w:rsid w:val="00B11FFB"/>
    <w:rsid w:val="00B21518"/>
    <w:rsid w:val="00B21E4E"/>
    <w:rsid w:val="00B23B69"/>
    <w:rsid w:val="00B23B9D"/>
    <w:rsid w:val="00B2498A"/>
    <w:rsid w:val="00B253AD"/>
    <w:rsid w:val="00B26D97"/>
    <w:rsid w:val="00B31D41"/>
    <w:rsid w:val="00B3672C"/>
    <w:rsid w:val="00B36DB8"/>
    <w:rsid w:val="00B42A1F"/>
    <w:rsid w:val="00B44D20"/>
    <w:rsid w:val="00B50DE7"/>
    <w:rsid w:val="00B512A0"/>
    <w:rsid w:val="00B52BA0"/>
    <w:rsid w:val="00B540D2"/>
    <w:rsid w:val="00B55D0E"/>
    <w:rsid w:val="00B603E6"/>
    <w:rsid w:val="00B62EA6"/>
    <w:rsid w:val="00B6705B"/>
    <w:rsid w:val="00B67C5F"/>
    <w:rsid w:val="00B67DEE"/>
    <w:rsid w:val="00B71FD4"/>
    <w:rsid w:val="00B729A4"/>
    <w:rsid w:val="00B72ABC"/>
    <w:rsid w:val="00B74528"/>
    <w:rsid w:val="00B74D2E"/>
    <w:rsid w:val="00B87057"/>
    <w:rsid w:val="00B87393"/>
    <w:rsid w:val="00B96A2F"/>
    <w:rsid w:val="00BA1591"/>
    <w:rsid w:val="00BA28F6"/>
    <w:rsid w:val="00BB0270"/>
    <w:rsid w:val="00BB0B0A"/>
    <w:rsid w:val="00BB0B64"/>
    <w:rsid w:val="00BB1646"/>
    <w:rsid w:val="00BB5DBB"/>
    <w:rsid w:val="00BB7521"/>
    <w:rsid w:val="00BC137A"/>
    <w:rsid w:val="00BC1621"/>
    <w:rsid w:val="00BC3FF9"/>
    <w:rsid w:val="00BC7498"/>
    <w:rsid w:val="00BD0581"/>
    <w:rsid w:val="00BD28BD"/>
    <w:rsid w:val="00BD33A9"/>
    <w:rsid w:val="00BE27BC"/>
    <w:rsid w:val="00BE4158"/>
    <w:rsid w:val="00BE4170"/>
    <w:rsid w:val="00BE4F0D"/>
    <w:rsid w:val="00BE6450"/>
    <w:rsid w:val="00BF1BC0"/>
    <w:rsid w:val="00BF1F5C"/>
    <w:rsid w:val="00BF3823"/>
    <w:rsid w:val="00BF522D"/>
    <w:rsid w:val="00BF7879"/>
    <w:rsid w:val="00C0519D"/>
    <w:rsid w:val="00C077C5"/>
    <w:rsid w:val="00C07A0C"/>
    <w:rsid w:val="00C1078F"/>
    <w:rsid w:val="00C128D8"/>
    <w:rsid w:val="00C137B6"/>
    <w:rsid w:val="00C13E50"/>
    <w:rsid w:val="00C14E9C"/>
    <w:rsid w:val="00C16514"/>
    <w:rsid w:val="00C24DD5"/>
    <w:rsid w:val="00C3201F"/>
    <w:rsid w:val="00C335E9"/>
    <w:rsid w:val="00C351BC"/>
    <w:rsid w:val="00C4223F"/>
    <w:rsid w:val="00C43C3F"/>
    <w:rsid w:val="00C43CBE"/>
    <w:rsid w:val="00C46285"/>
    <w:rsid w:val="00C53384"/>
    <w:rsid w:val="00C5709A"/>
    <w:rsid w:val="00C62B93"/>
    <w:rsid w:val="00C71A29"/>
    <w:rsid w:val="00C81CD9"/>
    <w:rsid w:val="00C82A45"/>
    <w:rsid w:val="00C86F9E"/>
    <w:rsid w:val="00C92E44"/>
    <w:rsid w:val="00C9508B"/>
    <w:rsid w:val="00CA68E1"/>
    <w:rsid w:val="00CA6CB0"/>
    <w:rsid w:val="00CA719D"/>
    <w:rsid w:val="00CA7B02"/>
    <w:rsid w:val="00CB2805"/>
    <w:rsid w:val="00CB5358"/>
    <w:rsid w:val="00CC517B"/>
    <w:rsid w:val="00CC6EE0"/>
    <w:rsid w:val="00CD0D5E"/>
    <w:rsid w:val="00CD68A9"/>
    <w:rsid w:val="00CE0D92"/>
    <w:rsid w:val="00CE3798"/>
    <w:rsid w:val="00CE6C3D"/>
    <w:rsid w:val="00CF100E"/>
    <w:rsid w:val="00CF149C"/>
    <w:rsid w:val="00CF5598"/>
    <w:rsid w:val="00CF7D8E"/>
    <w:rsid w:val="00D00670"/>
    <w:rsid w:val="00D02B9C"/>
    <w:rsid w:val="00D02BAE"/>
    <w:rsid w:val="00D0413D"/>
    <w:rsid w:val="00D047F4"/>
    <w:rsid w:val="00D11258"/>
    <w:rsid w:val="00D125A3"/>
    <w:rsid w:val="00D163F1"/>
    <w:rsid w:val="00D17453"/>
    <w:rsid w:val="00D2138B"/>
    <w:rsid w:val="00D312A8"/>
    <w:rsid w:val="00D32B3D"/>
    <w:rsid w:val="00D33967"/>
    <w:rsid w:val="00D37326"/>
    <w:rsid w:val="00D37936"/>
    <w:rsid w:val="00D400E2"/>
    <w:rsid w:val="00D42FCA"/>
    <w:rsid w:val="00D42FDA"/>
    <w:rsid w:val="00D433BA"/>
    <w:rsid w:val="00D533DB"/>
    <w:rsid w:val="00D54092"/>
    <w:rsid w:val="00D558DA"/>
    <w:rsid w:val="00D60B31"/>
    <w:rsid w:val="00D63012"/>
    <w:rsid w:val="00D638EF"/>
    <w:rsid w:val="00D6492D"/>
    <w:rsid w:val="00D655C9"/>
    <w:rsid w:val="00D6721E"/>
    <w:rsid w:val="00D718DF"/>
    <w:rsid w:val="00D72BF0"/>
    <w:rsid w:val="00D7468F"/>
    <w:rsid w:val="00D75797"/>
    <w:rsid w:val="00D778D4"/>
    <w:rsid w:val="00D8077F"/>
    <w:rsid w:val="00D80DF9"/>
    <w:rsid w:val="00D81D4E"/>
    <w:rsid w:val="00D82165"/>
    <w:rsid w:val="00D851D7"/>
    <w:rsid w:val="00D92EA7"/>
    <w:rsid w:val="00D965A3"/>
    <w:rsid w:val="00D971E6"/>
    <w:rsid w:val="00D97BA5"/>
    <w:rsid w:val="00DA5064"/>
    <w:rsid w:val="00DA5269"/>
    <w:rsid w:val="00DA7DAE"/>
    <w:rsid w:val="00DB2FDC"/>
    <w:rsid w:val="00DB6077"/>
    <w:rsid w:val="00DB6A3F"/>
    <w:rsid w:val="00DB7A86"/>
    <w:rsid w:val="00DB7AB7"/>
    <w:rsid w:val="00DC0D28"/>
    <w:rsid w:val="00DC21D7"/>
    <w:rsid w:val="00DC2E7D"/>
    <w:rsid w:val="00DC47E4"/>
    <w:rsid w:val="00DC6464"/>
    <w:rsid w:val="00DC7864"/>
    <w:rsid w:val="00DD2798"/>
    <w:rsid w:val="00DD5B0E"/>
    <w:rsid w:val="00DD6660"/>
    <w:rsid w:val="00DE00DF"/>
    <w:rsid w:val="00DE2A29"/>
    <w:rsid w:val="00DE3803"/>
    <w:rsid w:val="00DE769D"/>
    <w:rsid w:val="00DF5073"/>
    <w:rsid w:val="00E00E70"/>
    <w:rsid w:val="00E03E1D"/>
    <w:rsid w:val="00E04A1B"/>
    <w:rsid w:val="00E1352D"/>
    <w:rsid w:val="00E1404A"/>
    <w:rsid w:val="00E1613E"/>
    <w:rsid w:val="00E16DF1"/>
    <w:rsid w:val="00E17BF9"/>
    <w:rsid w:val="00E21740"/>
    <w:rsid w:val="00E22ADF"/>
    <w:rsid w:val="00E2355A"/>
    <w:rsid w:val="00E24754"/>
    <w:rsid w:val="00E3670D"/>
    <w:rsid w:val="00E36DF7"/>
    <w:rsid w:val="00E4182A"/>
    <w:rsid w:val="00E44078"/>
    <w:rsid w:val="00E46F44"/>
    <w:rsid w:val="00E476E6"/>
    <w:rsid w:val="00E5371E"/>
    <w:rsid w:val="00E63650"/>
    <w:rsid w:val="00E64573"/>
    <w:rsid w:val="00E6591E"/>
    <w:rsid w:val="00E65A5C"/>
    <w:rsid w:val="00E7320D"/>
    <w:rsid w:val="00E74054"/>
    <w:rsid w:val="00E740FD"/>
    <w:rsid w:val="00E80467"/>
    <w:rsid w:val="00E9074A"/>
    <w:rsid w:val="00EA0D36"/>
    <w:rsid w:val="00EA2C86"/>
    <w:rsid w:val="00EA445A"/>
    <w:rsid w:val="00EA6455"/>
    <w:rsid w:val="00EB1CD5"/>
    <w:rsid w:val="00EB7809"/>
    <w:rsid w:val="00EC03FD"/>
    <w:rsid w:val="00EC6C6D"/>
    <w:rsid w:val="00ED023C"/>
    <w:rsid w:val="00ED410C"/>
    <w:rsid w:val="00ED52C5"/>
    <w:rsid w:val="00ED6A55"/>
    <w:rsid w:val="00ED7069"/>
    <w:rsid w:val="00ED7542"/>
    <w:rsid w:val="00EE10A8"/>
    <w:rsid w:val="00EE63FF"/>
    <w:rsid w:val="00EE677B"/>
    <w:rsid w:val="00EE7A3B"/>
    <w:rsid w:val="00EF0AC7"/>
    <w:rsid w:val="00EF30F9"/>
    <w:rsid w:val="00EF4DD7"/>
    <w:rsid w:val="00F061CB"/>
    <w:rsid w:val="00F116F1"/>
    <w:rsid w:val="00F1412C"/>
    <w:rsid w:val="00F15BFC"/>
    <w:rsid w:val="00F160B3"/>
    <w:rsid w:val="00F16457"/>
    <w:rsid w:val="00F16471"/>
    <w:rsid w:val="00F16EC5"/>
    <w:rsid w:val="00F17993"/>
    <w:rsid w:val="00F230D5"/>
    <w:rsid w:val="00F2402E"/>
    <w:rsid w:val="00F32BE7"/>
    <w:rsid w:val="00F35F27"/>
    <w:rsid w:val="00F4079C"/>
    <w:rsid w:val="00F40CDC"/>
    <w:rsid w:val="00F44EC8"/>
    <w:rsid w:val="00F46E7A"/>
    <w:rsid w:val="00F61F2A"/>
    <w:rsid w:val="00F636F9"/>
    <w:rsid w:val="00F63B0D"/>
    <w:rsid w:val="00F65382"/>
    <w:rsid w:val="00F72BFE"/>
    <w:rsid w:val="00F76321"/>
    <w:rsid w:val="00F77397"/>
    <w:rsid w:val="00F778E7"/>
    <w:rsid w:val="00F800A7"/>
    <w:rsid w:val="00F81E48"/>
    <w:rsid w:val="00F854A7"/>
    <w:rsid w:val="00F85951"/>
    <w:rsid w:val="00F94A95"/>
    <w:rsid w:val="00F9575E"/>
    <w:rsid w:val="00F97384"/>
    <w:rsid w:val="00F97E51"/>
    <w:rsid w:val="00F97FC6"/>
    <w:rsid w:val="00FA219D"/>
    <w:rsid w:val="00FA3607"/>
    <w:rsid w:val="00FB35BF"/>
    <w:rsid w:val="00FB4322"/>
    <w:rsid w:val="00FB50E7"/>
    <w:rsid w:val="00FC0795"/>
    <w:rsid w:val="00FC0B97"/>
    <w:rsid w:val="00FC0C68"/>
    <w:rsid w:val="00FC0ECB"/>
    <w:rsid w:val="00FC2701"/>
    <w:rsid w:val="00FC59C9"/>
    <w:rsid w:val="00FD132D"/>
    <w:rsid w:val="00FD20D3"/>
    <w:rsid w:val="00FD6B6E"/>
    <w:rsid w:val="00FE73E8"/>
    <w:rsid w:val="00FE7A0B"/>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319"/>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uiPriority w:val="9"/>
    <w:qFormat/>
    <w:rsid w:val="00E03E1D"/>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E03E1D"/>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E03E1D"/>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E03E1D"/>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CF100E"/>
    <w:pPr>
      <w:ind w:firstLineChars="200" w:firstLine="420"/>
    </w:pPr>
  </w:style>
  <w:style w:type="paragraph" w:styleId="a4">
    <w:name w:val="header"/>
    <w:basedOn w:val="a"/>
    <w:link w:val="Char0"/>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56F5B"/>
    <w:rPr>
      <w:rFonts w:ascii="Calibri" w:eastAsia="宋体" w:hAnsi="Calibri" w:cs="Calibri"/>
      <w:kern w:val="0"/>
      <w:sz w:val="18"/>
      <w:szCs w:val="18"/>
    </w:rPr>
  </w:style>
  <w:style w:type="paragraph" w:styleId="a5">
    <w:name w:val="footer"/>
    <w:basedOn w:val="a"/>
    <w:link w:val="Char1"/>
    <w:uiPriority w:val="99"/>
    <w:unhideWhenUsed/>
    <w:rsid w:val="00556F5B"/>
    <w:pPr>
      <w:tabs>
        <w:tab w:val="center" w:pos="4153"/>
        <w:tab w:val="right" w:pos="8306"/>
      </w:tabs>
      <w:snapToGrid w:val="0"/>
      <w:jc w:val="left"/>
    </w:pPr>
    <w:rPr>
      <w:sz w:val="18"/>
      <w:szCs w:val="18"/>
    </w:rPr>
  </w:style>
  <w:style w:type="character" w:customStyle="1" w:styleId="Char1">
    <w:name w:val="页脚 Char"/>
    <w:basedOn w:val="a0"/>
    <w:link w:val="a5"/>
    <w:uiPriority w:val="99"/>
    <w:rsid w:val="00556F5B"/>
    <w:rPr>
      <w:rFonts w:ascii="Calibri" w:eastAsia="宋体" w:hAnsi="Calibri" w:cs="Calibri"/>
      <w:kern w:val="0"/>
      <w:sz w:val="18"/>
      <w:szCs w:val="18"/>
    </w:rPr>
  </w:style>
  <w:style w:type="table" w:styleId="a6">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2"/>
    <w:uiPriority w:val="99"/>
    <w:unhideWhenUsed/>
    <w:qFormat/>
    <w:rsid w:val="008A4668"/>
    <w:pPr>
      <w:jc w:val="left"/>
    </w:pPr>
  </w:style>
  <w:style w:type="character" w:customStyle="1" w:styleId="Char2">
    <w:name w:val="批注文字 Char"/>
    <w:basedOn w:val="a0"/>
    <w:link w:val="a7"/>
    <w:uiPriority w:val="99"/>
    <w:qFormat/>
    <w:rsid w:val="008A4668"/>
    <w:rPr>
      <w:rFonts w:ascii="Calibri" w:eastAsia="宋体" w:hAnsi="Calibri" w:cs="Calibri"/>
      <w:kern w:val="0"/>
      <w:szCs w:val="21"/>
    </w:rPr>
  </w:style>
  <w:style w:type="character" w:styleId="a8">
    <w:name w:val="annotation reference"/>
    <w:qFormat/>
    <w:rsid w:val="008A4668"/>
    <w:rPr>
      <w:sz w:val="16"/>
      <w:szCs w:val="16"/>
    </w:rPr>
  </w:style>
  <w:style w:type="paragraph" w:styleId="a9">
    <w:name w:val="Balloon Text"/>
    <w:basedOn w:val="a"/>
    <w:link w:val="Char3"/>
    <w:uiPriority w:val="99"/>
    <w:semiHidden/>
    <w:unhideWhenUsed/>
    <w:rsid w:val="008A4668"/>
    <w:rPr>
      <w:sz w:val="18"/>
      <w:szCs w:val="18"/>
    </w:rPr>
  </w:style>
  <w:style w:type="character" w:customStyle="1" w:styleId="Char3">
    <w:name w:val="批注框文本 Char"/>
    <w:basedOn w:val="a0"/>
    <w:link w:val="a9"/>
    <w:uiPriority w:val="99"/>
    <w:semiHidden/>
    <w:rsid w:val="008A4668"/>
    <w:rPr>
      <w:rFonts w:ascii="Calibri" w:eastAsia="宋体" w:hAnsi="Calibri" w:cs="Calibri"/>
      <w:kern w:val="0"/>
      <w:sz w:val="18"/>
      <w:szCs w:val="18"/>
    </w:rPr>
  </w:style>
  <w:style w:type="paragraph" w:styleId="aa">
    <w:name w:val="annotation subject"/>
    <w:basedOn w:val="a7"/>
    <w:next w:val="a7"/>
    <w:link w:val="Char4"/>
    <w:uiPriority w:val="99"/>
    <w:semiHidden/>
    <w:unhideWhenUsed/>
    <w:rsid w:val="00A42680"/>
    <w:rPr>
      <w:b/>
      <w:bCs/>
    </w:rPr>
  </w:style>
  <w:style w:type="character" w:customStyle="1" w:styleId="Char4">
    <w:name w:val="批注主题 Char"/>
    <w:basedOn w:val="Char2"/>
    <w:link w:val="aa"/>
    <w:uiPriority w:val="99"/>
    <w:semiHidden/>
    <w:rsid w:val="00A42680"/>
    <w:rPr>
      <w:rFonts w:ascii="Calibri" w:eastAsia="宋体" w:hAnsi="Calibri" w:cs="Calibri"/>
      <w:b/>
      <w:bCs/>
      <w:kern w:val="0"/>
      <w:szCs w:val="21"/>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b"/>
    <w:uiPriority w:val="35"/>
    <w:rsid w:val="00974FED"/>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rsid w:val="00431325"/>
    <w:rPr>
      <w:rFonts w:ascii="Times New Roman" w:eastAsia="Times New Roman" w:hAnsi="Times New Roman" w:cs="Calibri"/>
      <w:kern w:val="0"/>
      <w:sz w:val="22"/>
      <w:szCs w:val="21"/>
    </w:rPr>
  </w:style>
  <w:style w:type="character" w:styleId="ac">
    <w:name w:val="Strong"/>
    <w:uiPriority w:val="22"/>
    <w:qFormat/>
    <w:rsid w:val="00431325"/>
    <w:rPr>
      <w:b/>
      <w:bCs/>
    </w:rPr>
  </w:style>
  <w:style w:type="character" w:customStyle="1" w:styleId="apple-converted-space">
    <w:name w:val="apple-converted-space"/>
    <w:qFormat/>
    <w:rsid w:val="00431325"/>
  </w:style>
  <w:style w:type="paragraph" w:styleId="ad">
    <w:name w:val="Normal (Web)"/>
    <w:basedOn w:val="a"/>
    <w:uiPriority w:val="99"/>
    <w:qFormat/>
    <w:rsid w:val="00057EAF"/>
    <w:pPr>
      <w:spacing w:before="100" w:beforeAutospacing="1" w:after="100" w:afterAutospacing="1"/>
      <w:ind w:left="720" w:hanging="720"/>
      <w:jc w:val="left"/>
    </w:pPr>
    <w:rPr>
      <w:rFonts w:ascii="Arial" w:eastAsia="宋体" w:hAnsi="Arial" w:cs="Arial"/>
      <w:color w:val="493118"/>
      <w:sz w:val="18"/>
      <w:szCs w:val="18"/>
    </w:rPr>
  </w:style>
  <w:style w:type="paragraph" w:customStyle="1" w:styleId="xmsonormal">
    <w:name w:val="xmsonormal"/>
    <w:basedOn w:val="a"/>
    <w:uiPriority w:val="99"/>
    <w:rsid w:val="00057EAF"/>
    <w:pPr>
      <w:spacing w:before="100" w:beforeAutospacing="1" w:after="100" w:afterAutospacing="1"/>
      <w:jc w:val="left"/>
    </w:pPr>
    <w:rPr>
      <w:rFonts w:eastAsia="宋体" w:cs="Times New Roman"/>
      <w:sz w:val="24"/>
      <w:szCs w:val="24"/>
    </w:rPr>
  </w:style>
  <w:style w:type="character" w:customStyle="1" w:styleId="msoins0">
    <w:name w:val="msoins"/>
    <w:rsid w:val="00057EAF"/>
  </w:style>
  <w:style w:type="paragraph" w:customStyle="1" w:styleId="Agreement">
    <w:name w:val="Agreement"/>
    <w:basedOn w:val="a"/>
    <w:next w:val="a"/>
    <w:uiPriority w:val="99"/>
    <w:qFormat/>
    <w:rsid w:val="00A4737D"/>
    <w:pPr>
      <w:numPr>
        <w:numId w:val="5"/>
      </w:numPr>
      <w:tabs>
        <w:tab w:val="clear" w:pos="4046"/>
        <w:tab w:val="num" w:pos="1069"/>
      </w:tabs>
      <w:spacing w:before="60"/>
      <w:ind w:left="1069"/>
      <w:jc w:val="left"/>
    </w:pPr>
    <w:rPr>
      <w:rFonts w:ascii="Arial" w:eastAsia="MS Mincho" w:hAnsi="Arial" w:cs="Times New Roman"/>
      <w:b/>
      <w:sz w:val="20"/>
      <w:szCs w:val="24"/>
      <w:lang w:val="en-GB" w:eastAsia="en-GB"/>
    </w:rPr>
  </w:style>
  <w:style w:type="character" w:styleId="ae">
    <w:name w:val="Hyperlink"/>
    <w:basedOn w:val="a0"/>
    <w:uiPriority w:val="99"/>
    <w:unhideWhenUsed/>
    <w:qFormat/>
    <w:rsid w:val="00323E76"/>
    <w:rPr>
      <w:color w:val="0563C1" w:themeColor="hyperlink"/>
      <w:u w:val="single"/>
    </w:rPr>
  </w:style>
  <w:style w:type="paragraph" w:customStyle="1" w:styleId="xxxmsonormal">
    <w:name w:val="x_xxmsonormal"/>
    <w:basedOn w:val="a"/>
    <w:uiPriority w:val="99"/>
    <w:rsid w:val="00323E76"/>
    <w:pPr>
      <w:jc w:val="left"/>
    </w:pPr>
    <w:rPr>
      <w:rFonts w:eastAsia="Malgun Gothic" w:cs="Times New Roman"/>
      <w:sz w:val="24"/>
      <w:szCs w:val="24"/>
      <w:lang w:eastAsia="ko-KR"/>
    </w:rPr>
  </w:style>
  <w:style w:type="character" w:customStyle="1" w:styleId="xxxapple-converted-space">
    <w:name w:val="x_xxapple-converted-space"/>
    <w:rsid w:val="00323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21547">
      <w:bodyDiv w:val="1"/>
      <w:marLeft w:val="0"/>
      <w:marRight w:val="0"/>
      <w:marTop w:val="0"/>
      <w:marBottom w:val="0"/>
      <w:divBdr>
        <w:top w:val="none" w:sz="0" w:space="0" w:color="auto"/>
        <w:left w:val="none" w:sz="0" w:space="0" w:color="auto"/>
        <w:bottom w:val="none" w:sz="0" w:space="0" w:color="auto"/>
        <w:right w:val="none" w:sz="0" w:space="0" w:color="auto"/>
      </w:divBdr>
    </w:div>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09935934">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58651626">
      <w:bodyDiv w:val="1"/>
      <w:marLeft w:val="0"/>
      <w:marRight w:val="0"/>
      <w:marTop w:val="0"/>
      <w:marBottom w:val="0"/>
      <w:divBdr>
        <w:top w:val="none" w:sz="0" w:space="0" w:color="auto"/>
        <w:left w:val="none" w:sz="0" w:space="0" w:color="auto"/>
        <w:bottom w:val="none" w:sz="0" w:space="0" w:color="auto"/>
        <w:right w:val="none" w:sz="0" w:space="0" w:color="auto"/>
      </w:divBdr>
    </w:div>
    <w:div w:id="869758483">
      <w:bodyDiv w:val="1"/>
      <w:marLeft w:val="0"/>
      <w:marRight w:val="0"/>
      <w:marTop w:val="0"/>
      <w:marBottom w:val="0"/>
      <w:divBdr>
        <w:top w:val="none" w:sz="0" w:space="0" w:color="auto"/>
        <w:left w:val="none" w:sz="0" w:space="0" w:color="auto"/>
        <w:bottom w:val="none" w:sz="0" w:space="0" w:color="auto"/>
        <w:right w:val="none" w:sz="0" w:space="0" w:color="auto"/>
      </w:divBdr>
    </w:div>
    <w:div w:id="944576419">
      <w:bodyDiv w:val="1"/>
      <w:marLeft w:val="0"/>
      <w:marRight w:val="0"/>
      <w:marTop w:val="0"/>
      <w:marBottom w:val="0"/>
      <w:divBdr>
        <w:top w:val="none" w:sz="0" w:space="0" w:color="auto"/>
        <w:left w:val="none" w:sz="0" w:space="0" w:color="auto"/>
        <w:bottom w:val="none" w:sz="0" w:space="0" w:color="auto"/>
        <w:right w:val="none" w:sz="0" w:space="0" w:color="auto"/>
      </w:divBdr>
    </w:div>
    <w:div w:id="1307469925">
      <w:bodyDiv w:val="1"/>
      <w:marLeft w:val="0"/>
      <w:marRight w:val="0"/>
      <w:marTop w:val="0"/>
      <w:marBottom w:val="0"/>
      <w:divBdr>
        <w:top w:val="none" w:sz="0" w:space="0" w:color="auto"/>
        <w:left w:val="none" w:sz="0" w:space="0" w:color="auto"/>
        <w:bottom w:val="none" w:sz="0" w:space="0" w:color="auto"/>
        <w:right w:val="none" w:sz="0" w:space="0" w:color="auto"/>
      </w:divBdr>
    </w:div>
    <w:div w:id="1312245975">
      <w:bodyDiv w:val="1"/>
      <w:marLeft w:val="0"/>
      <w:marRight w:val="0"/>
      <w:marTop w:val="0"/>
      <w:marBottom w:val="0"/>
      <w:divBdr>
        <w:top w:val="none" w:sz="0" w:space="0" w:color="auto"/>
        <w:left w:val="none" w:sz="0" w:space="0" w:color="auto"/>
        <w:bottom w:val="none" w:sz="0" w:space="0" w:color="auto"/>
        <w:right w:val="none" w:sz="0" w:space="0" w:color="auto"/>
      </w:divBdr>
    </w:div>
    <w:div w:id="13604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1776</Words>
  <Characters>9312</Characters>
  <Application>Microsoft Office Word</Application>
  <DocSecurity>0</DocSecurity>
  <Lines>182</Lines>
  <Paragraphs>92</Paragraphs>
  <ScaleCrop>false</ScaleCrop>
  <Company/>
  <LinksUpToDate>false</LinksUpToDate>
  <CharactersWithSpaces>10996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2021-11-05T15:58:00Z</dcterms:created>
  <dcterms:modified xsi:type="dcterms:W3CDTF">2021-11-06T02:08:00Z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1636161135</vt:lpwstr>
  </property>
  <property fmtid="{D5CDD505-2E9C-101B-9397-08002B2CF9AE}" pid="6" name="_2015_ms_pID_725343">
    <vt:lpwstr>(2)dqmC0JFtbO+LEbtR2/NZxUhB8cuB7sandzcdjZC03DZnS+F58ItSb/UcD83zqp5n1dV7EQ8U
2NFE2j3gt5j/G2evXvT1MPFigdw9qX24IDJQYC0MkfArPD1LjJ15GCf9LeOM5sjWfMKTztBv
Xupppfsc1QMyoxwKXK7uuPOXsWTNHbYmLzm2KueoAWISJGBK3Es+8JEtLGQet2bW6c6YDXnO
hE5GrHN/Z6l60JmMZB</vt:lpwstr>
  </property>
  <property fmtid="{D5CDD505-2E9C-101B-9397-08002B2CF9AE}" pid="7" name="_2015_ms_pID_7253431">
    <vt:lpwstr>j3DnOYekZCITllBAtOSFz4feSPxzdulROWYkgw6rG7skAfhQv250nK
xMJigMffUqvVCGshV8paTDZYQ2F/ODY+FivTno/EyPa84xwCUtyTjxAzQcrTLwoZZXOFAjnq
mEjg2UT88+r3xg9JpyFEc0h2cu9YT9uGfCpw0laFvdnG1xO1TTc18QmnuUxC3BQnZbEDBRv4
i2A/FSx+Bz2cbE5l</vt:lpwstr>
  </property>
</Properties>
</file>