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0"/>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0"/>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0"/>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0"/>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0"/>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0"/>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8F3409" w:rsidP="003F4E73">
            <w:pPr>
              <w:snapToGrid w:val="0"/>
              <w:jc w:val="center"/>
              <w:rPr>
                <w:rFonts w:eastAsia="宋体"/>
                <w:sz w:val="18"/>
                <w:szCs w:val="18"/>
                <w:lang w:eastAsia="zh-CN"/>
              </w:rPr>
            </w:pPr>
            <w:r>
              <w:rPr>
                <w:rFonts w:eastAsia="宋体"/>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65pt;height:274pt;mso-width-percent:0;mso-height-percent:0;mso-width-percent:0;mso-height-percent:0" o:ole="">
                  <v:imagedata r:id="rId14" o:title=""/>
                </v:shape>
                <o:OLEObject Type="Embed" ProgID="Visio.Drawing.11" ShapeID="_x0000_i1025" DrawAspect="Content" ObjectID="_1696187005" r:id="rId15"/>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宋体"/>
                <w:sz w:val="18"/>
                <w:szCs w:val="18"/>
                <w:lang w:eastAsia="zh-CN"/>
              </w:rPr>
              <w:t>So</w:t>
            </w:r>
            <w:proofErr w:type="gramEnd"/>
            <w:r>
              <w:rPr>
                <w:rFonts w:eastAsia="宋体"/>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0"/>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0"/>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t>[Mod: Your understanding for “non-UE-dedicated” is not according to the previous agreement as MTK pointed out which clearly says “can share” (not “always shares”) just as the agreements for CSI-RS and SRS</w:t>
            </w:r>
            <w:proofErr w:type="gramStart"/>
            <w:r>
              <w:rPr>
                <w:rFonts w:eastAsia="宋体"/>
                <w:sz w:val="18"/>
                <w:szCs w:val="18"/>
                <w:lang w:eastAsia="zh-CN"/>
              </w:rPr>
              <w:t>. ]</w:t>
            </w:r>
            <w:proofErr w:type="gramEnd"/>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w:t>
            </w:r>
            <w:proofErr w:type="spellStart"/>
            <w:proofErr w:type="gramStart"/>
            <w:r>
              <w:rPr>
                <w:rFonts w:eastAsia="宋体"/>
                <w:sz w:val="18"/>
                <w:szCs w:val="18"/>
                <w:lang w:eastAsia="zh-CN"/>
              </w:rPr>
              <w:t>give</w:t>
            </w:r>
            <w:proofErr w:type="spellEnd"/>
            <w:proofErr w:type="gramEnd"/>
            <w:r>
              <w:rPr>
                <w:rFonts w:eastAsia="宋体"/>
                <w:sz w:val="18"/>
                <w:szCs w:val="18"/>
                <w:lang w:eastAsia="zh-CN"/>
              </w:rPr>
              <w:t xml:space="preserve"> </w:t>
            </w:r>
            <w:proofErr w:type="spellStart"/>
            <w:r>
              <w:rPr>
                <w:rFonts w:eastAsia="宋体"/>
                <w:sz w:val="18"/>
                <w:szCs w:val="18"/>
                <w:lang w:eastAsia="zh-CN"/>
              </w:rPr>
              <w:t>a</w:t>
            </w:r>
            <w:proofErr w:type="spellEnd"/>
            <w:r>
              <w:rPr>
                <w:rFonts w:eastAsia="宋体"/>
                <w:sz w:val="18"/>
                <w:szCs w:val="18"/>
                <w:lang w:eastAsia="zh-CN"/>
              </w:rPr>
              <w:t xml:space="preserve">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w:t>
            </w:r>
            <w:proofErr w:type="spellStart"/>
            <w:r w:rsidR="003A05BB" w:rsidRPr="003A05BB">
              <w:rPr>
                <w:rFonts w:eastAsia="宋体"/>
                <w:sz w:val="18"/>
                <w:szCs w:val="18"/>
                <w:lang w:eastAsia="zh-CN"/>
              </w:rPr>
              <w:t>TypeD</w:t>
            </w:r>
            <w:proofErr w:type="spellEnd"/>
            <w:proofErr w:type="gramStart"/>
            <w:r w:rsidR="003A05BB">
              <w:rPr>
                <w:rFonts w:eastAsia="宋体"/>
                <w:sz w:val="18"/>
                <w:szCs w:val="18"/>
                <w:lang w:eastAsia="zh-CN"/>
              </w:rPr>
              <w:t>” .</w:t>
            </w:r>
            <w:proofErr w:type="gramEnd"/>
            <w:r w:rsidR="003A05BB">
              <w:rPr>
                <w:rFonts w:eastAsia="宋体"/>
                <w:sz w:val="18"/>
                <w:szCs w:val="18"/>
                <w:lang w:eastAsia="zh-CN"/>
              </w:rPr>
              <w:t xml:space="preserve">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is identical to the QCL Type-D source RS of the spatial relation RS in the UL or (if applicable) joint TCI </w:t>
            </w:r>
            <w:proofErr w:type="gramStart"/>
            <w:r w:rsidR="003A05BB" w:rsidRPr="003A05BB">
              <w:rPr>
                <w:rFonts w:eastAsia="宋体"/>
                <w:sz w:val="18"/>
                <w:szCs w:val="18"/>
                <w:lang w:eastAsia="zh-CN"/>
              </w:rPr>
              <w:t>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w:t>
            </w:r>
            <w:proofErr w:type="gramEnd"/>
            <w:r w:rsidR="003A05BB">
              <w:rPr>
                <w:rFonts w:eastAsia="宋体"/>
                <w:sz w:val="18"/>
                <w:szCs w:val="18"/>
                <w:lang w:eastAsia="zh-CN"/>
              </w:rPr>
              <w:t xml:space="preserve"> not be beam alignment because the Rx beam on PL-RS is determined by the QCL-</w:t>
            </w:r>
            <w:proofErr w:type="spellStart"/>
            <w:r w:rsidR="003A05BB">
              <w:rPr>
                <w:rFonts w:eastAsia="宋体"/>
                <w:sz w:val="18"/>
                <w:szCs w:val="18"/>
                <w:lang w:eastAsia="zh-CN"/>
              </w:rPr>
              <w:t>TypeD</w:t>
            </w:r>
            <w:proofErr w:type="spellEnd"/>
            <w:r w:rsidR="003A05BB">
              <w:rPr>
                <w:rFonts w:eastAsia="宋体"/>
                <w:sz w:val="18"/>
                <w:szCs w:val="18"/>
                <w:lang w:eastAsia="zh-CN"/>
              </w:rPr>
              <w:t xml:space="preserve">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宋体"/>
                <w:sz w:val="18"/>
                <w:szCs w:val="18"/>
                <w:lang w:eastAsia="zh-CN"/>
              </w:rPr>
              <w:t>TypeD</w:t>
            </w:r>
            <w:proofErr w:type="spellEnd"/>
            <w:r>
              <w:rPr>
                <w:rFonts w:eastAsia="宋体"/>
                <w:sz w:val="18"/>
                <w:szCs w:val="18"/>
                <w:lang w:eastAsia="zh-CN"/>
              </w:rPr>
              <w:t xml:space="preserve">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 xml:space="preserve">1.H: We are fine in general. But we think this is for </w:t>
            </w:r>
            <w:proofErr w:type="spellStart"/>
            <w:r>
              <w:rPr>
                <w:rFonts w:eastAsia="宋体"/>
                <w:sz w:val="18"/>
                <w:szCs w:val="18"/>
                <w:lang w:eastAsia="zh-CN"/>
              </w:rPr>
              <w:t>eMBB</w:t>
            </w:r>
            <w:proofErr w:type="spellEnd"/>
            <w:r>
              <w:rPr>
                <w:rFonts w:eastAsia="宋体"/>
                <w:sz w:val="18"/>
                <w:szCs w:val="18"/>
                <w:lang w:eastAsia="zh-CN"/>
              </w:rPr>
              <w:t xml:space="preserve">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0"/>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 xml:space="preserve">Considering that Rel.15 supports max 128 TCI states for PDSCH, 64 DL TCIs + 64 UL TCIs is too </w:t>
            </w:r>
            <w:proofErr w:type="spellStart"/>
            <w:r w:rsidRPr="00593D78">
              <w:rPr>
                <w:rFonts w:eastAsia="宋体"/>
                <w:sz w:val="18"/>
                <w:szCs w:val="18"/>
                <w:lang w:eastAsia="zh-CN"/>
              </w:rPr>
              <w:t>limmited</w:t>
            </w:r>
            <w:proofErr w:type="spellEnd"/>
            <w:r w:rsidRPr="00593D78">
              <w:rPr>
                <w:rFonts w:eastAsia="宋体"/>
                <w:sz w:val="18"/>
                <w:szCs w:val="18"/>
                <w:lang w:eastAsia="zh-CN"/>
              </w:rPr>
              <w:t>.</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 xml:space="preserve">[Mod: This is correct. However, the switching between joint and separate is done via RRC. As long as this is kept, this can be done regardless </w:t>
            </w:r>
            <w:proofErr w:type="spellStart"/>
            <w:r>
              <w:rPr>
                <w:rFonts w:eastAsia="宋体"/>
                <w:sz w:val="18"/>
                <w:szCs w:val="18"/>
                <w:lang w:eastAsia="zh-CN"/>
              </w:rPr>
              <w:t>ofth</w:t>
            </w:r>
            <w:proofErr w:type="spellEnd"/>
            <w:r>
              <w:rPr>
                <w:rFonts w:eastAsia="宋体"/>
                <w:sz w:val="18"/>
                <w:szCs w:val="18"/>
                <w:lang w:eastAsia="zh-CN"/>
              </w:rPr>
              <w:t xml:space="preserve"> </w:t>
            </w:r>
            <w:proofErr w:type="spellStart"/>
            <w:r>
              <w:rPr>
                <w:rFonts w:eastAsia="宋体"/>
                <w:sz w:val="18"/>
                <w:szCs w:val="18"/>
                <w:lang w:eastAsia="zh-CN"/>
              </w:rPr>
              <w:t>epool</w:t>
            </w:r>
            <w:proofErr w:type="spellEnd"/>
            <w:r>
              <w:rPr>
                <w:rFonts w:eastAsia="宋体"/>
                <w:sz w:val="18"/>
                <w:szCs w:val="18"/>
                <w:lang w:eastAsia="zh-CN"/>
              </w:rPr>
              <w:t xml:space="preserve">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w:t>
            </w:r>
            <w:proofErr w:type="spellStart"/>
            <w:r>
              <w:rPr>
                <w:rFonts w:eastAsia="宋体"/>
                <w:sz w:val="18"/>
                <w:szCs w:val="18"/>
                <w:lang w:eastAsia="zh-CN"/>
              </w:rPr>
              <w:t>tat’s</w:t>
            </w:r>
            <w:proofErr w:type="spellEnd"/>
            <w:r>
              <w:rPr>
                <w:rFonts w:eastAsia="宋体"/>
                <w:sz w:val="18"/>
                <w:szCs w:val="18"/>
                <w:lang w:eastAsia="zh-CN"/>
              </w:rPr>
              <w:t xml:space="preserve">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 xml:space="preserve">[Mod: I am not sure if this belongs to UE feature. The list of possible values yes, </w:t>
            </w:r>
            <w:proofErr w:type="spellStart"/>
            <w:r>
              <w:rPr>
                <w:rFonts w:eastAsia="宋体"/>
                <w:sz w:val="18"/>
                <w:szCs w:val="18"/>
                <w:lang w:eastAsia="zh-CN"/>
              </w:rPr>
              <w:t>bot</w:t>
            </w:r>
            <w:proofErr w:type="spellEnd"/>
            <w:r>
              <w:rPr>
                <w:rFonts w:eastAsia="宋体"/>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宋体"/>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w:t>
            </w:r>
            <w:proofErr w:type="gramStart"/>
            <w:r>
              <w:rPr>
                <w:rFonts w:eastAsia="宋体"/>
                <w:sz w:val="18"/>
                <w:szCs w:val="18"/>
                <w:lang w:eastAsia="zh-CN"/>
              </w:rPr>
              <w:t>a  time</w:t>
            </w:r>
            <w:proofErr w:type="gramEnd"/>
            <w:r>
              <w:rPr>
                <w:rFonts w:eastAsia="宋体"/>
                <w:sz w:val="18"/>
                <w:szCs w:val="18"/>
                <w:lang w:eastAsia="zh-CN"/>
              </w:rPr>
              <w:t xml:space="preserve">). Thus, our expectation is that in uplink </w:t>
            </w:r>
            <w:proofErr w:type="spellStart"/>
            <w:r>
              <w:rPr>
                <w:rFonts w:eastAsia="宋体"/>
                <w:sz w:val="18"/>
                <w:szCs w:val="18"/>
                <w:lang w:eastAsia="zh-CN"/>
              </w:rPr>
              <w:t>spatialRelationInfo</w:t>
            </w:r>
            <w:proofErr w:type="spellEnd"/>
            <w:r>
              <w:rPr>
                <w:rFonts w:eastAsia="宋体"/>
                <w:sz w:val="18"/>
                <w:szCs w:val="18"/>
                <w:lang w:eastAsia="zh-CN"/>
              </w:rPr>
              <w:t xml:space="preserve">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 xml:space="preserve">[Mod: This is a relate </w:t>
            </w:r>
            <w:proofErr w:type="spellStart"/>
            <w:r>
              <w:rPr>
                <w:rFonts w:eastAsia="宋体"/>
                <w:sz w:val="18"/>
                <w:szCs w:val="18"/>
                <w:lang w:eastAsia="zh-CN"/>
              </w:rPr>
              <w:t>dbut</w:t>
            </w:r>
            <w:proofErr w:type="spellEnd"/>
            <w:r>
              <w:rPr>
                <w:rFonts w:eastAsia="宋体"/>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1.B.2: We are probably OK, but we are checking with RAN2 if the proposed agreement provides RAN2 with sufficient background to design the </w:t>
            </w:r>
            <w:proofErr w:type="spellStart"/>
            <w:r>
              <w:rPr>
                <w:rFonts w:eastAsia="宋体"/>
                <w:sz w:val="18"/>
                <w:szCs w:val="18"/>
                <w:lang w:eastAsia="zh-CN"/>
              </w:rPr>
              <w:t>signalling</w:t>
            </w:r>
            <w:proofErr w:type="spellEnd"/>
            <w:r>
              <w:rPr>
                <w:rFonts w:eastAsia="宋体"/>
                <w:sz w:val="18"/>
                <w:szCs w:val="18"/>
                <w:lang w:eastAsia="zh-CN"/>
              </w:rPr>
              <w:t xml:space="preserve">. In our understanding, this does not mean that we include an explicit RRC parameter in the list. Could we add an explicit note for </w:t>
            </w:r>
            <w:proofErr w:type="gramStart"/>
            <w:r>
              <w:rPr>
                <w:rFonts w:eastAsia="宋体"/>
                <w:sz w:val="18"/>
                <w:szCs w:val="18"/>
                <w:lang w:eastAsia="zh-CN"/>
              </w:rPr>
              <w:t>this:</w:t>
            </w:r>
            <w:proofErr w:type="gramEnd"/>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宋体"/>
                <w:sz w:val="18"/>
                <w:szCs w:val="18"/>
                <w:lang w:eastAsia="zh-CN"/>
              </w:rPr>
            </w:pPr>
            <w:r>
              <w:rPr>
                <w:rFonts w:eastAsia="宋体"/>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w:t>
            </w:r>
            <w:proofErr w:type="gramStart"/>
            <w:r>
              <w:rPr>
                <w:rFonts w:eastAsia="宋体"/>
                <w:sz w:val="18"/>
                <w:szCs w:val="18"/>
                <w:lang w:eastAsia="zh-CN"/>
              </w:rPr>
              <w:t>UL?“</w:t>
            </w:r>
            <w:proofErr w:type="gramEnd"/>
            <w:r>
              <w:rPr>
                <w:rFonts w:eastAsia="宋体"/>
                <w:sz w:val="18"/>
                <w:szCs w:val="18"/>
                <w:lang w:eastAsia="zh-CN"/>
              </w:rPr>
              <w:t>.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w:t>
            </w:r>
            <w:proofErr w:type="spellStart"/>
            <w:r>
              <w:rPr>
                <w:rFonts w:eastAsia="宋体"/>
                <w:sz w:val="18"/>
                <w:szCs w:val="18"/>
                <w:lang w:eastAsia="zh-CN"/>
              </w:rPr>
              <w:t>understading</w:t>
            </w:r>
            <w:proofErr w:type="spellEnd"/>
            <w:r>
              <w:rPr>
                <w:rFonts w:eastAsia="宋体"/>
                <w:sz w:val="18"/>
                <w:szCs w:val="18"/>
                <w:lang w:eastAsia="zh-CN"/>
              </w:rPr>
              <w:t xml:space="preserve">,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宋体"/>
                <w:sz w:val="18"/>
                <w:szCs w:val="18"/>
                <w:lang w:eastAsia="zh-CN"/>
              </w:rPr>
            </w:pPr>
          </w:p>
          <w:p w14:paraId="06D3AD0F" w14:textId="1ED6187C" w:rsidR="00845D23" w:rsidRDefault="00845D23" w:rsidP="0035130B">
            <w:pPr>
              <w:snapToGrid w:val="0"/>
              <w:rPr>
                <w:rFonts w:eastAsia="宋体"/>
                <w:sz w:val="18"/>
                <w:szCs w:val="18"/>
                <w:lang w:eastAsia="zh-CN"/>
              </w:rPr>
            </w:pPr>
            <w:r>
              <w:rPr>
                <w:rFonts w:eastAsia="宋体"/>
                <w:sz w:val="18"/>
                <w:szCs w:val="18"/>
                <w:lang w:eastAsia="zh-CN"/>
              </w:rPr>
              <w:t>Re proposal 1.B.2, suggest to make the following wording change to clarify what kind of channels or RS</w:t>
            </w:r>
            <w:r w:rsidR="00483FEB">
              <w:rPr>
                <w:rFonts w:eastAsia="宋体"/>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宋体"/>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 xml:space="preserve">The details of this configuration </w:t>
            </w:r>
            <w:proofErr w:type="gramStart"/>
            <w:r w:rsidRPr="00FC2CC3">
              <w:rPr>
                <w:sz w:val="18"/>
                <w:szCs w:val="18"/>
                <w:lang w:eastAsia="zh-CN"/>
              </w:rPr>
              <w:t>is</w:t>
            </w:r>
            <w:proofErr w:type="gramEnd"/>
            <w:r w:rsidRPr="00FC2CC3">
              <w:rPr>
                <w:sz w:val="18"/>
                <w:szCs w:val="18"/>
                <w:lang w:eastAsia="zh-CN"/>
              </w:rPr>
              <w:t xml:space="preserve">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宋体"/>
                <w:sz w:val="18"/>
                <w:szCs w:val="18"/>
                <w:lang w:eastAsia="zh-CN"/>
              </w:rPr>
            </w:pPr>
            <w:ins w:id="19" w:author="Eko Onggosanusi" w:date="2021-10-19T03:20:00Z">
              <w:r>
                <w:rPr>
                  <w:rFonts w:eastAsia="宋体"/>
                  <w:sz w:val="18"/>
                  <w:szCs w:val="18"/>
                  <w:lang w:eastAsia="zh-CN"/>
                </w:rPr>
                <w:t>[Mod: Appreciate</w:t>
              </w:r>
            </w:ins>
            <w:ins w:id="20" w:author="Eko Onggosanusi" w:date="2021-10-19T03:21:00Z">
              <w:r>
                <w:rPr>
                  <w:rFonts w:eastAsia="宋体"/>
                  <w:sz w:val="18"/>
                  <w:szCs w:val="18"/>
                  <w:lang w:eastAsia="zh-CN"/>
                </w:rPr>
                <w:t xml:space="preserve"> the constructive proposal - done</w:t>
              </w:r>
            </w:ins>
            <w:ins w:id="21" w:author="Eko Onggosanusi" w:date="2021-10-19T03:20:00Z">
              <w:r>
                <w:rPr>
                  <w:rFonts w:eastAsia="宋体"/>
                  <w:sz w:val="18"/>
                  <w:szCs w:val="18"/>
                  <w:lang w:eastAsia="zh-CN"/>
                </w:rPr>
                <w:t>]</w:t>
              </w:r>
            </w:ins>
          </w:p>
          <w:p w14:paraId="71F8DAFC" w14:textId="3FD4BE74" w:rsidR="003D23B2" w:rsidRDefault="003D23B2" w:rsidP="0035130B">
            <w:pPr>
              <w:snapToGrid w:val="0"/>
              <w:rPr>
                <w:rFonts w:eastAsia="宋体"/>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宋体"/>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宋体"/>
                <w:sz w:val="18"/>
                <w:szCs w:val="18"/>
                <w:lang w:eastAsia="zh-CN"/>
              </w:rPr>
            </w:pPr>
            <w:bookmarkStart w:id="22" w:name="OLE_LINK4"/>
            <w:bookmarkStart w:id="23" w:name="OLE_LINK5"/>
            <w:r>
              <w:rPr>
                <w:rFonts w:eastAsia="宋体"/>
                <w:sz w:val="18"/>
                <w:szCs w:val="18"/>
                <w:lang w:eastAsia="zh-CN"/>
              </w:rPr>
              <w:t>Proposal 1.B.1:  Support.</w:t>
            </w:r>
            <w:bookmarkEnd w:id="22"/>
            <w:bookmarkEnd w:id="23"/>
          </w:p>
          <w:p w14:paraId="109F7F54" w14:textId="77777777" w:rsidR="00181907" w:rsidRDefault="00181907" w:rsidP="00181907">
            <w:pPr>
              <w:snapToGrid w:val="0"/>
              <w:rPr>
                <w:rFonts w:eastAsia="宋体"/>
                <w:sz w:val="18"/>
                <w:szCs w:val="18"/>
                <w:lang w:eastAsia="zh-CN"/>
              </w:rPr>
            </w:pPr>
            <w:r>
              <w:rPr>
                <w:rFonts w:eastAsia="宋体"/>
                <w:sz w:val="18"/>
                <w:szCs w:val="18"/>
                <w:lang w:eastAsia="zh-CN"/>
              </w:rPr>
              <w:t>Proposal 1.B.2:  Support.</w:t>
            </w:r>
          </w:p>
          <w:p w14:paraId="11884634" w14:textId="51E46E1D" w:rsidR="00181907" w:rsidRDefault="00181907" w:rsidP="00181907">
            <w:pPr>
              <w:snapToGrid w:val="0"/>
              <w:rPr>
                <w:sz w:val="18"/>
                <w:lang w:eastAsia="zh-CN"/>
              </w:rPr>
            </w:pPr>
            <w:r>
              <w:rPr>
                <w:rFonts w:eastAsia="宋体"/>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宋体"/>
                <w:sz w:val="18"/>
                <w:szCs w:val="18"/>
                <w:lang w:eastAsia="zh-CN"/>
              </w:rPr>
            </w:pPr>
            <w:r>
              <w:rPr>
                <w:rFonts w:eastAsia="宋体"/>
                <w:sz w:val="18"/>
                <w:szCs w:val="18"/>
                <w:lang w:eastAsia="zh-CN"/>
              </w:rPr>
              <w:t>For 1.B.x, as suggested by FL, our view is provided again:</w:t>
            </w:r>
          </w:p>
          <w:p w14:paraId="194D510E" w14:textId="73753AC1" w:rsidR="002F715F" w:rsidRDefault="002F715F" w:rsidP="00181907">
            <w:pPr>
              <w:snapToGrid w:val="0"/>
              <w:rPr>
                <w:rFonts w:eastAsia="宋体"/>
                <w:sz w:val="18"/>
                <w:szCs w:val="18"/>
                <w:lang w:eastAsia="zh-CN"/>
              </w:rPr>
            </w:pPr>
          </w:p>
          <w:p w14:paraId="735BFD57" w14:textId="7C6E49A2" w:rsidR="002F715F" w:rsidRDefault="002F715F" w:rsidP="00181907">
            <w:pPr>
              <w:snapToGrid w:val="0"/>
              <w:rPr>
                <w:rFonts w:eastAsia="宋体"/>
                <w:sz w:val="18"/>
                <w:szCs w:val="18"/>
                <w:lang w:eastAsia="zh-CN"/>
              </w:rPr>
            </w:pPr>
            <w:r>
              <w:rPr>
                <w:rFonts w:eastAsia="宋体"/>
                <w:sz w:val="18"/>
                <w:szCs w:val="18"/>
                <w:lang w:eastAsia="zh-CN"/>
              </w:rPr>
              <w:t xml:space="preserve">1.B.1: </w:t>
            </w:r>
          </w:p>
          <w:p w14:paraId="14301764" w14:textId="77777777" w:rsidR="002F715F" w:rsidRPr="00EE2291" w:rsidRDefault="002F715F" w:rsidP="002F715F">
            <w:pPr>
              <w:pStyle w:val="af0"/>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w:t>
            </w:r>
            <w:proofErr w:type="gramStart"/>
            <w:r w:rsidRPr="00EE2291">
              <w:rPr>
                <w:sz w:val="18"/>
                <w:szCs w:val="18"/>
                <w:lang w:eastAsia="zh-CN"/>
              </w:rPr>
              <w:t>other</w:t>
            </w:r>
            <w:proofErr w:type="gramEnd"/>
            <w:r w:rsidRPr="00EE2291">
              <w:rPr>
                <w:sz w:val="18"/>
                <w:szCs w:val="18"/>
                <w:lang w:eastAsia="zh-CN"/>
              </w:rPr>
              <w:t xml:space="preserve"> CSI-RS. </w:t>
            </w:r>
          </w:p>
          <w:p w14:paraId="13FE07BC"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宋体"/>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In addition, how to interpret the SRI (especially for NCB) if the SRS and PUSCH are configured with different beams?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宋体"/>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宋体"/>
                <w:sz w:val="18"/>
                <w:szCs w:val="18"/>
                <w:lang w:eastAsia="zh-CN"/>
              </w:rPr>
            </w:pPr>
            <w:r>
              <w:rPr>
                <w:rFonts w:eastAsia="宋体"/>
                <w:sz w:val="18"/>
                <w:szCs w:val="18"/>
                <w:lang w:eastAsia="zh-CN"/>
              </w:rPr>
              <w:t xml:space="preserve">Minor revision of 1.B.2 per OPPO’s comment (by elaborating per previous agreements). </w:t>
            </w:r>
            <w:proofErr w:type="spellStart"/>
            <w:r>
              <w:rPr>
                <w:rFonts w:eastAsia="宋体"/>
                <w:sz w:val="18"/>
                <w:szCs w:val="18"/>
                <w:lang w:eastAsia="zh-CN"/>
              </w:rPr>
              <w:t>Rewordingon</w:t>
            </w:r>
            <w:proofErr w:type="spellEnd"/>
            <w:r>
              <w:rPr>
                <w:rFonts w:eastAsia="宋体"/>
                <w:sz w:val="18"/>
                <w:szCs w:val="18"/>
                <w:lang w:eastAsia="zh-CN"/>
              </w:rPr>
              <w:t xml:space="preserve"> Notes to avoid confusion.</w:t>
            </w:r>
          </w:p>
          <w:p w14:paraId="156CC4C9" w14:textId="77777777" w:rsidR="00C66430" w:rsidRDefault="00C66430" w:rsidP="00C66430">
            <w:pPr>
              <w:snapToGrid w:val="0"/>
              <w:rPr>
                <w:rFonts w:eastAsia="宋体"/>
                <w:sz w:val="18"/>
                <w:szCs w:val="18"/>
                <w:lang w:eastAsia="zh-CN"/>
              </w:rPr>
            </w:pPr>
          </w:p>
          <w:p w14:paraId="6A04970B" w14:textId="3AC3E26A" w:rsidR="00C66430" w:rsidRPr="00C66430" w:rsidRDefault="00C66430" w:rsidP="00C66430">
            <w:pPr>
              <w:snapToGrid w:val="0"/>
              <w:rPr>
                <w:rFonts w:eastAsia="宋体"/>
                <w:b/>
                <w:color w:val="3333FF"/>
                <w:sz w:val="18"/>
                <w:szCs w:val="18"/>
                <w:lang w:eastAsia="zh-CN"/>
              </w:rPr>
            </w:pPr>
            <w:r w:rsidRPr="00C66430">
              <w:rPr>
                <w:rFonts w:eastAsia="宋体"/>
                <w:b/>
                <w:color w:val="3333FF"/>
                <w:szCs w:val="18"/>
                <w:lang w:eastAsia="zh-CN"/>
              </w:rPr>
              <w:t>@</w:t>
            </w:r>
            <w:proofErr w:type="gramStart"/>
            <w:r w:rsidRPr="00C66430">
              <w:rPr>
                <w:rFonts w:eastAsia="宋体"/>
                <w:b/>
                <w:color w:val="3333FF"/>
                <w:szCs w:val="18"/>
                <w:lang w:eastAsia="zh-CN"/>
              </w:rPr>
              <w:t>1.B.</w:t>
            </w:r>
            <w:proofErr w:type="gramEnd"/>
            <w:r w:rsidRPr="00C66430">
              <w:rPr>
                <w:rFonts w:eastAsia="宋体"/>
                <w:b/>
                <w:color w:val="3333FF"/>
                <w:szCs w:val="18"/>
                <w:lang w:eastAsia="zh-CN"/>
              </w:rPr>
              <w:t>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宋体"/>
                <w:sz w:val="18"/>
                <w:szCs w:val="18"/>
                <w:lang w:eastAsia="zh-CN"/>
              </w:rPr>
            </w:pPr>
            <w:r>
              <w:rPr>
                <w:rFonts w:eastAsia="宋体"/>
                <w:sz w:val="18"/>
                <w:szCs w:val="18"/>
                <w:lang w:eastAsia="zh-CN"/>
              </w:rPr>
              <w:t>On Apple’s questions, we already provided response in previous comments. Repeat again as follows:</w:t>
            </w:r>
          </w:p>
          <w:p w14:paraId="2E716801" w14:textId="77777777" w:rsidR="00CE118E" w:rsidRDefault="00CE118E" w:rsidP="00CE118E">
            <w:pPr>
              <w:pStyle w:val="af0"/>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af0"/>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af0"/>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af0"/>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af0"/>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af0"/>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宋体"/>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宋体"/>
                <w:sz w:val="18"/>
                <w:szCs w:val="18"/>
                <w:lang w:eastAsia="zh-CN"/>
              </w:rPr>
            </w:pPr>
            <w:r>
              <w:rPr>
                <w:rFonts w:eastAsia="宋体"/>
                <w:sz w:val="18"/>
                <w:szCs w:val="18"/>
                <w:lang w:eastAsia="zh-CN"/>
              </w:rPr>
              <w:t xml:space="preserve">We think Apple raises a few good points on </w:t>
            </w:r>
            <w:proofErr w:type="gramStart"/>
            <w:r>
              <w:rPr>
                <w:rFonts w:eastAsia="宋体"/>
                <w:sz w:val="18"/>
                <w:szCs w:val="18"/>
                <w:lang w:eastAsia="zh-CN"/>
              </w:rPr>
              <w:t>1.B.</w:t>
            </w:r>
            <w:proofErr w:type="gramEnd"/>
            <w:r>
              <w:rPr>
                <w:rFonts w:eastAsia="宋体"/>
                <w:sz w:val="18"/>
                <w:szCs w:val="18"/>
                <w:lang w:eastAsia="zh-CN"/>
              </w:rPr>
              <w:t xml:space="preserve">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宋体"/>
                <w:sz w:val="18"/>
                <w:szCs w:val="18"/>
                <w:lang w:eastAsia="zh-CN"/>
              </w:rPr>
              <w:t>signallign</w:t>
            </w:r>
            <w:proofErr w:type="spellEnd"/>
            <w:r>
              <w:rPr>
                <w:rFonts w:eastAsia="宋体"/>
                <w:sz w:val="18"/>
                <w:szCs w:val="18"/>
                <w:lang w:eastAsia="zh-CN"/>
              </w:rPr>
              <w:t xml:space="preserve"> design principle, to reduce RRC signaling overhead.</w:t>
            </w:r>
          </w:p>
          <w:p w14:paraId="40F51570" w14:textId="77777777" w:rsidR="001C569A" w:rsidRDefault="001C569A" w:rsidP="001C569A">
            <w:pPr>
              <w:snapToGrid w:val="0"/>
              <w:rPr>
                <w:rFonts w:eastAsia="宋体"/>
                <w:sz w:val="18"/>
                <w:szCs w:val="18"/>
                <w:lang w:eastAsia="zh-CN"/>
              </w:rPr>
            </w:pPr>
          </w:p>
          <w:p w14:paraId="1544494D" w14:textId="77777777" w:rsidR="001C569A" w:rsidRDefault="001C569A" w:rsidP="001C569A">
            <w:pPr>
              <w:snapToGrid w:val="0"/>
              <w:rPr>
                <w:rFonts w:eastAsia="宋体"/>
                <w:sz w:val="18"/>
                <w:szCs w:val="18"/>
                <w:lang w:eastAsia="zh-CN"/>
              </w:rPr>
            </w:pPr>
            <w:r>
              <w:rPr>
                <w:rFonts w:eastAsia="宋体"/>
                <w:sz w:val="18"/>
                <w:szCs w:val="18"/>
                <w:lang w:eastAsia="zh-CN"/>
              </w:rPr>
              <w:t xml:space="preserve">Then, in general, a configured parameter overrides a default. </w:t>
            </w:r>
            <w:proofErr w:type="gramStart"/>
            <w:r>
              <w:rPr>
                <w:rFonts w:eastAsia="宋体"/>
                <w:sz w:val="18"/>
                <w:szCs w:val="18"/>
                <w:lang w:eastAsia="zh-CN"/>
              </w:rPr>
              <w:t>So</w:t>
            </w:r>
            <w:proofErr w:type="gramEnd"/>
            <w:r>
              <w:rPr>
                <w:rFonts w:eastAsia="宋体"/>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宋体"/>
                <w:sz w:val="18"/>
                <w:szCs w:val="18"/>
                <w:lang w:eastAsia="zh-CN"/>
              </w:rPr>
            </w:pPr>
          </w:p>
          <w:p w14:paraId="1E2F1674" w14:textId="77777777" w:rsidR="001C569A" w:rsidRDefault="001C569A" w:rsidP="001C569A">
            <w:pPr>
              <w:snapToGrid w:val="0"/>
              <w:rPr>
                <w:rFonts w:eastAsia="宋体"/>
                <w:sz w:val="18"/>
                <w:szCs w:val="18"/>
                <w:lang w:eastAsia="zh-CN"/>
              </w:rPr>
            </w:pPr>
            <w:r>
              <w:rPr>
                <w:rFonts w:eastAsia="宋体"/>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宋体"/>
                <w:sz w:val="18"/>
                <w:szCs w:val="18"/>
                <w:lang w:eastAsia="zh-CN"/>
              </w:rPr>
            </w:pPr>
          </w:p>
          <w:p w14:paraId="18D7D0A0" w14:textId="4F014811" w:rsidR="001C569A" w:rsidRDefault="001C569A" w:rsidP="001C569A">
            <w:pPr>
              <w:snapToGrid w:val="0"/>
              <w:spacing w:after="240"/>
              <w:rPr>
                <w:rFonts w:eastAsia="宋体"/>
                <w:sz w:val="18"/>
                <w:szCs w:val="18"/>
                <w:lang w:eastAsia="zh-CN"/>
              </w:rPr>
            </w:pPr>
            <w:r>
              <w:rPr>
                <w:rFonts w:eastAsia="宋体"/>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宋体"/>
                <w:sz w:val="18"/>
                <w:szCs w:val="18"/>
                <w:lang w:eastAsia="zh-CN"/>
              </w:rPr>
            </w:pPr>
            <w:r>
              <w:rPr>
                <w:rFonts w:eastAsia="宋体"/>
                <w:sz w:val="18"/>
                <w:szCs w:val="18"/>
                <w:lang w:eastAsia="zh-CN"/>
              </w:rPr>
              <w:t>@MTK, thank you for the comments. some follow-up as follows.</w:t>
            </w:r>
          </w:p>
          <w:p w14:paraId="41776B24" w14:textId="77777777" w:rsidR="00A45E3A" w:rsidRDefault="00A45E3A" w:rsidP="00A45E3A">
            <w:pPr>
              <w:pStyle w:val="af0"/>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1D5608DD" w14:textId="77777777" w:rsidR="00A45E3A" w:rsidRDefault="00A45E3A" w:rsidP="00A45E3A">
            <w:pPr>
              <w:pStyle w:val="af0"/>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af0"/>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50934E1C" w14:textId="77777777" w:rsidR="00A45E3A" w:rsidRDefault="00A45E3A" w:rsidP="00A45E3A">
            <w:pPr>
              <w:pStyle w:val="af0"/>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530406D5" w14:textId="0D7D7D84" w:rsidR="00A45E3A" w:rsidRPr="00A45E3A"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af0"/>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5A33FEEB" w14:textId="77777777" w:rsidR="00A45E3A" w:rsidRPr="00812CCC"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af0"/>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0C9AFEFD" w14:textId="77777777" w:rsidR="00A45E3A" w:rsidRPr="00812CCC"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宋体"/>
                <w:sz w:val="18"/>
                <w:szCs w:val="18"/>
                <w:lang w:eastAsia="zh-CN"/>
              </w:rPr>
            </w:pPr>
            <w:r>
              <w:rPr>
                <w:rFonts w:eastAsia="宋体"/>
                <w:sz w:val="18"/>
                <w:szCs w:val="18"/>
                <w:lang w:eastAsia="zh-CN"/>
              </w:rPr>
              <w:t>@Ericsson, thank you for the clarification. Please find our view inline.</w:t>
            </w:r>
          </w:p>
          <w:p w14:paraId="696F3CA5" w14:textId="74F84134" w:rsidR="00A45E3A" w:rsidRDefault="00A45E3A" w:rsidP="00A45E3A">
            <w:pPr>
              <w:snapToGrid w:val="0"/>
              <w:rPr>
                <w:rFonts w:eastAsia="宋体"/>
                <w:sz w:val="18"/>
                <w:szCs w:val="18"/>
                <w:lang w:eastAsia="zh-CN"/>
              </w:rPr>
            </w:pPr>
            <w:r>
              <w:rPr>
                <w:rFonts w:eastAsia="宋体"/>
                <w:sz w:val="18"/>
                <w:szCs w:val="18"/>
                <w:lang w:eastAsia="zh-CN"/>
              </w:rPr>
              <w:t xml:space="preserve">We think Apple raises a few good points on </w:t>
            </w:r>
            <w:proofErr w:type="gramStart"/>
            <w:r>
              <w:rPr>
                <w:rFonts w:eastAsia="宋体"/>
                <w:sz w:val="18"/>
                <w:szCs w:val="18"/>
                <w:lang w:eastAsia="zh-CN"/>
              </w:rPr>
              <w:t>1.B.</w:t>
            </w:r>
            <w:proofErr w:type="gramEnd"/>
            <w:r>
              <w:rPr>
                <w:rFonts w:eastAsia="宋体"/>
                <w:sz w:val="18"/>
                <w:szCs w:val="18"/>
                <w:lang w:eastAsia="zh-CN"/>
              </w:rPr>
              <w:t xml:space="preserve">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宋体"/>
                <w:sz w:val="18"/>
                <w:szCs w:val="18"/>
                <w:lang w:eastAsia="zh-CN"/>
              </w:rPr>
              <w:t>signallign</w:t>
            </w:r>
            <w:proofErr w:type="spellEnd"/>
            <w:r>
              <w:rPr>
                <w:rFonts w:eastAsia="宋体"/>
                <w:sz w:val="18"/>
                <w:szCs w:val="18"/>
                <w:lang w:eastAsia="zh-CN"/>
              </w:rPr>
              <w:t xml:space="preserve"> design principle, to reduce RRC signaling overhead.</w:t>
            </w:r>
          </w:p>
          <w:p w14:paraId="72EA6B9D" w14:textId="16862BDA"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宋体"/>
                <w:sz w:val="18"/>
                <w:szCs w:val="18"/>
                <w:lang w:eastAsia="zh-CN"/>
              </w:rPr>
            </w:pPr>
          </w:p>
          <w:p w14:paraId="38A3FD8D" w14:textId="344D02FE" w:rsidR="00A45E3A" w:rsidRDefault="00A45E3A" w:rsidP="00A45E3A">
            <w:pPr>
              <w:snapToGrid w:val="0"/>
              <w:rPr>
                <w:rFonts w:eastAsia="宋体"/>
                <w:sz w:val="18"/>
                <w:szCs w:val="18"/>
                <w:lang w:eastAsia="zh-CN"/>
              </w:rPr>
            </w:pPr>
            <w:r>
              <w:rPr>
                <w:rFonts w:eastAsia="宋体"/>
                <w:sz w:val="18"/>
                <w:szCs w:val="18"/>
                <w:lang w:eastAsia="zh-CN"/>
              </w:rPr>
              <w:t xml:space="preserve">Then, in general, a configured parameter overrides a default. </w:t>
            </w:r>
            <w:proofErr w:type="gramStart"/>
            <w:r>
              <w:rPr>
                <w:rFonts w:eastAsia="宋体"/>
                <w:sz w:val="18"/>
                <w:szCs w:val="18"/>
                <w:lang w:eastAsia="zh-CN"/>
              </w:rPr>
              <w:t>So</w:t>
            </w:r>
            <w:proofErr w:type="gramEnd"/>
            <w:r>
              <w:rPr>
                <w:rFonts w:eastAsia="宋体"/>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 xml:space="preserve">[Apple] I agree that we should avoid mixing spatial relation and UL TCI. </w:t>
            </w:r>
            <w:r w:rsidR="00C12187">
              <w:rPr>
                <w:rFonts w:eastAsia="宋体"/>
                <w:color w:val="002060"/>
                <w:sz w:val="18"/>
                <w:szCs w:val="18"/>
                <w:lang w:eastAsia="zh-CN"/>
              </w:rPr>
              <w:t>This would unnecessarily require more memory.</w:t>
            </w:r>
          </w:p>
          <w:p w14:paraId="0642DF92" w14:textId="77777777" w:rsidR="00A45E3A" w:rsidRDefault="00A45E3A" w:rsidP="00A45E3A">
            <w:pPr>
              <w:snapToGrid w:val="0"/>
              <w:rPr>
                <w:rFonts w:eastAsia="宋体"/>
                <w:sz w:val="18"/>
                <w:szCs w:val="18"/>
                <w:lang w:eastAsia="zh-CN"/>
              </w:rPr>
            </w:pPr>
          </w:p>
          <w:p w14:paraId="4E87933E" w14:textId="02886FD2" w:rsidR="00A45E3A" w:rsidRDefault="00A45E3A" w:rsidP="00A45E3A">
            <w:pPr>
              <w:snapToGrid w:val="0"/>
              <w:rPr>
                <w:rFonts w:eastAsia="宋体"/>
                <w:sz w:val="18"/>
                <w:szCs w:val="18"/>
                <w:lang w:eastAsia="zh-CN"/>
              </w:rPr>
            </w:pPr>
            <w:r>
              <w:rPr>
                <w:rFonts w:eastAsia="宋体"/>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宋体"/>
                <w:sz w:val="18"/>
                <w:szCs w:val="18"/>
                <w:lang w:eastAsia="zh-CN"/>
              </w:rPr>
            </w:pPr>
          </w:p>
          <w:p w14:paraId="289122BD" w14:textId="62EE7471" w:rsidR="00A45E3A" w:rsidRDefault="00A45E3A" w:rsidP="00A45E3A">
            <w:pPr>
              <w:snapToGrid w:val="0"/>
              <w:spacing w:after="240"/>
              <w:rPr>
                <w:rFonts w:eastAsia="宋体"/>
                <w:sz w:val="18"/>
                <w:szCs w:val="18"/>
                <w:lang w:eastAsia="zh-CN"/>
              </w:rPr>
            </w:pPr>
            <w:r>
              <w:rPr>
                <w:rFonts w:eastAsia="宋体"/>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宋体"/>
                <w:sz w:val="18"/>
                <w:szCs w:val="18"/>
                <w:lang w:eastAsia="zh-CN"/>
              </w:rPr>
            </w:pPr>
            <w:r w:rsidRPr="00A45E3A">
              <w:rPr>
                <w:rFonts w:eastAsia="宋体"/>
                <w:color w:val="002060"/>
                <w:sz w:val="18"/>
                <w:szCs w:val="18"/>
                <w:lang w:eastAsia="zh-CN"/>
              </w:rPr>
              <w:t xml:space="preserve">[Apple] I agree that </w:t>
            </w:r>
            <w:r>
              <w:rPr>
                <w:rFonts w:eastAsia="宋体"/>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宋体"/>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hint="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 xml:space="preserve">ne minor comment regarding explicitly spelling out all the signals, do we need to clarify the UL part also includes those PUCCH/PUSCH associated with non-UE dedicated CORESETs?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af0"/>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7" w:name="_Hlk85123662"/>
            <w:r w:rsidRPr="00DA34A3">
              <w:rPr>
                <w:sz w:val="18"/>
                <w:szCs w:val="20"/>
                <w:lang w:val="en-GB"/>
              </w:rPr>
              <w:t xml:space="preserve">On Rel.17 beam indication enhancements for inter-cell beam management, the supported Rel-17 MAC-CE-based and/or DCI-based beam indication (at least using DCI formats 1_1/1_2 with and without DL assignment </w:t>
            </w:r>
            <w:r w:rsidRPr="00DA34A3">
              <w:rPr>
                <w:sz w:val="18"/>
                <w:szCs w:val="20"/>
                <w:lang w:val="en-GB"/>
              </w:rPr>
              <w:lastRenderedPageBreak/>
              <w:t>including the associated MAC-CE-based TCI state activation), the non-UE dedicated channels/signals (on which such inter-cell beam indication does not apply) comprise:</w:t>
            </w:r>
          </w:p>
          <w:p w14:paraId="78F9A60B" w14:textId="20F75447" w:rsidR="00DA34A3" w:rsidRDefault="00DA34A3"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xml:space="preserve">, Type2 CSS (when &gt;1 activated TCI </w:t>
              </w:r>
              <w:proofErr w:type="gramStart"/>
              <w:r w:rsidR="00B51AD1">
                <w:rPr>
                  <w:color w:val="000000"/>
                  <w:sz w:val="18"/>
                  <w:szCs w:val="20"/>
                  <w:lang w:eastAsia="x-none"/>
                </w:rPr>
                <w:t>states</w:t>
              </w:r>
            </w:ins>
            <w:proofErr w:type="gramEnd"/>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0"/>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0"/>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lastRenderedPageBreak/>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0"/>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0"/>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af0"/>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 xml:space="preserve">[Mod: </w:t>
            </w:r>
            <w:proofErr w:type="spellStart"/>
            <w:r>
              <w:rPr>
                <w:rFonts w:eastAsia="宋体"/>
                <w:sz w:val="18"/>
                <w:szCs w:val="20"/>
                <w:lang w:val="en-GB" w:eastAsia="zh-CN"/>
              </w:rPr>
              <w:t>Yourcinput</w:t>
            </w:r>
            <w:proofErr w:type="spellEnd"/>
            <w:r>
              <w:rPr>
                <w:rFonts w:eastAsia="宋体"/>
                <w:sz w:val="18"/>
                <w:szCs w:val="20"/>
                <w:lang w:val="en-GB" w:eastAsia="zh-CN"/>
              </w:rPr>
              <w:t xml:space="preserve">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w:t>
            </w:r>
            <w:proofErr w:type="gramStart"/>
            <w:r>
              <w:rPr>
                <w:sz w:val="18"/>
                <w:szCs w:val="20"/>
                <w:lang w:eastAsia="zh-CN"/>
              </w:rPr>
              <w:t>the  UE</w:t>
            </w:r>
            <w:proofErr w:type="gramEnd"/>
            <w:r>
              <w:rPr>
                <w:sz w:val="18"/>
                <w:szCs w:val="20"/>
                <w:lang w:eastAsia="zh-CN"/>
              </w:rPr>
              <w:t xml:space="preserv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0"/>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0"/>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0"/>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xml:space="preserve">’, it should be </w:t>
            </w:r>
            <w:proofErr w:type="gramStart"/>
            <w:r>
              <w:rPr>
                <w:sz w:val="18"/>
                <w:szCs w:val="20"/>
              </w:rPr>
              <w:t>a</w:t>
            </w:r>
            <w:proofErr w:type="gramEnd"/>
            <w:r>
              <w:rPr>
                <w:sz w:val="18"/>
                <w:szCs w:val="20"/>
              </w:rPr>
              <w:t xml:space="preserve">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w:t>
            </w:r>
            <w:proofErr w:type="gramStart"/>
            <w:r w:rsidRPr="008E5F22">
              <w:rPr>
                <w:sz w:val="18"/>
                <w:szCs w:val="18"/>
              </w:rPr>
              <w:t>information  from</w:t>
            </w:r>
            <w:proofErr w:type="gramEnd"/>
            <w:r w:rsidRPr="008E5F22">
              <w:rPr>
                <w:sz w:val="18"/>
                <w:szCs w:val="18"/>
              </w:rPr>
              <w:t xml:space="preserve">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 xml:space="preserve">e, it might be a good compromise </w:t>
            </w:r>
            <w:proofErr w:type="spellStart"/>
            <w:r>
              <w:rPr>
                <w:rFonts w:eastAsia="MS Mincho"/>
                <w:bCs/>
                <w:sz w:val="18"/>
                <w:szCs w:val="18"/>
                <w:lang w:eastAsia="ja-JP"/>
              </w:rPr>
              <w:t>fo</w:t>
            </w:r>
            <w:proofErr w:type="spellEnd"/>
            <w:r>
              <w:rPr>
                <w:rFonts w:eastAsia="MS Mincho"/>
                <w:bCs/>
                <w:sz w:val="18"/>
                <w:szCs w:val="18"/>
                <w:lang w:eastAsia="ja-JP"/>
              </w:rPr>
              <w:t xml:space="preserve">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hint="eastAsia"/>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7"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8" w:author="Claes Tidestav" w:date="2021-10-19T14:20:00Z">
              <w:r>
                <w:rPr>
                  <w:sz w:val="18"/>
                  <w:szCs w:val="20"/>
                  <w:lang w:eastAsia="x-none"/>
                </w:rPr>
                <w:t xml:space="preserve">monitored in </w:t>
              </w:r>
            </w:ins>
            <w:del w:id="49"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50" w:author="Eko Onggosanusi" w:date="2021-10-19T03:24:00Z">
              <w:r>
                <w:rPr>
                  <w:color w:val="000000"/>
                  <w:sz w:val="18"/>
                  <w:szCs w:val="20"/>
                  <w:lang w:eastAsia="x-none"/>
                </w:rPr>
                <w:t>, Type2 CSS (when &gt;1 activated TCI states</w:t>
              </w:r>
            </w:ins>
            <w:ins w:id="51" w:author="Eko Onggosanusi" w:date="2021-10-19T03:25:00Z">
              <w:r>
                <w:rPr>
                  <w:color w:val="000000"/>
                  <w:sz w:val="18"/>
                  <w:szCs w:val="20"/>
                  <w:lang w:eastAsia="x-none"/>
                </w:rPr>
                <w:t xml:space="preserve"> are associated with PCI(s) different from serving cell</w:t>
              </w:r>
            </w:ins>
            <w:ins w:id="52"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3"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4"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5"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af0"/>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 xml:space="preserve">Type3 CSS set only in </w:t>
            </w:r>
            <w:proofErr w:type="spellStart"/>
            <w:r w:rsidRPr="00A844B1">
              <w:rPr>
                <w:color w:val="FF0000"/>
                <w:sz w:val="18"/>
                <w:szCs w:val="20"/>
                <w:lang w:eastAsia="x-none"/>
              </w:rPr>
              <w:t>SCell</w:t>
            </w:r>
            <w:proofErr w:type="spellEnd"/>
            <w:r w:rsidRPr="00A844B1">
              <w:rPr>
                <w:color w:val="FF0000"/>
                <w:sz w:val="18"/>
                <w:szCs w:val="20"/>
                <w:lang w:eastAsia="x-none"/>
              </w:rPr>
              <w:t xml:space="preserve"> (not </w:t>
            </w:r>
            <w:proofErr w:type="spellStart"/>
            <w:r w:rsidRPr="00A844B1">
              <w:rPr>
                <w:color w:val="FF0000"/>
                <w:sz w:val="18"/>
                <w:szCs w:val="20"/>
                <w:lang w:eastAsia="x-none"/>
              </w:rPr>
              <w:t>PCell</w:t>
            </w:r>
            <w:proofErr w:type="spellEnd"/>
            <w:r w:rsidRPr="00A844B1">
              <w:rPr>
                <w:color w:val="FF0000"/>
                <w:sz w:val="18"/>
                <w:szCs w:val="20"/>
                <w:lang w:eastAsia="x-none"/>
              </w:rPr>
              <w:t>)</w:t>
            </w:r>
            <w:ins w:id="56" w:author="Eko Onggosanusi" w:date="2021-10-19T03:24:00Z">
              <w:r w:rsidRPr="00A844B1">
                <w:rPr>
                  <w:color w:val="FF0000"/>
                  <w:sz w:val="18"/>
                  <w:szCs w:val="20"/>
                  <w:lang w:eastAsia="x-none"/>
                </w:rPr>
                <w:t xml:space="preserve">, Type2 CSS (when &gt;1 activated TCI </w:t>
              </w:r>
              <w:proofErr w:type="gramStart"/>
              <w:r w:rsidRPr="00A844B1">
                <w:rPr>
                  <w:color w:val="FF0000"/>
                  <w:sz w:val="18"/>
                  <w:szCs w:val="20"/>
                  <w:lang w:eastAsia="x-none"/>
                </w:rPr>
                <w:t>states</w:t>
              </w:r>
            </w:ins>
            <w:proofErr w:type="gramEnd"/>
            <w:ins w:id="57" w:author="Eko Onggosanusi" w:date="2021-10-19T03:25:00Z">
              <w:r w:rsidRPr="00A844B1">
                <w:rPr>
                  <w:color w:val="FF0000"/>
                  <w:sz w:val="18"/>
                  <w:szCs w:val="20"/>
                  <w:lang w:eastAsia="x-none"/>
                </w:rPr>
                <w:t xml:space="preserve"> are associated with PCI(s) different from serving cell</w:t>
              </w:r>
            </w:ins>
            <w:ins w:id="58"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59"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0"/>
              <w:numPr>
                <w:ilvl w:val="1"/>
                <w:numId w:val="11"/>
              </w:numPr>
              <w:suppressAutoHyphens/>
              <w:autoSpaceDN w:val="0"/>
              <w:snapToGrid w:val="0"/>
              <w:spacing w:after="0" w:line="240" w:lineRule="auto"/>
              <w:jc w:val="both"/>
              <w:textAlignment w:val="baseline"/>
              <w:rPr>
                <w:del w:id="60" w:author="Eko Onggosanusi" w:date="2021-10-19T03:34:00Z"/>
                <w:sz w:val="18"/>
                <w:szCs w:val="20"/>
                <w:lang w:eastAsia="zh-CN"/>
              </w:rPr>
            </w:pPr>
            <w:del w:id="61"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0"/>
              <w:numPr>
                <w:ilvl w:val="1"/>
                <w:numId w:val="11"/>
              </w:numPr>
              <w:rPr>
                <w:sz w:val="18"/>
                <w:szCs w:val="20"/>
                <w:lang w:eastAsia="zh-CN"/>
              </w:rPr>
            </w:pPr>
            <w:del w:id="62"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0"/>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0"/>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0"/>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0"/>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w:t>
            </w:r>
            <w:r>
              <w:rPr>
                <w:rFonts w:eastAsiaTheme="minorEastAsia"/>
                <w:color w:val="000000" w:themeColor="text1"/>
                <w:sz w:val="18"/>
                <w:szCs w:val="18"/>
                <w:lang w:eastAsia="zh-CN"/>
              </w:rPr>
              <w:lastRenderedPageBreak/>
              <w:t>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0"/>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0"/>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lastRenderedPageBreak/>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0"/>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0"/>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0"/>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0"/>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0"/>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w:t>
            </w:r>
            <w:r w:rsidRPr="00D96329">
              <w:rPr>
                <w:bCs/>
                <w:color w:val="000000" w:themeColor="text1"/>
                <w:sz w:val="18"/>
                <w:szCs w:val="18"/>
                <w:lang w:eastAsia="zh-CN"/>
              </w:rPr>
              <w:lastRenderedPageBreak/>
              <w:t>number of SRS ports used by anther panel) and selection of the virtual beam using DL measurements?</w:t>
            </w:r>
          </w:p>
          <w:p w14:paraId="436B72E3" w14:textId="2CEA1BBC" w:rsidR="00D62560" w:rsidRPr="00D62560" w:rsidRDefault="00D62560" w:rsidP="00D62560">
            <w:pPr>
              <w:pStyle w:val="af0"/>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B24456">
            <w:pPr>
              <w:snapToGrid w:val="0"/>
              <w:rPr>
                <w:rFonts w:eastAsiaTheme="minorEastAsia" w:hint="eastAsia"/>
                <w:color w:val="000000" w:themeColor="text1"/>
                <w:sz w:val="18"/>
                <w:szCs w:val="18"/>
                <w:lang w:eastAsia="zh-CN"/>
              </w:rPr>
            </w:pPr>
            <w:bookmarkStart w:id="63" w:name="_GoBack"/>
            <w:bookmarkEnd w:id="63"/>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B2445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bl>
    <w:p w14:paraId="6A242207" w14:textId="77777777" w:rsidR="00F41526" w:rsidRPr="00E77B01" w:rsidRDefault="00F41526">
      <w:pPr>
        <w:pStyle w:val="a3"/>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2B28E" w14:textId="77777777" w:rsidR="00F66E56" w:rsidRDefault="00F66E56" w:rsidP="007458B4">
      <w:r>
        <w:separator/>
      </w:r>
    </w:p>
  </w:endnote>
  <w:endnote w:type="continuationSeparator" w:id="0">
    <w:p w14:paraId="1D8C9FFE" w14:textId="77777777" w:rsidR="00F66E56" w:rsidRDefault="00F66E5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A106" w14:textId="77777777" w:rsidR="00F66E56" w:rsidRDefault="00F66E56" w:rsidP="007458B4">
      <w:r>
        <w:separator/>
      </w:r>
    </w:p>
  </w:footnote>
  <w:footnote w:type="continuationSeparator" w:id="0">
    <w:p w14:paraId="628B7915" w14:textId="77777777" w:rsidR="00F66E56" w:rsidRDefault="00F66E5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F2C217AA-3945-45B2-A630-717162F1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14902</Words>
  <Characters>84944</Characters>
  <Application>Microsoft Office Word</Application>
  <DocSecurity>0</DocSecurity>
  <Lines>707</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20</cp:revision>
  <cp:lastPrinted>2021-10-06T09:28:00Z</cp:lastPrinted>
  <dcterms:created xsi:type="dcterms:W3CDTF">2021-10-19T12:55:00Z</dcterms:created>
  <dcterms:modified xsi:type="dcterms:W3CDTF">2021-10-19T14:17:00Z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