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3F4E73"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5pt;height:271.5pt;mso-width-percent:0;mso-height-percent:0;mso-width-percent:0;mso-height-percent:0" o:ole="">
                  <v:imagedata r:id="rId9" o:title=""/>
                </v:shape>
                <o:OLEObject Type="Embed" ProgID="Visio.Drawing.11" ShapeID="_x0000_i1025" DrawAspect="Content" ObjectID="_1696051658"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1DA74EA7" w14:textId="3786DEF1" w:rsidR="003F4E73" w:rsidRDefault="003F4E73"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新細明體"/>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新細明體" w:hint="eastAsia"/>
                <w:sz w:val="18"/>
                <w:lang w:eastAsia="zh-TW"/>
              </w:rPr>
              <w:t>64.</w:t>
            </w:r>
          </w:p>
          <w:p w14:paraId="480DF6BF" w14:textId="77777777" w:rsidR="00550C25" w:rsidRDefault="00550C25" w:rsidP="00550C25">
            <w:pPr>
              <w:snapToGrid w:val="0"/>
              <w:rPr>
                <w:rFonts w:eastAsia="新細明體"/>
                <w:sz w:val="18"/>
                <w:lang w:eastAsia="zh-TW"/>
              </w:rPr>
            </w:pPr>
          </w:p>
          <w:p w14:paraId="5ABFD5E0" w14:textId="77777777" w:rsidR="00550C25" w:rsidRPr="008352FD" w:rsidRDefault="00550C25" w:rsidP="00550C25">
            <w:pPr>
              <w:snapToGrid w:val="0"/>
              <w:spacing w:after="240"/>
              <w:rPr>
                <w:rFonts w:eastAsia="新細明體"/>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新細明體" w:hint="eastAsia"/>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新細明體"/>
                <w:sz w:val="18"/>
                <w:lang w:eastAsia="zh-TW"/>
              </w:rPr>
              <w:t>dynamic</w:t>
            </w:r>
            <w:r>
              <w:rPr>
                <w:rFonts w:eastAsia="新細明體" w:hint="eastAsia"/>
                <w:sz w:val="18"/>
                <w:lang w:eastAsia="zh-TW"/>
              </w:rPr>
              <w:t xml:space="preserve"> </w:t>
            </w:r>
            <w:r>
              <w:rPr>
                <w:rFonts w:eastAsia="新細明體"/>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新細明體"/>
                <w:sz w:val="18"/>
                <w:szCs w:val="18"/>
                <w:lang w:eastAsia="zh-TW"/>
              </w:rPr>
              <w:t>CB, NCB, antenna switching</w:t>
            </w:r>
            <w:r>
              <w:rPr>
                <w:rFonts w:eastAsia="新細明體"/>
                <w:sz w:val="18"/>
                <w:szCs w:val="18"/>
                <w:lang w:eastAsia="zh-TW"/>
              </w:rPr>
              <w:t xml:space="preserve"> and AP SRS for BM</w:t>
            </w:r>
            <w:r>
              <w:rPr>
                <w:sz w:val="18"/>
              </w:rPr>
              <w:t xml:space="preserve">) can “optionally” share the indicated TCI state by Rel-17 MAC-CE/DCI-based beam indication. </w:t>
            </w:r>
            <w:r>
              <w:rPr>
                <w:rFonts w:eastAsia="新細明體"/>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新細明體" w:hint="eastAsia"/>
                <w:sz w:val="18"/>
                <w:szCs w:val="18"/>
                <w:lang w:eastAsia="zh-TW"/>
              </w:rPr>
              <w:t>understanding.</w:t>
            </w:r>
            <w:r>
              <w:rPr>
                <w:rFonts w:eastAsia="新細明體"/>
                <w:sz w:val="18"/>
                <w:szCs w:val="18"/>
                <w:lang w:eastAsia="zh-TW"/>
              </w:rPr>
              <w:t xml:space="preserve"> </w:t>
            </w:r>
            <w:r>
              <w:rPr>
                <w:rFonts w:eastAsia="新細明體" w:hint="eastAsia"/>
                <w:sz w:val="18"/>
                <w:szCs w:val="18"/>
                <w:lang w:eastAsia="zh-TW"/>
              </w:rPr>
              <w:t>F</w:t>
            </w:r>
            <w:r>
              <w:rPr>
                <w:rFonts w:eastAsia="新細明體"/>
                <w:sz w:val="18"/>
                <w:szCs w:val="18"/>
                <w:lang w:eastAsia="zh-TW"/>
              </w:rPr>
              <w:t xml:space="preserve">or </w:t>
            </w:r>
            <w:r w:rsidRPr="002811DE">
              <w:rPr>
                <w:rFonts w:eastAsia="新細明體"/>
                <w:sz w:val="18"/>
                <w:szCs w:val="18"/>
                <w:lang w:eastAsia="zh-TW"/>
              </w:rPr>
              <w:t>non-UE-dedicated reception on</w:t>
            </w:r>
            <w:r>
              <w:rPr>
                <w:rFonts w:eastAsia="新細明體"/>
                <w:sz w:val="18"/>
                <w:szCs w:val="18"/>
                <w:lang w:eastAsia="zh-TW"/>
              </w:rPr>
              <w:t xml:space="preserve"> a CORESET</w:t>
            </w:r>
            <w:r w:rsidRPr="002811DE">
              <w:rPr>
                <w:rFonts w:eastAsia="新細明體"/>
                <w:sz w:val="18"/>
                <w:szCs w:val="18"/>
                <w:lang w:eastAsia="zh-TW"/>
              </w:rPr>
              <w:t xml:space="preserve"> and the associated PDSCH</w:t>
            </w:r>
            <w:r>
              <w:rPr>
                <w:rFonts w:eastAsia="新細明體"/>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新細明體"/>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bookmarkStart w:id="2" w:name="_GoBack"/>
            <w:bookmarkEnd w:id="2"/>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46DB7AAC" w:rsidR="005F5B92" w:rsidRDefault="005F5B9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701DEB5E" w:rsidR="00914A9B" w:rsidRPr="00914A9B" w:rsidRDefault="00914A9B" w:rsidP="00AC2CE2">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01EEC93C" w:rsidR="00F01361" w:rsidRPr="00F01361" w:rsidRDefault="00F01361" w:rsidP="00F01361">
            <w:pPr>
              <w:snapToGrid w:val="0"/>
              <w:rPr>
                <w:sz w:val="18"/>
                <w:szCs w:val="18"/>
              </w:rPr>
            </w:pPr>
            <w:r w:rsidRPr="00F01361">
              <w:rPr>
                <w:b/>
                <w:sz w:val="18"/>
                <w:szCs w:val="18"/>
              </w:rPr>
              <w:t xml:space="preserve">Support/fine: </w:t>
            </w:r>
            <w:r w:rsidR="003F4E73" w:rsidRPr="003F4E73">
              <w:rPr>
                <w:sz w:val="18"/>
                <w:szCs w:val="18"/>
              </w:rPr>
              <w:t>Samsung</w:t>
            </w:r>
            <w:r w:rsidR="00550C25">
              <w:rPr>
                <w:sz w:val="18"/>
                <w:szCs w:val="18"/>
              </w:rPr>
              <w:t>, MTK</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lastRenderedPageBreak/>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2AC4FEF" w:rsidR="00DA34A3" w:rsidRDefault="00DA34A3">
            <w:pPr>
              <w:snapToGrid w:val="0"/>
              <w:rPr>
                <w:sz w:val="18"/>
                <w:szCs w:val="20"/>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r w:rsidR="0073201C">
              <w:rPr>
                <w:sz w:val="18"/>
                <w:szCs w:val="20"/>
              </w:rPr>
              <w:t>, Sony</w:t>
            </w:r>
            <w:r w:rsidR="003745D1">
              <w:rPr>
                <w:sz w:val="18"/>
                <w:szCs w:val="20"/>
              </w:rPr>
              <w:t xml:space="preserve"> </w:t>
            </w:r>
          </w:p>
          <w:p w14:paraId="74295CED" w14:textId="03552752" w:rsidR="00DA34A3" w:rsidRPr="00BB09E3" w:rsidRDefault="005D463A" w:rsidP="00CF46B5">
            <w:pPr>
              <w:pStyle w:val="af"/>
              <w:numPr>
                <w:ilvl w:val="0"/>
                <w:numId w:val="40"/>
              </w:numPr>
              <w:snapToGrid w:val="0"/>
              <w:rPr>
                <w:sz w:val="18"/>
                <w:szCs w:val="20"/>
              </w:rPr>
            </w:pPr>
            <w:r w:rsidRPr="00B8779C">
              <w:rPr>
                <w:sz w:val="18"/>
                <w:szCs w:val="20"/>
              </w:rPr>
              <w:t>Concern: Huawei, HiSilicon</w:t>
            </w:r>
            <w:r w:rsidR="003F4E73">
              <w:rPr>
                <w:sz w:val="18"/>
                <w:szCs w:val="20"/>
              </w:rPr>
              <w:t>, Samsung</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569BA9B2" w:rsidR="007E0FC5" w:rsidRPr="00D92654" w:rsidRDefault="00115C14" w:rsidP="00962AF6">
            <w:pPr>
              <w:snapToGrid w:val="0"/>
              <w:rPr>
                <w:sz w:val="18"/>
                <w:szCs w:val="20"/>
              </w:rPr>
            </w:pPr>
            <w:r w:rsidRPr="00115C14">
              <w:rPr>
                <w:b/>
                <w:sz w:val="18"/>
                <w:szCs w:val="20"/>
              </w:rPr>
              <w:lastRenderedPageBreak/>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3"/>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F3850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r w:rsidR="0073201C">
              <w:rPr>
                <w:sz w:val="18"/>
                <w:szCs w:val="20"/>
              </w:rPr>
              <w:t>, Sony</w:t>
            </w:r>
            <w:r w:rsidR="003745D1">
              <w:rPr>
                <w:sz w:val="18"/>
                <w:szCs w:val="20"/>
              </w:rPr>
              <w:t xml:space="preserve">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t>Support/fine</w:t>
            </w:r>
            <w:r w:rsidRPr="00CA499E">
              <w:rPr>
                <w:sz w:val="18"/>
                <w:szCs w:val="20"/>
              </w:rPr>
              <w:t xml:space="preserve">: Apple, NTT Docomo, ZTE, </w:t>
            </w:r>
            <w:r>
              <w:rPr>
                <w:sz w:val="18"/>
                <w:szCs w:val="20"/>
              </w:rPr>
              <w:t>Nokia/NSB, Lenovo/MotM (remove last bullet), Qualcomm, AT&amp;T, Xiaomi, Sony, Huawei, HiSilicon</w:t>
            </w:r>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Issue 2.3:</w:t>
            </w:r>
            <w:r w:rsidRPr="008C125E">
              <w:rPr>
                <w:b/>
                <w:sz w:val="18"/>
                <w:szCs w:val="20"/>
                <w:lang w:eastAsia="zh-CN"/>
              </w:rPr>
              <w:t xml:space="preserve"> </w:t>
            </w:r>
          </w:p>
          <w:p w14:paraId="1D7CA67A" w14:textId="77777777" w:rsidR="00550C25" w:rsidRDefault="00550C25" w:rsidP="00550C25">
            <w:pPr>
              <w:pStyle w:val="af"/>
              <w:numPr>
                <w:ilvl w:val="0"/>
                <w:numId w:val="47"/>
              </w:numPr>
              <w:snapToGrid w:val="0"/>
              <w:spacing w:after="0"/>
              <w:rPr>
                <w:rFonts w:eastAsia="新細明體"/>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新細明體"/>
                <w:sz w:val="18"/>
                <w:szCs w:val="20"/>
                <w:lang w:eastAsia="zh-TW"/>
              </w:rPr>
              <w:t>doesn't</w:t>
            </w:r>
            <w:r w:rsidRPr="00660502">
              <w:rPr>
                <w:rFonts w:eastAsia="新細明體" w:hint="eastAsia"/>
                <w:sz w:val="18"/>
                <w:szCs w:val="20"/>
                <w:lang w:eastAsia="zh-TW"/>
              </w:rPr>
              <w:t xml:space="preserve"> </w:t>
            </w:r>
            <w:r w:rsidRPr="00660502">
              <w:rPr>
                <w:rFonts w:eastAsia="新細明體"/>
                <w:sz w:val="18"/>
                <w:szCs w:val="20"/>
                <w:lang w:eastAsia="zh-TW"/>
              </w:rPr>
              <w:t xml:space="preserve">prohibit UE from receiving paging if UE supports only one activated TCI states. </w:t>
            </w:r>
          </w:p>
          <w:p w14:paraId="520B69DD" w14:textId="77777777" w:rsidR="00550C25" w:rsidRDefault="00550C25" w:rsidP="00550C25">
            <w:pPr>
              <w:pStyle w:val="af"/>
              <w:numPr>
                <w:ilvl w:val="0"/>
                <w:numId w:val="47"/>
              </w:numPr>
              <w:snapToGrid w:val="0"/>
              <w:spacing w:after="0"/>
              <w:rPr>
                <w:rFonts w:eastAsia="新細明體"/>
                <w:sz w:val="18"/>
                <w:szCs w:val="20"/>
                <w:lang w:eastAsia="zh-TW"/>
              </w:rPr>
            </w:pPr>
            <w:r w:rsidRPr="00660502">
              <w:rPr>
                <w:rFonts w:eastAsia="新細明體"/>
                <w:sz w:val="18"/>
                <w:szCs w:val="20"/>
                <w:lang w:eastAsia="zh-TW"/>
              </w:rPr>
              <w:t xml:space="preserve">Alt1, since it may cause large implementation and spec impact, we don't </w:t>
            </w:r>
            <w:r>
              <w:rPr>
                <w:rFonts w:eastAsia="新細明體"/>
                <w:sz w:val="18"/>
                <w:szCs w:val="20"/>
                <w:lang w:eastAsia="zh-TW"/>
              </w:rPr>
              <w:t>prefer it.</w:t>
            </w:r>
          </w:p>
          <w:p w14:paraId="1AE9316F" w14:textId="77777777" w:rsidR="00550C25" w:rsidRDefault="00550C25" w:rsidP="00550C25">
            <w:pPr>
              <w:pStyle w:val="af"/>
              <w:numPr>
                <w:ilvl w:val="0"/>
                <w:numId w:val="47"/>
              </w:numPr>
              <w:snapToGrid w:val="0"/>
              <w:spacing w:after="0"/>
              <w:rPr>
                <w:rFonts w:eastAsia="新細明體"/>
                <w:sz w:val="18"/>
                <w:szCs w:val="20"/>
                <w:lang w:eastAsia="zh-TW"/>
              </w:rPr>
            </w:pPr>
            <w:r>
              <w:rPr>
                <w:rFonts w:eastAsia="新細明體"/>
                <w:sz w:val="18"/>
                <w:szCs w:val="20"/>
                <w:lang w:eastAsia="zh-TW"/>
              </w:rPr>
              <w:t>Alt2, we are also okay to this alternative</w:t>
            </w:r>
            <w:r>
              <w:rPr>
                <w:rFonts w:eastAsia="新細明體" w:hint="eastAsia"/>
                <w:sz w:val="18"/>
                <w:szCs w:val="20"/>
                <w:lang w:eastAsia="zh-TW"/>
              </w:rPr>
              <w:t xml:space="preserve">, </w:t>
            </w:r>
            <w:r>
              <w:rPr>
                <w:rFonts w:eastAsia="新細明體"/>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新細明體" w:hint="eastAsia"/>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w:t>
            </w:r>
            <w:r>
              <w:rPr>
                <w:sz w:val="18"/>
                <w:szCs w:val="20"/>
                <w:lang w:eastAsia="zh-CN"/>
              </w:rPr>
              <w:t>brackets</w:t>
            </w:r>
            <w:r>
              <w:rPr>
                <w:sz w:val="18"/>
                <w:szCs w:val="20"/>
                <w:lang w:eastAsia="zh-CN"/>
              </w:rPr>
              <w:t xml:space="preserve">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BB09E3"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77777777" w:rsidR="00BB09E3" w:rsidRDefault="00BB09E3" w:rsidP="00B8779C">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75FE" w14:textId="77777777" w:rsidR="00BB09E3" w:rsidRPr="008262B9" w:rsidRDefault="00BB09E3" w:rsidP="00B8779C">
            <w:pPr>
              <w:snapToGrid w:val="0"/>
              <w:rPr>
                <w:sz w:val="18"/>
                <w:szCs w:val="20"/>
                <w:lang w:eastAsia="zh-CN"/>
              </w:rPr>
            </w:pPr>
          </w:p>
        </w:tc>
      </w:tr>
    </w:tbl>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af"/>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0399AD66"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F140A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77777777" w:rsidR="00F140AD" w:rsidRPr="00F140AD" w:rsidRDefault="00F140AD">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7777777" w:rsidR="00F140AD" w:rsidRPr="00F140AD" w:rsidRDefault="00F140AD" w:rsidP="00F140AD">
            <w:pPr>
              <w:snapToGrid w:val="0"/>
              <w:rPr>
                <w:b/>
                <w:color w:val="3333FF"/>
                <w:sz w:val="18"/>
                <w:szCs w:val="18"/>
                <w:u w:val="single"/>
                <w:lang w:eastAsia="zh-CN"/>
              </w:rPr>
            </w:pPr>
          </w:p>
        </w:tc>
      </w:tr>
    </w:tbl>
    <w:p w14:paraId="6A242207" w14:textId="77777777" w:rsidR="00F41526" w:rsidRDefault="00F41526">
      <w:pPr>
        <w:pStyle w:val="a3"/>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42866" w14:textId="77777777" w:rsidR="006A18FA" w:rsidRDefault="006A18FA" w:rsidP="007458B4">
      <w:r>
        <w:separator/>
      </w:r>
    </w:p>
  </w:endnote>
  <w:endnote w:type="continuationSeparator" w:id="0">
    <w:p w14:paraId="73AD5AEB" w14:textId="77777777" w:rsidR="006A18FA" w:rsidRDefault="006A18F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2F6B" w14:textId="77777777" w:rsidR="006A18FA" w:rsidRDefault="006A18FA" w:rsidP="007458B4">
      <w:r>
        <w:separator/>
      </w:r>
    </w:p>
  </w:footnote>
  <w:footnote w:type="continuationSeparator" w:id="0">
    <w:p w14:paraId="337D752C" w14:textId="77777777" w:rsidR="006A18FA" w:rsidRDefault="006A18FA"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4"/>
  </w:num>
  <w:num w:numId="16">
    <w:abstractNumId w:val="24"/>
  </w:num>
  <w:num w:numId="17">
    <w:abstractNumId w:val="22"/>
  </w:num>
  <w:num w:numId="18">
    <w:abstractNumId w:val="14"/>
  </w:num>
  <w:num w:numId="19">
    <w:abstractNumId w:val="45"/>
  </w:num>
  <w:num w:numId="20">
    <w:abstractNumId w:val="16"/>
  </w:num>
  <w:num w:numId="21">
    <w:abstractNumId w:val="27"/>
  </w:num>
  <w:num w:numId="22">
    <w:abstractNumId w:val="37"/>
  </w:num>
  <w:num w:numId="23">
    <w:abstractNumId w:val="26"/>
  </w:num>
  <w:num w:numId="24">
    <w:abstractNumId w:val="41"/>
  </w:num>
  <w:num w:numId="25">
    <w:abstractNumId w:val="29"/>
  </w:num>
  <w:num w:numId="26">
    <w:abstractNumId w:val="20"/>
  </w:num>
  <w:num w:numId="27">
    <w:abstractNumId w:val="42"/>
  </w:num>
  <w:num w:numId="28">
    <w:abstractNumId w:val="17"/>
  </w:num>
  <w:num w:numId="29">
    <w:abstractNumId w:val="46"/>
  </w:num>
  <w:num w:numId="30">
    <w:abstractNumId w:val="18"/>
  </w:num>
  <w:num w:numId="31">
    <w:abstractNumId w:val="36"/>
  </w:num>
  <w:num w:numId="32">
    <w:abstractNumId w:val="43"/>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766"/>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45D1"/>
    <w:rsid w:val="00377D3B"/>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4407"/>
    <w:rsid w:val="00ED4C79"/>
    <w:rsid w:val="00EE2291"/>
    <w:rsid w:val="00EE23B5"/>
    <w:rsid w:val="00EF0F50"/>
    <w:rsid w:val="00EF2AC8"/>
    <w:rsid w:val="00EF62B4"/>
    <w:rsid w:val="00F002DB"/>
    <w:rsid w:val="00F01361"/>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390AD-49A0-4449-BF4D-DFD1556D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4304</Words>
  <Characters>24539</Characters>
  <Application>Microsoft Office Word</Application>
  <DocSecurity>0</DocSecurity>
  <Lines>204</Lines>
  <Paragraphs>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2021-10-18T00:41:00Z</dcterms:created>
  <dcterms:modified xsi:type="dcterms:W3CDTF">2021-10-18T00:41:00Z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