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xml:space="preserve">, </w:t>
            </w:r>
            <w:proofErr w:type="spellStart"/>
            <w:r w:rsidR="00DD28D8">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 xml:space="preserve">dynamic-grant/configured-grant based PUSCH, </w:t>
      </w:r>
      <w:proofErr w:type="gramStart"/>
      <w:r w:rsidR="007C67F7" w:rsidRPr="004B580C">
        <w:rPr>
          <w:rFonts w:eastAsia="Times New Roman"/>
          <w:bCs/>
          <w:sz w:val="20"/>
          <w:szCs w:val="20"/>
        </w:rPr>
        <w:t>all of</w:t>
      </w:r>
      <w:proofErr w:type="gramEnd"/>
      <w:r w:rsidR="007C67F7" w:rsidRPr="004B580C">
        <w:rPr>
          <w:rFonts w:eastAsia="Times New Roman"/>
          <w:bCs/>
          <w:sz w:val="20"/>
          <w:szCs w:val="20"/>
        </w:rPr>
        <w:t xml:space="preserve">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w:t>
            </w:r>
            <w:proofErr w:type="spellStart"/>
            <w:r>
              <w:rPr>
                <w:sz w:val="18"/>
                <w:szCs w:val="18"/>
                <w:lang w:eastAsia="zh-CN"/>
              </w:rPr>
              <w:t>gNB</w:t>
            </w:r>
            <w:proofErr w:type="spellEnd"/>
            <w:r>
              <w:rPr>
                <w:sz w:val="18"/>
                <w:szCs w:val="18"/>
                <w:lang w:eastAsia="zh-CN"/>
              </w:rPr>
              <w:t xml:space="preserve">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For 1.B.1: do not support</w:t>
            </w:r>
            <w:proofErr w:type="gramStart"/>
            <w:r>
              <w:rPr>
                <w:rFonts w:eastAsia="Malgun Gothic"/>
                <w:bCs/>
                <w:sz w:val="18"/>
                <w:szCs w:val="18"/>
              </w:rPr>
              <w:t xml:space="preserve">.  </w:t>
            </w:r>
            <w:proofErr w:type="gramEnd"/>
            <w:r>
              <w:rPr>
                <w:rFonts w:eastAsia="Malgun Gothic"/>
                <w:bCs/>
                <w:sz w:val="18"/>
                <w:szCs w:val="18"/>
              </w:rPr>
              <w:t xml:space="preserve">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w:t>
            </w:r>
            <w:proofErr w:type="gramStart"/>
            <w:r>
              <w:rPr>
                <w:rFonts w:eastAsia="Malgun Gothic"/>
                <w:bCs/>
                <w:sz w:val="18"/>
                <w:szCs w:val="18"/>
              </w:rPr>
              <w:t xml:space="preserve">?  </w:t>
            </w:r>
            <w:proofErr w:type="gramEnd"/>
            <w:r>
              <w:rPr>
                <w:rFonts w:eastAsia="Malgun Gothic"/>
                <w:bCs/>
                <w:sz w:val="18"/>
                <w:szCs w:val="18"/>
              </w:rPr>
              <w:t xml:space="preserve">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w:t>
            </w:r>
            <w:r>
              <w:rPr>
                <w:bCs/>
                <w:sz w:val="18"/>
                <w:szCs w:val="18"/>
                <w:lang w:eastAsia="zh-CN"/>
              </w:rPr>
              <w:lastRenderedPageBreak/>
              <w:t xml:space="preserve">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w:t>
            </w:r>
            <w:proofErr w:type="gramStart"/>
            <w:r>
              <w:rPr>
                <w:rFonts w:eastAsia="Malgun Gothic"/>
                <w:sz w:val="18"/>
                <w:szCs w:val="18"/>
              </w:rPr>
              <w:t>i.e.</w:t>
            </w:r>
            <w:proofErr w:type="gramEnd"/>
            <w:r>
              <w:rPr>
                <w:rFonts w:eastAsia="Malgun Gothic"/>
                <w:sz w:val="18"/>
                <w:szCs w:val="18"/>
              </w:rPr>
              <w:t xml:space="preserve"> 128 TCI states are applicable to UL spatial filter etc. Upon RRC reconfiguration to separate DL/UL TCI, does the </w:t>
            </w:r>
            <w:proofErr w:type="spellStart"/>
            <w:r>
              <w:rPr>
                <w:rFonts w:eastAsia="Malgun Gothic"/>
                <w:sz w:val="18"/>
                <w:szCs w:val="18"/>
              </w:rPr>
              <w:t>gNB</w:t>
            </w:r>
            <w:proofErr w:type="spellEnd"/>
            <w:r>
              <w:rPr>
                <w:rFonts w:eastAsia="Malgun Gothic"/>
                <w:sz w:val="18"/>
                <w:szCs w:val="18"/>
              </w:rPr>
              <w:t xml:space="preserve">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w:t>
            </w:r>
            <w:proofErr w:type="spellStart"/>
            <w:r>
              <w:rPr>
                <w:rFonts w:eastAsia="Malgun Gothic"/>
                <w:sz w:val="18"/>
                <w:szCs w:val="18"/>
                <w:lang w:eastAsia="zh-CN"/>
              </w:rPr>
              <w:t>gNB</w:t>
            </w:r>
            <w:proofErr w:type="spellEnd"/>
            <w:r>
              <w:rPr>
                <w:rFonts w:eastAsia="Malgun Gothic"/>
                <w:sz w:val="18"/>
                <w:szCs w:val="18"/>
                <w:lang w:eastAsia="zh-CN"/>
              </w:rPr>
              <w:t xml:space="preserve"> can choose not to share the indicated TCI for some signals, we think one way is not to do anything. Based on the beam indication for the signaling itself, </w:t>
            </w:r>
            <w:proofErr w:type="spellStart"/>
            <w:r>
              <w:rPr>
                <w:rFonts w:eastAsia="Malgun Gothic"/>
                <w:sz w:val="18"/>
                <w:szCs w:val="18"/>
                <w:lang w:eastAsia="zh-CN"/>
              </w:rPr>
              <w:t>gNB</w:t>
            </w:r>
            <w:proofErr w:type="spellEnd"/>
            <w:r>
              <w:rPr>
                <w:rFonts w:eastAsia="Malgun Gothic"/>
                <w:sz w:val="18"/>
                <w:szCs w:val="18"/>
                <w:lang w:eastAsia="zh-CN"/>
              </w:rPr>
              <w:t xml:space="preserve">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w:t>
            </w:r>
            <w:proofErr w:type="spellStart"/>
            <w:r>
              <w:rPr>
                <w:rFonts w:eastAsia="Malgun Gothic"/>
                <w:sz w:val="18"/>
                <w:szCs w:val="18"/>
                <w:lang w:eastAsia="zh-CN"/>
              </w:rPr>
              <w:t>gNB</w:t>
            </w:r>
            <w:proofErr w:type="spellEnd"/>
            <w:r>
              <w:rPr>
                <w:rFonts w:eastAsia="Malgun Gothic"/>
                <w:sz w:val="18"/>
                <w:szCs w:val="18"/>
                <w:lang w:eastAsia="zh-CN"/>
              </w:rPr>
              <w:t xml:space="preserve">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w:t>
            </w:r>
            <w:proofErr w:type="gramStart"/>
            <w:r w:rsidRPr="002C581A">
              <w:rPr>
                <w:strike/>
                <w:color w:val="FF0000"/>
                <w:sz w:val="20"/>
                <w:szCs w:val="20"/>
              </w:rPr>
              <w:t>configured  TCI</w:t>
            </w:r>
            <w:proofErr w:type="gramEnd"/>
            <w:r w:rsidRPr="002C581A">
              <w:rPr>
                <w:strike/>
                <w:color w:val="FF0000"/>
                <w:sz w:val="20"/>
                <w:szCs w:val="20"/>
              </w:rPr>
              <w:t xml:space="preserve">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 xml:space="preserve">[Mod: Correct, the total would be 192, but still DL is 128 </w:t>
              </w:r>
              <w:proofErr w:type="gramStart"/>
              <w:r>
                <w:rPr>
                  <w:rFonts w:eastAsia="Malgun Gothic"/>
                  <w:bCs/>
                  <w:sz w:val="20"/>
                </w:rPr>
                <w:t>max</w:t>
              </w:r>
              <w:proofErr w:type="gramEnd"/>
              <w:r>
                <w:rPr>
                  <w:rFonts w:eastAsia="Malgun Gothic"/>
                  <w:bCs/>
                  <w:sz w:val="20"/>
                </w:rPr>
                <w:t>,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w:t>
            </w:r>
            <w:proofErr w:type="gramStart"/>
            <w:r>
              <w:rPr>
                <w:bCs/>
                <w:sz w:val="20"/>
              </w:rPr>
              <w:t>unrelated, and</w:t>
            </w:r>
            <w:proofErr w:type="gramEnd"/>
            <w:r>
              <w:rPr>
                <w:bCs/>
                <w:sz w:val="20"/>
              </w:rPr>
              <w:t xml:space="preserve">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 xml:space="preserve">Support other proposals (1.A </w:t>
            </w:r>
            <w:proofErr w:type="gramStart"/>
            <w:r>
              <w:rPr>
                <w:color w:val="000000" w:themeColor="text1"/>
                <w:sz w:val="20"/>
                <w:szCs w:val="20"/>
              </w:rPr>
              <w:t>1.B.</w:t>
            </w:r>
            <w:proofErr w:type="gramEnd"/>
            <w:r>
              <w:rPr>
                <w:color w:val="000000" w:themeColor="text1"/>
                <w:sz w:val="20"/>
                <w:szCs w:val="20"/>
              </w:rPr>
              <w:t>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 xml:space="preserve">We would propose that for separate TCI we use 128 states for DL and 128 for UL, is any </w:t>
            </w:r>
            <w:proofErr w:type="gramStart"/>
            <w:r>
              <w:rPr>
                <w:sz w:val="20"/>
                <w:szCs w:val="20"/>
              </w:rPr>
              <w:t>particular reason</w:t>
            </w:r>
            <w:proofErr w:type="gramEnd"/>
            <w:r>
              <w:rPr>
                <w:sz w:val="20"/>
                <w:szCs w:val="20"/>
              </w:rPr>
              <w:t xml:space="preserve">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proofErr w:type="spellStart"/>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w:t>
            </w:r>
            <w:proofErr w:type="spellEnd"/>
            <w:r w:rsidRPr="004B580C">
              <w:rPr>
                <w:rFonts w:eastAsia="Times New Roman"/>
                <w:bCs/>
                <w:sz w:val="20"/>
                <w:szCs w:val="20"/>
              </w:rPr>
              <w:t xml:space="preserve"> RRC.</w:t>
            </w:r>
          </w:p>
          <w:p w14:paraId="12696F84" w14:textId="76BE6FEC"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 xml:space="preserve">imply all the TCI states configured for a UE have to be joint DL/UL, or have to be separate DL/UL, </w:t>
            </w:r>
            <w:proofErr w:type="gramStart"/>
            <w:r>
              <w:rPr>
                <w:rFonts w:eastAsia="Malgun Gothic"/>
                <w:bCs/>
                <w:sz w:val="20"/>
              </w:rPr>
              <w:t>i.e.</w:t>
            </w:r>
            <w:proofErr w:type="gramEnd"/>
            <w:r>
              <w:rPr>
                <w:rFonts w:eastAsia="Malgun Gothic"/>
                <w:bCs/>
                <w:sz w:val="20"/>
              </w:rPr>
              <w:t xml:space="preserv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proofErr w:type="spellStart"/>
            <w:r>
              <w:rPr>
                <w:rFonts w:eastAsia="PMingLiU"/>
                <w:sz w:val="18"/>
                <w:szCs w:val="18"/>
                <w:lang w:eastAsia="zh-TW"/>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Not support</w:t>
            </w:r>
            <w:proofErr w:type="gramStart"/>
            <w:r>
              <w:rPr>
                <w:sz w:val="20"/>
              </w:rPr>
              <w:t xml:space="preserve">.  </w:t>
            </w:r>
            <w:proofErr w:type="gramEnd"/>
            <w:r>
              <w:rPr>
                <w:sz w:val="20"/>
              </w:rPr>
              <w:t xml:space="preserve">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proofErr w:type="gramStart"/>
            <w:r>
              <w:rPr>
                <w:rFonts w:ascii="Times" w:hAnsi="Times"/>
                <w:sz w:val="20"/>
                <w:szCs w:val="20"/>
                <w:lang w:val="en-GB" w:eastAsia="zh-CN"/>
              </w:rPr>
              <w:t xml:space="preserve">.  </w:t>
            </w:r>
            <w:proofErr w:type="gramEnd"/>
            <w:r>
              <w:rPr>
                <w:rFonts w:ascii="Times" w:hAnsi="Times"/>
                <w:sz w:val="20"/>
                <w:szCs w:val="20"/>
                <w:lang w:val="en-GB" w:eastAsia="zh-CN"/>
              </w:rPr>
              <w:t xml:space="preserve">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t>
            </w:r>
            <w:r>
              <w:rPr>
                <w:rFonts w:eastAsia="Times New Roman"/>
                <w:bCs/>
                <w:sz w:val="20"/>
                <w:szCs w:val="20"/>
              </w:rPr>
              <w:lastRenderedPageBreak/>
              <w:t>which channels/signals are allowed to do the sharing is clear from the agreements</w:t>
            </w:r>
            <w:proofErr w:type="gramStart"/>
            <w:r>
              <w:rPr>
                <w:rFonts w:eastAsia="Times New Roman"/>
                <w:bCs/>
                <w:sz w:val="20"/>
                <w:szCs w:val="20"/>
              </w:rPr>
              <w:t xml:space="preserve">.  </w:t>
            </w:r>
            <w:proofErr w:type="gramEnd"/>
            <w:r>
              <w:rPr>
                <w:rFonts w:eastAsia="Times New Roman"/>
                <w:bCs/>
                <w:sz w:val="20"/>
                <w:szCs w:val="20"/>
              </w:rPr>
              <w:t xml:space="preserve">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removed</w:t>
            </w:r>
            <w:proofErr w:type="gramStart"/>
            <w:r>
              <w:rPr>
                <w:rFonts w:eastAsia="Times New Roman"/>
                <w:bCs/>
                <w:sz w:val="20"/>
                <w:szCs w:val="20"/>
              </w:rPr>
              <w:t xml:space="preserve">.  </w:t>
            </w:r>
            <w:proofErr w:type="gramEnd"/>
            <w:r>
              <w:rPr>
                <w:rFonts w:eastAsia="Times New Roman"/>
                <w:bCs/>
                <w:sz w:val="20"/>
                <w:szCs w:val="20"/>
              </w:rPr>
              <w:t xml:space="preserve">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PMingLiU"/>
                <w:sz w:val="18"/>
                <w:szCs w:val="18"/>
                <w:lang w:eastAsia="zh-TW"/>
              </w:rPr>
            </w:pPr>
            <w:r>
              <w:rPr>
                <w:rFonts w:eastAsia="PMingLiU" w:hint="eastAsia"/>
                <w:sz w:val="18"/>
                <w:szCs w:val="18"/>
                <w:lang w:eastAsia="zh-TW"/>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ListParagraph"/>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r w:rsidR="00E83F86" w:rsidRPr="00473088" w14:paraId="148BDF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252" w14:textId="719D5D9A" w:rsidR="00E83F86" w:rsidRDefault="00E83F86" w:rsidP="00E83F86">
            <w:pPr>
              <w:snapToGrid w:val="0"/>
              <w:rPr>
                <w:rFonts w:eastAsia="PMingLiU"/>
                <w:sz w:val="18"/>
                <w:szCs w:val="18"/>
                <w:lang w:eastAsia="zh-TW"/>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C47F" w14:textId="77777777" w:rsidR="00E83F86" w:rsidRDefault="00E83F86" w:rsidP="00E83F86">
            <w:pPr>
              <w:snapToGrid w:val="0"/>
              <w:jc w:val="both"/>
              <w:rPr>
                <w:sz w:val="20"/>
              </w:rPr>
            </w:pPr>
            <w:r>
              <w:rPr>
                <w:b/>
                <w:sz w:val="20"/>
              </w:rPr>
              <w:t xml:space="preserve">Proposal 1.A/B.1: </w:t>
            </w:r>
            <w:r w:rsidRPr="00AC4B4F">
              <w:rPr>
                <w:sz w:val="20"/>
              </w:rPr>
              <w:t>Support.</w:t>
            </w:r>
          </w:p>
          <w:p w14:paraId="13AB172D" w14:textId="77777777" w:rsidR="00E83F86" w:rsidRDefault="00E83F86" w:rsidP="00E83F86">
            <w:pPr>
              <w:snapToGrid w:val="0"/>
              <w:jc w:val="both"/>
              <w:rPr>
                <w:sz w:val="20"/>
              </w:rPr>
            </w:pPr>
            <w:r>
              <w:rPr>
                <w:b/>
                <w:sz w:val="20"/>
              </w:rPr>
              <w:t xml:space="preserve">Proposal 1.B.2: </w:t>
            </w:r>
            <w:r>
              <w:rPr>
                <w:sz w:val="20"/>
              </w:rPr>
              <w:t xml:space="preserve">We share the same views with </w:t>
            </w:r>
            <w:proofErr w:type="spellStart"/>
            <w:r>
              <w:rPr>
                <w:sz w:val="20"/>
              </w:rPr>
              <w:t>Futurewei</w:t>
            </w:r>
            <w:proofErr w:type="spellEnd"/>
            <w:r>
              <w:rPr>
                <w:sz w:val="20"/>
              </w:rPr>
              <w:t xml:space="preserve">, and the update implies that TCI state should be shared with all DL/UL channel/signals. It is not sure. If going with this update, NW </w:t>
            </w:r>
            <w:proofErr w:type="gramStart"/>
            <w:r>
              <w:rPr>
                <w:sz w:val="20"/>
              </w:rPr>
              <w:t>has to</w:t>
            </w:r>
            <w:proofErr w:type="gramEnd"/>
            <w:r>
              <w:rPr>
                <w:sz w:val="20"/>
              </w:rPr>
              <w:t xml:space="preserve"> always configure the RRC parameter to indicate not being shared for SP/P-CSI-RS for BM/CSI/tracking and SP/P-SRS. So, we suggest </w:t>
            </w:r>
            <w:proofErr w:type="gramStart"/>
            <w:r>
              <w:rPr>
                <w:sz w:val="20"/>
              </w:rPr>
              <w:t>to replace</w:t>
            </w:r>
            <w:proofErr w:type="gramEnd"/>
            <w:r>
              <w:rPr>
                <w:sz w:val="20"/>
              </w:rPr>
              <w:t xml:space="preserve"> ‘does not shares’ by ‘shares’ as aligned with already agreement</w:t>
            </w:r>
            <w:r w:rsidRPr="00AC4B4F">
              <w:rPr>
                <w:sz w:val="20"/>
              </w:rPr>
              <w:t>.</w:t>
            </w:r>
            <w:r>
              <w:rPr>
                <w:sz w:val="20"/>
              </w:rPr>
              <w:t xml:space="preserve"> Then we are fine with Samsung’s revision.</w:t>
            </w:r>
          </w:p>
          <w:p w14:paraId="25A4E76D" w14:textId="77777777" w:rsidR="00E83F86" w:rsidRDefault="00E83F86" w:rsidP="00E83F86">
            <w:pPr>
              <w:snapToGrid w:val="0"/>
              <w:jc w:val="both"/>
              <w:rPr>
                <w:sz w:val="20"/>
              </w:rPr>
            </w:pPr>
            <w:r>
              <w:rPr>
                <w:b/>
                <w:sz w:val="20"/>
              </w:rPr>
              <w:t>Proposal 1.G</w:t>
            </w:r>
            <w:r>
              <w:rPr>
                <w:sz w:val="20"/>
              </w:rPr>
              <w:t>: Not support.</w:t>
            </w:r>
          </w:p>
          <w:p w14:paraId="18912D84" w14:textId="424EFE6A" w:rsidR="00E83F86" w:rsidRDefault="00E83F86" w:rsidP="00E83F86">
            <w:pPr>
              <w:snapToGrid w:val="0"/>
              <w:jc w:val="both"/>
              <w:rPr>
                <w:b/>
                <w:sz w:val="20"/>
              </w:rPr>
            </w:pPr>
            <w:r>
              <w:rPr>
                <w:b/>
                <w:sz w:val="20"/>
              </w:rPr>
              <w:t>Proposal 1.H</w:t>
            </w:r>
            <w:r w:rsidRPr="006C6A24">
              <w:rPr>
                <w:sz w:val="20"/>
              </w:rPr>
              <w:t xml:space="preserve">: </w:t>
            </w:r>
            <w:r>
              <w:rPr>
                <w:sz w:val="20"/>
              </w:rPr>
              <w:t>We prefer the MAC-CE approach (e.g., Alt. 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w:t>
            </w:r>
            <w:r w:rsidRPr="00F35817">
              <w:rPr>
                <w:sz w:val="18"/>
                <w:szCs w:val="18"/>
              </w:rPr>
              <w:lastRenderedPageBreak/>
              <w:t xml:space="preserve">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proofErr w:type="spellStart"/>
            <w:r w:rsidR="007209EF" w:rsidRPr="000A5A76">
              <w:rPr>
                <w:sz w:val="18"/>
                <w:szCs w:val="18"/>
                <w:lang w:val="de-DE"/>
              </w:rPr>
              <w:t>Docomo</w:t>
            </w:r>
            <w:proofErr w:type="spellEnd"/>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r w:rsidR="00FC0094">
              <w:rPr>
                <w:sz w:val="18"/>
                <w:szCs w:val="20"/>
              </w:rPr>
              <w:t>, MediaTek</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6"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106"/>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7" w:author="Eko Onggosanusi" w:date="2021-10-13T12:58:00Z"/>
          <w:rFonts w:eastAsia="Malgun Gothic"/>
          <w:sz w:val="20"/>
          <w:szCs w:val="20"/>
          <w:lang w:eastAsia="en-US"/>
        </w:rPr>
      </w:pPr>
      <w:bookmarkStart w:id="108"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109" w:author="Eko Onggosanusi" w:date="2021-10-13T12:58:00Z">
        <w:r w:rsidR="00AC1058" w:rsidRPr="00AC1058">
          <w:rPr>
            <w:rFonts w:eastAsia="Malgun Gothic"/>
            <w:sz w:val="20"/>
            <w:szCs w:val="20"/>
            <w:lang w:eastAsia="en-US"/>
          </w:rPr>
          <w:t>upport event-driven beam report</w:t>
        </w:r>
      </w:ins>
      <w:ins w:id="110"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11" w:author="Eko Onggosanusi" w:date="2021-10-13T12:58:00Z"/>
          <w:rFonts w:eastAsia="Malgun Gothic"/>
          <w:bCs/>
          <w:sz w:val="20"/>
          <w:szCs w:val="20"/>
          <w:lang w:eastAsia="en-US"/>
        </w:rPr>
      </w:pPr>
      <w:ins w:id="112"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3" w:author="Eko Onggosanusi" w:date="2021-10-13T12:58:00Z"/>
          <w:rFonts w:eastAsia="Malgun Gothic"/>
          <w:bCs/>
          <w:sz w:val="20"/>
          <w:szCs w:val="20"/>
          <w:lang w:eastAsia="en-US"/>
        </w:rPr>
      </w:pPr>
      <w:ins w:id="114"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5" w:author="Eko Onggosanusi" w:date="2021-10-13T12:58:00Z"/>
          <w:rFonts w:eastAsia="Malgun Gothic"/>
          <w:bCs/>
          <w:sz w:val="20"/>
          <w:szCs w:val="20"/>
          <w:lang w:eastAsia="en-US"/>
        </w:rPr>
      </w:pPr>
      <w:ins w:id="116"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7" w:author="Eko Onggosanusi" w:date="2021-10-13T12:58:00Z"/>
          <w:rFonts w:eastAsia="Malgun Gothic"/>
          <w:bCs/>
          <w:sz w:val="20"/>
          <w:szCs w:val="20"/>
          <w:lang w:eastAsia="en-US"/>
        </w:rPr>
      </w:pPr>
      <w:ins w:id="118"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9" w:author="Eko Onggosanusi" w:date="2021-10-13T12:58:00Z"/>
          <w:rFonts w:eastAsia="Malgun Gothic"/>
          <w:bCs/>
          <w:sz w:val="20"/>
          <w:szCs w:val="20"/>
          <w:lang w:eastAsia="en-US"/>
        </w:rPr>
      </w:pPr>
      <w:ins w:id="120"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1" w:author="Eko Onggosanusi" w:date="2021-10-13T12:58:00Z"/>
          <w:rFonts w:eastAsia="Malgun Gothic"/>
          <w:bCs/>
          <w:sz w:val="20"/>
          <w:szCs w:val="20"/>
          <w:lang w:eastAsia="en-US"/>
        </w:rPr>
      </w:pPr>
      <w:ins w:id="122"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23"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24"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w:t>
        </w:r>
        <w:proofErr w:type="gramStart"/>
        <w:r w:rsidRPr="00AC1058">
          <w:rPr>
            <w:rFonts w:eastAsia="Malgun Gothic"/>
            <w:bCs/>
            <w:sz w:val="20"/>
            <w:szCs w:val="20"/>
          </w:rPr>
          <w:t>similar to</w:t>
        </w:r>
        <w:proofErr w:type="gramEnd"/>
        <w:r w:rsidRPr="00AC1058">
          <w:rPr>
            <w:rFonts w:eastAsia="Malgun Gothic"/>
            <w:bCs/>
            <w:sz w:val="20"/>
            <w:szCs w:val="20"/>
          </w:rPr>
          <w:t xml:space="preserve"> PHR</w:t>
        </w:r>
      </w:ins>
    </w:p>
    <w:p w14:paraId="27BE8250" w14:textId="5299F374" w:rsidR="004E4CC5" w:rsidRDefault="004E4CC5" w:rsidP="005D6533">
      <w:pPr>
        <w:snapToGrid w:val="0"/>
        <w:jc w:val="both"/>
        <w:rPr>
          <w:sz w:val="20"/>
          <w:szCs w:val="20"/>
        </w:rPr>
      </w:pPr>
    </w:p>
    <w:bookmarkEnd w:id="108"/>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5"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proofErr w:type="gramStart"/>
                  <w:r w:rsidRPr="00E07D6A">
                    <w:rPr>
                      <w:sz w:val="18"/>
                      <w:szCs w:val="18"/>
                    </w:rPr>
                    <w:t>Non-UE</w:t>
                  </w:r>
                  <w:proofErr w:type="gramEnd"/>
                  <w:r w:rsidRPr="00E07D6A">
                    <w:rPr>
                      <w:sz w:val="18"/>
                      <w:szCs w:val="18"/>
                    </w:rPr>
                    <w:t>-dedicated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lastRenderedPageBreak/>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lastRenderedPageBreak/>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p w14:paraId="32D14D9C" w14:textId="6E0CC6A8" w:rsidR="00A746E8" w:rsidRPr="00A746E8" w:rsidRDefault="00A746E8" w:rsidP="00A746E8">
            <w:pPr>
              <w:snapToGrid w:val="0"/>
              <w:rPr>
                <w:rFonts w:eastAsia="Malgun Gothic"/>
                <w:b/>
                <w:bCs/>
                <w:sz w:val="18"/>
                <w:szCs w:val="18"/>
              </w:rPr>
            </w:pPr>
            <w:ins w:id="126"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w:t>
            </w:r>
            <w:r w:rsidR="00A10AA2">
              <w:rPr>
                <w:rFonts w:eastAsia="MS Mincho"/>
                <w:sz w:val="18"/>
                <w:szCs w:val="18"/>
                <w:lang w:eastAsia="ja-JP"/>
              </w:rPr>
              <w:lastRenderedPageBreak/>
              <w:t xml:space="preserve">the maximum. So, can we suggest </w:t>
            </w:r>
            <w:proofErr w:type="gramStart"/>
            <w:r w:rsidR="00A10AA2">
              <w:rPr>
                <w:rFonts w:eastAsia="MS Mincho"/>
                <w:sz w:val="18"/>
                <w:szCs w:val="18"/>
                <w:lang w:eastAsia="ja-JP"/>
              </w:rPr>
              <w:t>to slight</w:t>
            </w:r>
            <w:proofErr w:type="gramEnd"/>
            <w:r w:rsidR="00A10AA2">
              <w:rPr>
                <w:rFonts w:eastAsia="MS Mincho"/>
                <w:sz w:val="18"/>
                <w:szCs w:val="18"/>
                <w:lang w:eastAsia="ja-JP"/>
              </w:rPr>
              <w:t xml:space="preserve">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27" w:author="Eko Onggosanusi" w:date="2021-10-13T13:04:00Z">
              <w:r>
                <w:rPr>
                  <w:rFonts w:eastAsia="MS Mincho"/>
                  <w:sz w:val="18"/>
                  <w:szCs w:val="18"/>
                  <w:lang w:val="en-GB" w:eastAsia="ja-JP"/>
                </w:rPr>
                <w:t xml:space="preserve">[Mod: </w:t>
              </w:r>
            </w:ins>
            <w:ins w:id="128"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29"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Perhaps we can leave this issue to RAN4</w:t>
            </w:r>
            <w:proofErr w:type="gramStart"/>
            <w:r>
              <w:rPr>
                <w:rFonts w:eastAsia="MS Mincho"/>
                <w:sz w:val="18"/>
                <w:szCs w:val="18"/>
                <w:lang w:eastAsia="ja-JP"/>
              </w:rPr>
              <w:t xml:space="preserve">.  </w:t>
            </w:r>
            <w:proofErr w:type="gramEnd"/>
          </w:p>
          <w:p w14:paraId="4F532647" w14:textId="77777777" w:rsidR="0041055A" w:rsidRDefault="0041055A" w:rsidP="0041055A">
            <w:pPr>
              <w:snapToGrid w:val="0"/>
              <w:rPr>
                <w:ins w:id="130"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31"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32"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 xml:space="preserve">For 2.F, suggest </w:t>
            </w:r>
            <w:proofErr w:type="gramStart"/>
            <w:r w:rsidRPr="00194264">
              <w:rPr>
                <w:rFonts w:eastAsia="MS Mincho"/>
                <w:sz w:val="18"/>
                <w:szCs w:val="18"/>
                <w:lang w:eastAsia="ja-JP"/>
              </w:rPr>
              <w:t>to a</w:t>
            </w:r>
            <w:r>
              <w:rPr>
                <w:rFonts w:eastAsia="MS Mincho"/>
                <w:sz w:val="18"/>
                <w:szCs w:val="18"/>
                <w:lang w:eastAsia="ja-JP"/>
              </w:rPr>
              <w:t>dd</w:t>
            </w:r>
            <w:proofErr w:type="gramEnd"/>
            <w:r>
              <w:rPr>
                <w:rFonts w:eastAsia="MS Mincho"/>
                <w:sz w:val="18"/>
                <w:szCs w:val="18"/>
                <w:lang w:eastAsia="ja-JP"/>
              </w:rPr>
              <w:t xml:space="preserve">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proofErr w:type="gramStart"/>
            <w:r>
              <w:rPr>
                <w:bCs/>
                <w:sz w:val="18"/>
                <w:szCs w:val="18"/>
                <w:lang w:eastAsia="zh-CN"/>
              </w:rPr>
              <w:t>Similar to</w:t>
            </w:r>
            <w:proofErr w:type="gramEnd"/>
            <w:r>
              <w:rPr>
                <w:bCs/>
                <w:sz w:val="18"/>
                <w:szCs w:val="18"/>
                <w:lang w:eastAsia="zh-CN"/>
              </w:rPr>
              <w:t xml:space="preserve">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lastRenderedPageBreak/>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 xml:space="preserve">associated with the PCID of the serving cell. When UE can support multiple active PCID based TCI states, the </w:t>
            </w:r>
            <w:proofErr w:type="spellStart"/>
            <w:r w:rsidR="002F719C">
              <w:rPr>
                <w:bCs/>
                <w:sz w:val="18"/>
                <w:szCs w:val="18"/>
                <w:lang w:eastAsia="zh-CN"/>
              </w:rPr>
              <w:t>gNB</w:t>
            </w:r>
            <w:proofErr w:type="spellEnd"/>
            <w:r w:rsidR="002F719C">
              <w:rPr>
                <w:bCs/>
                <w:sz w:val="18"/>
                <w:szCs w:val="18"/>
                <w:lang w:eastAsia="zh-CN"/>
              </w:rPr>
              <w:t xml:space="preserve"> can switch beams if needed.</w:t>
            </w:r>
            <w:r w:rsidR="00E569D6">
              <w:rPr>
                <w:bCs/>
                <w:sz w:val="18"/>
                <w:szCs w:val="18"/>
                <w:lang w:eastAsia="zh-CN"/>
              </w:rPr>
              <w:t xml:space="preserve"> </w:t>
            </w:r>
            <w:proofErr w:type="gramStart"/>
            <w:r w:rsidR="00E569D6">
              <w:rPr>
                <w:bCs/>
                <w:sz w:val="18"/>
                <w:szCs w:val="18"/>
                <w:lang w:eastAsia="zh-CN"/>
              </w:rPr>
              <w:t>So</w:t>
            </w:r>
            <w:proofErr w:type="gramEnd"/>
            <w:r w:rsidR="00E569D6">
              <w:rPr>
                <w:bCs/>
                <w:sz w:val="18"/>
                <w:szCs w:val="18"/>
                <w:lang w:eastAsia="zh-CN"/>
              </w:rPr>
              <w:t xml:space="preserve">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proofErr w:type="spellStart"/>
            <w:r>
              <w:rPr>
                <w:rFonts w:eastAsiaTheme="minorEastAsia"/>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w:t>
            </w:r>
            <w:proofErr w:type="gramStart"/>
            <w:r>
              <w:rPr>
                <w:color w:val="000000" w:themeColor="text1"/>
                <w:sz w:val="18"/>
                <w:szCs w:val="18"/>
                <w:lang w:eastAsia="zh-CN"/>
              </w:rPr>
              <w:t xml:space="preserve">.  </w:t>
            </w:r>
            <w:proofErr w:type="gramEnd"/>
            <w:r>
              <w:rPr>
                <w:color w:val="000000" w:themeColor="text1"/>
                <w:sz w:val="18"/>
                <w:szCs w:val="18"/>
                <w:lang w:eastAsia="zh-CN"/>
              </w:rPr>
              <w:t>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Not support</w:t>
            </w:r>
            <w:proofErr w:type="gramStart"/>
            <w:r>
              <w:rPr>
                <w:color w:val="000000" w:themeColor="text1"/>
                <w:sz w:val="18"/>
                <w:szCs w:val="18"/>
                <w:lang w:eastAsia="zh-CN"/>
              </w:rPr>
              <w:t xml:space="preserve">.  </w:t>
            </w:r>
            <w:proofErr w:type="gramEnd"/>
            <w:r>
              <w:rPr>
                <w:color w:val="000000" w:themeColor="text1"/>
                <w:sz w:val="18"/>
                <w:szCs w:val="18"/>
                <w:lang w:eastAsia="zh-CN"/>
              </w:rPr>
              <w:t xml:space="preserve">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r w:rsidR="00E83F86" w:rsidRPr="002C581A" w14:paraId="6902599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1408" w14:textId="0A1F9210" w:rsidR="00E83F86" w:rsidRPr="00860625" w:rsidRDefault="00E83F86" w:rsidP="00E83F86">
            <w:pPr>
              <w:snapToGrid w:val="0"/>
              <w:rPr>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99"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Conclusion 2.B and Proposal 2.D: </w:t>
            </w:r>
            <w:r w:rsidRPr="00BD6CAC">
              <w:rPr>
                <w:bCs/>
                <w:color w:val="000000" w:themeColor="text1"/>
                <w:sz w:val="18"/>
                <w:szCs w:val="18"/>
                <w:lang w:eastAsia="zh-CN"/>
              </w:rPr>
              <w:t>Support</w:t>
            </w:r>
          </w:p>
          <w:p w14:paraId="5B1D33BA"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Proposal 2.E: </w:t>
            </w:r>
            <w:r w:rsidRPr="00BD6CAC">
              <w:rPr>
                <w:bCs/>
                <w:color w:val="000000" w:themeColor="text1"/>
                <w:sz w:val="18"/>
                <w:szCs w:val="18"/>
                <w:lang w:eastAsia="zh-CN"/>
              </w:rPr>
              <w:t>Support in principle</w:t>
            </w:r>
            <w:r>
              <w:rPr>
                <w:bCs/>
                <w:color w:val="000000" w:themeColor="text1"/>
                <w:sz w:val="18"/>
                <w:szCs w:val="18"/>
                <w:lang w:eastAsia="zh-CN"/>
              </w:rPr>
              <w:t xml:space="preserve">. Based on above </w:t>
            </w:r>
            <w:proofErr w:type="spellStart"/>
            <w:r>
              <w:rPr>
                <w:bCs/>
                <w:color w:val="000000" w:themeColor="text1"/>
                <w:sz w:val="18"/>
                <w:szCs w:val="18"/>
                <w:lang w:eastAsia="zh-CN"/>
              </w:rPr>
              <w:t>companis</w:t>
            </w:r>
            <w:proofErr w:type="spellEnd"/>
            <w:r>
              <w:rPr>
                <w:bCs/>
                <w:color w:val="000000" w:themeColor="text1"/>
                <w:sz w:val="18"/>
                <w:szCs w:val="18"/>
                <w:lang w:eastAsia="zh-CN"/>
              </w:rPr>
              <w:t>’ replies, we think that the most urgent part is make down-selection from Alt1~3. The triggering event from Apple can be considered as a good example.</w:t>
            </w:r>
          </w:p>
          <w:p w14:paraId="6D943000" w14:textId="0A565D2F" w:rsidR="00E83F86" w:rsidRDefault="00E83F86" w:rsidP="00E83F86">
            <w:pPr>
              <w:snapToGrid w:val="0"/>
              <w:rPr>
                <w:b/>
                <w:sz w:val="18"/>
                <w:szCs w:val="18"/>
                <w:lang w:eastAsia="zh-CN"/>
              </w:rPr>
            </w:pPr>
            <w:r>
              <w:rPr>
                <w:b/>
                <w:bCs/>
                <w:color w:val="000000" w:themeColor="text1"/>
                <w:sz w:val="18"/>
                <w:szCs w:val="18"/>
                <w:lang w:eastAsia="zh-CN"/>
              </w:rPr>
              <w:t xml:space="preserve">Proposal 2.F: </w:t>
            </w:r>
            <w:r>
              <w:rPr>
                <w:color w:val="000000" w:themeColor="text1"/>
                <w:sz w:val="18"/>
                <w:szCs w:val="18"/>
                <w:lang w:eastAsia="zh-CN"/>
              </w:rPr>
              <w:t xml:space="preserve">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33"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4"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5"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proofErr w:type="gramStart"/>
            <w:r w:rsidRPr="000F295D">
              <w:rPr>
                <w:strike/>
                <w:color w:val="0000FF"/>
                <w:sz w:val="20"/>
                <w:szCs w:val="20"/>
              </w:rPr>
              <w:t>are</w:t>
            </w:r>
            <w:r w:rsidRPr="000F295D">
              <w:rPr>
                <w:color w:val="0000FF"/>
                <w:sz w:val="20"/>
                <w:szCs w:val="20"/>
              </w:rPr>
              <w:t xml:space="preserve"> is</w:t>
            </w:r>
            <w:proofErr w:type="gramEnd"/>
            <w:r w:rsidRPr="000F295D">
              <w:rPr>
                <w:color w:val="0000FF"/>
                <w:sz w:val="20"/>
                <w:szCs w:val="20"/>
              </w:rPr>
              <w:t xml:space="preserve">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lastRenderedPageBreak/>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We do not think we need to configure Y per SCS. The system can just configure one Y = Y0 value for SCS = 15KHz and then for other SCS would be calculated as Y = Y0*2^</w:t>
            </w:r>
            <w:proofErr w:type="gramStart"/>
            <w:r>
              <w:rPr>
                <w:sz w:val="18"/>
                <w:szCs w:val="18"/>
                <w:lang w:eastAsia="zh-CN"/>
              </w:rPr>
              <w:t xml:space="preserve">u.  </w:t>
            </w:r>
            <w:proofErr w:type="gramEnd"/>
            <w:r>
              <w:rPr>
                <w:sz w:val="18"/>
                <w:szCs w:val="18"/>
                <w:lang w:eastAsia="zh-CN"/>
              </w:rPr>
              <w:t xml:space="preserve">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w:t>
            </w:r>
            <w:proofErr w:type="spellStart"/>
            <w:r>
              <w:rPr>
                <w:sz w:val="18"/>
                <w:szCs w:val="18"/>
              </w:rPr>
              <w:t>gNB</w:t>
            </w:r>
            <w:proofErr w:type="spellEnd"/>
            <w:r>
              <w:rPr>
                <w:sz w:val="18"/>
                <w:szCs w:val="18"/>
              </w:rPr>
              <w:t xml:space="preserve">.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6"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7"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8"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9"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w:t>
            </w:r>
            <w:proofErr w:type="gramStart"/>
            <w:r w:rsidRPr="00B6487F">
              <w:rPr>
                <w:sz w:val="18"/>
                <w:szCs w:val="18"/>
                <w:lang w:eastAsia="zh-CN"/>
              </w:rPr>
              <w:t>i.e.</w:t>
            </w:r>
            <w:proofErr w:type="gramEnd"/>
            <w:r w:rsidRPr="00B6487F">
              <w:rPr>
                <w:sz w:val="18"/>
                <w:szCs w:val="18"/>
                <w:lang w:eastAsia="zh-CN"/>
              </w:rPr>
              <w:t xml:space="preserv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0"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 xml:space="preserve">Minor revision on </w:t>
            </w:r>
            <w:proofErr w:type="gramStart"/>
            <w:r>
              <w:rPr>
                <w:b/>
                <w:sz w:val="18"/>
                <w:szCs w:val="18"/>
                <w:lang w:eastAsia="zh-CN"/>
              </w:rPr>
              <w:t>3.A</w:t>
            </w:r>
            <w:proofErr w:type="gramEnd"/>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 xml:space="preserve">Support Proposal </w:t>
            </w:r>
            <w:proofErr w:type="gramStart"/>
            <w:r>
              <w:rPr>
                <w:sz w:val="18"/>
                <w:szCs w:val="18"/>
                <w:lang w:eastAsia="zh-CN"/>
              </w:rPr>
              <w:t>3.A</w:t>
            </w:r>
            <w:proofErr w:type="gramEnd"/>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r w:rsidR="00E83F86" w14:paraId="50450E49"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D383" w14:textId="60D23C10" w:rsidR="00E83F86" w:rsidRDefault="00E83F86" w:rsidP="00E83F86">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11D" w14:textId="7C571996" w:rsidR="00E83F86" w:rsidRDefault="00E83F86" w:rsidP="00E83F86">
            <w:pPr>
              <w:snapToGrid w:val="0"/>
              <w:rPr>
                <w:sz w:val="18"/>
                <w:szCs w:val="18"/>
                <w:lang w:eastAsia="zh-CN"/>
              </w:rPr>
            </w:pPr>
            <w:r>
              <w:rPr>
                <w:sz w:val="18"/>
                <w:szCs w:val="18"/>
                <w:lang w:eastAsia="zh-CN"/>
              </w:rPr>
              <w:t xml:space="preserve">We share the same views with E/// that, from spec perspective, what we need to do is just make sure that there is sufficient flexibility for </w:t>
            </w:r>
            <w:proofErr w:type="spellStart"/>
            <w:r>
              <w:rPr>
                <w:sz w:val="18"/>
                <w:szCs w:val="18"/>
                <w:lang w:eastAsia="zh-CN"/>
              </w:rPr>
              <w:t>gNB</w:t>
            </w:r>
            <w:proofErr w:type="spellEnd"/>
            <w:r>
              <w:rPr>
                <w:sz w:val="18"/>
                <w:szCs w:val="18"/>
                <w:lang w:eastAsia="zh-CN"/>
              </w:rPr>
              <w:t xml:space="preserve"> to make reasonable configuration for UE beam switching</w:t>
            </w:r>
            <w:proofErr w:type="gramStart"/>
            <w:r>
              <w:rPr>
                <w:sz w:val="18"/>
                <w:szCs w:val="18"/>
                <w:lang w:eastAsia="zh-CN"/>
              </w:rPr>
              <w:t xml:space="preserve">.  </w:t>
            </w:r>
            <w:proofErr w:type="gramEnd"/>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41" w:author="Eko Onggosanusi" w:date="2021-10-13T13:12:00Z">
        <w:r>
          <w:rPr>
            <w:sz w:val="20"/>
            <w:szCs w:val="20"/>
            <w:lang w:eastAsia="zh-CN"/>
          </w:rPr>
          <w:t>Support the UE reporting a list of UE capability values</w:t>
        </w:r>
      </w:ins>
      <w:del w:id="142"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43" w:author="Eko Onggosanusi" w:date="2021-10-13T13:13:00Z"/>
          <w:sz w:val="20"/>
          <w:szCs w:val="20"/>
          <w:lang w:eastAsia="zh-CN"/>
        </w:rPr>
      </w:pPr>
      <w:ins w:id="144" w:author="Eko Onggosanusi" w:date="2021-10-13T13:13:00Z">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45" w:author="Eko Onggosanusi" w:date="2021-10-13T13:13:00Z"/>
          <w:sz w:val="20"/>
          <w:szCs w:val="20"/>
          <w:lang w:eastAsia="zh-CN"/>
        </w:rPr>
      </w:pPr>
      <w:ins w:id="146"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47"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48" w:author="Eko Onggosanusi" w:date="2021-10-13T13:13:00Z"/>
          <w:sz w:val="20"/>
          <w:szCs w:val="20"/>
          <w:lang w:eastAsia="zh-CN"/>
        </w:rPr>
      </w:pPr>
      <w:del w:id="149"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50" w:author="Eko Onggosanusi" w:date="2021-10-13T13:13:00Z"/>
          <w:sz w:val="20"/>
          <w:szCs w:val="20"/>
          <w:lang w:eastAsia="zh-CN"/>
        </w:rPr>
      </w:pPr>
      <w:del w:id="151"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52" w:author="Eko Onggosanusi" w:date="2021-10-13T13:11:00Z"/>
          <w:sz w:val="20"/>
          <w:szCs w:val="20"/>
          <w:lang w:eastAsia="zh-CN"/>
        </w:rPr>
      </w:pPr>
      <w:ins w:id="153"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54" w:author="Eko Onggosanusi" w:date="2021-10-13T13:11:00Z"/>
          <w:sz w:val="20"/>
          <w:szCs w:val="20"/>
          <w:lang w:eastAsia="zh-CN"/>
        </w:rPr>
      </w:pPr>
      <w:ins w:id="155"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56" w:author="Eko Onggosanusi" w:date="2021-10-13T13:11:00Z"/>
          <w:sz w:val="20"/>
          <w:szCs w:val="20"/>
          <w:lang w:eastAsia="zh-CN"/>
        </w:rPr>
      </w:pPr>
      <w:del w:id="157"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w:t>
      </w:r>
      <w:proofErr w:type="gramStart"/>
      <w:r w:rsidRPr="0028076F">
        <w:rPr>
          <w:sz w:val="20"/>
          <w:szCs w:val="20"/>
          <w:lang w:eastAsia="zh-CN"/>
        </w:rPr>
        <w:t>e.g.</w:t>
      </w:r>
      <w:proofErr w:type="gramEnd"/>
      <w:r w:rsidRPr="0028076F">
        <w:rPr>
          <w:sz w:val="20"/>
          <w:szCs w:val="20"/>
          <w:lang w:eastAsia="zh-CN"/>
        </w:rPr>
        <w:t xml:space="preserve">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58" w:author="Eko Onggosanusi" w:date="2021-10-13T13:14:00Z"/>
          <w:sz w:val="20"/>
          <w:szCs w:val="20"/>
          <w:lang w:eastAsia="zh-CN"/>
        </w:rPr>
      </w:pPr>
      <w:del w:id="159"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60" w:author="Eko Onggosanusi" w:date="2021-10-13T13:14:00Z"/>
          <w:sz w:val="20"/>
          <w:szCs w:val="20"/>
        </w:rPr>
      </w:pPr>
      <w:del w:id="161"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w:t>
            </w:r>
            <w:r w:rsidRPr="006D4ED8">
              <w:rPr>
                <w:rFonts w:eastAsiaTheme="minorEastAsia"/>
                <w:sz w:val="18"/>
                <w:szCs w:val="18"/>
                <w:lang w:eastAsia="zh-CN"/>
              </w:rPr>
              <w:lastRenderedPageBreak/>
              <w:t>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w:t>
            </w:r>
            <w:proofErr w:type="spellStart"/>
            <w:r w:rsidRPr="00E108FD">
              <w:rPr>
                <w:rFonts w:eastAsia="Malgun Gothic"/>
                <w:sz w:val="18"/>
                <w:szCs w:val="18"/>
              </w:rPr>
              <w:t>gNB</w:t>
            </w:r>
            <w:proofErr w:type="spellEnd"/>
            <w:r w:rsidRPr="00E108FD">
              <w:rPr>
                <w:rFonts w:eastAsia="Malgun Gothic"/>
                <w:sz w:val="18"/>
                <w:szCs w:val="18"/>
              </w:rPr>
              <w:t xml:space="preserve">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 xml:space="preserve">We would like to clarify whether the beam reporting instance contains BFRQ, or whether it is a special L1-RSRP/L1-SINR reporting instance configured by NW. Maybe not critical at current stage, but we would like to suggest we add </w:t>
            </w:r>
            <w:proofErr w:type="gramStart"/>
            <w:r>
              <w:rPr>
                <w:rFonts w:eastAsia="Malgun Gothic"/>
                <w:sz w:val="18"/>
                <w:szCs w:val="18"/>
              </w:rPr>
              <w:t>a</w:t>
            </w:r>
            <w:proofErr w:type="gramEnd"/>
            <w:r>
              <w:rPr>
                <w:rFonts w:eastAsia="Malgun Gothic"/>
                <w:sz w:val="18"/>
                <w:szCs w:val="18"/>
              </w:rPr>
              <w:t xml:space="preserve">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 xml:space="preserve">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 xml:space="preserve">We do not believe that the applicable time of correspondence can be left to NW implementation. Based on this solution, the UE capability can be dynamically changed, and </w:t>
            </w:r>
            <w:proofErr w:type="spellStart"/>
            <w:r>
              <w:rPr>
                <w:rFonts w:eastAsia="Malgun Gothic"/>
                <w:sz w:val="18"/>
                <w:szCs w:val="18"/>
              </w:rPr>
              <w:t>gNB</w:t>
            </w:r>
            <w:proofErr w:type="spellEnd"/>
            <w:r>
              <w:rPr>
                <w:rFonts w:eastAsia="Malgun Gothic"/>
                <w:sz w:val="18"/>
                <w:szCs w:val="18"/>
              </w:rPr>
              <w:t xml:space="preserve">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w:t>
            </w:r>
            <w:proofErr w:type="spellStart"/>
            <w:r w:rsidRPr="008A48A3">
              <w:rPr>
                <w:sz w:val="18"/>
                <w:szCs w:val="18"/>
                <w:lang w:eastAsia="zh-CN"/>
              </w:rPr>
              <w:t>gNB</w:t>
            </w:r>
            <w:proofErr w:type="spellEnd"/>
            <w:r w:rsidRPr="008A48A3">
              <w:rPr>
                <w:sz w:val="18"/>
                <w:szCs w:val="18"/>
                <w:lang w:eastAsia="zh-CN"/>
              </w:rPr>
              <w:t xml:space="preserve">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 xml:space="preserve">UE shall not expect </w:t>
            </w:r>
            <w:proofErr w:type="spellStart"/>
            <w:r w:rsidRPr="00A40F7C">
              <w:rPr>
                <w:rFonts w:eastAsia="Malgun Gothic"/>
                <w:color w:val="FF0000"/>
                <w:sz w:val="18"/>
                <w:szCs w:val="20"/>
              </w:rPr>
              <w:t>gNB</w:t>
            </w:r>
            <w:proofErr w:type="spellEnd"/>
            <w:r w:rsidRPr="00A40F7C">
              <w:rPr>
                <w:rFonts w:eastAsia="Malgun Gothic"/>
                <w:color w:val="FF0000"/>
                <w:sz w:val="18"/>
                <w:szCs w:val="20"/>
              </w:rPr>
              <w:t xml:space="preserve">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 xml:space="preserve">The need for specifying timeline for correspondence signaling, e.g. the correspondence is applied X symbols after receiving </w:t>
            </w:r>
            <w:proofErr w:type="spellStart"/>
            <w:r w:rsidRPr="008918CD">
              <w:rPr>
                <w:strike/>
                <w:color w:val="FF0000"/>
                <w:sz w:val="20"/>
                <w:szCs w:val="20"/>
                <w:lang w:eastAsia="zh-CN"/>
              </w:rPr>
              <w:t>gNB</w:t>
            </w:r>
            <w:proofErr w:type="spellEnd"/>
            <w:r w:rsidRPr="008918CD">
              <w:rPr>
                <w:strike/>
                <w:color w:val="FF0000"/>
                <w:sz w:val="20"/>
                <w:szCs w:val="20"/>
                <w:lang w:eastAsia="zh-CN"/>
              </w:rPr>
              <w:t xml:space="preserve">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2"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w:t>
            </w:r>
            <w:proofErr w:type="spellStart"/>
            <w:r>
              <w:rPr>
                <w:rFonts w:eastAsia="Malgun Gothic"/>
                <w:sz w:val="18"/>
                <w:szCs w:val="18"/>
              </w:rPr>
              <w:t>gNB</w:t>
            </w:r>
            <w:proofErr w:type="spellEnd"/>
            <w:r>
              <w:rPr>
                <w:rFonts w:eastAsia="Malgun Gothic"/>
                <w:sz w:val="18"/>
                <w:szCs w:val="18"/>
              </w:rPr>
              <w:t xml:space="preserve">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3"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lastRenderedPageBreak/>
              <w:t>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w:t>
            </w:r>
            <w:proofErr w:type="gramStart"/>
            <w:r>
              <w:rPr>
                <w:rFonts w:eastAsiaTheme="minorEastAsia"/>
                <w:sz w:val="18"/>
                <w:szCs w:val="18"/>
                <w:lang w:eastAsia="zh-CN"/>
              </w:rPr>
              <w:t xml:space="preserve">.  </w:t>
            </w:r>
            <w:bookmarkEnd w:id="163"/>
            <w:proofErr w:type="gramEnd"/>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w:t>
            </w:r>
            <w:proofErr w:type="gramStart"/>
            <w:r>
              <w:rPr>
                <w:rFonts w:eastAsiaTheme="minorEastAsia"/>
                <w:sz w:val="18"/>
                <w:szCs w:val="18"/>
                <w:lang w:eastAsia="zh-CN"/>
              </w:rPr>
              <w:t>meaning in 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Any association across CCs is </w:t>
            </w:r>
            <w:proofErr w:type="gramStart"/>
            <w:r>
              <w:rPr>
                <w:rFonts w:eastAsiaTheme="minorEastAsia"/>
                <w:sz w:val="18"/>
                <w:szCs w:val="18"/>
                <w:lang w:eastAsia="zh-CN"/>
              </w:rPr>
              <w:t>unclear, and</w:t>
            </w:r>
            <w:proofErr w:type="gramEnd"/>
            <w:r>
              <w:rPr>
                <w:rFonts w:eastAsiaTheme="minorEastAsia"/>
                <w:sz w:val="18"/>
                <w:szCs w:val="18"/>
                <w:lang w:eastAsia="zh-CN"/>
              </w:rPr>
              <w:t xml:space="preserve">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4"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5" w:author="Eko Onggosanusi" w:date="2021-10-13T13:15:00Z"/>
                <w:sz w:val="20"/>
                <w:szCs w:val="20"/>
                <w:lang w:eastAsia="zh-CN"/>
              </w:rPr>
            </w:pPr>
            <w:ins w:id="166" w:author="Eko Onggosanusi" w:date="2021-10-13T13:15:00Z">
              <w:r>
                <w:rPr>
                  <w:sz w:val="20"/>
                  <w:szCs w:val="20"/>
                  <w:lang w:eastAsia="zh-CN"/>
                </w:rPr>
                <w:t xml:space="preserve">[Mod: OK. I agree with the above assessments as the previous version is too </w:t>
              </w:r>
            </w:ins>
            <w:ins w:id="167" w:author="Eko Onggosanusi" w:date="2021-10-13T13:16:00Z">
              <w:r>
                <w:rPr>
                  <w:sz w:val="20"/>
                  <w:szCs w:val="20"/>
                  <w:lang w:eastAsia="zh-CN"/>
                </w:rPr>
                <w:t>convoluted</w:t>
              </w:r>
            </w:ins>
            <w:ins w:id="168"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is reported</w:t>
            </w:r>
            <w:proofErr w:type="gramStart"/>
            <w:r w:rsidR="002E34DB">
              <w:rPr>
                <w:rFonts w:eastAsiaTheme="minorEastAsia"/>
                <w:sz w:val="18"/>
                <w:szCs w:val="18"/>
                <w:lang w:eastAsia="zh-CN"/>
              </w:rPr>
              <w:t xml:space="preserve">. </w:t>
            </w:r>
            <w:r>
              <w:rPr>
                <w:rFonts w:eastAsiaTheme="minorEastAsia"/>
                <w:sz w:val="18"/>
                <w:szCs w:val="18"/>
                <w:lang w:eastAsia="zh-CN"/>
              </w:rPr>
              <w:t xml:space="preserve"> </w:t>
            </w:r>
            <w:proofErr w:type="gramEnd"/>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xml:space="preserve">. Hence, we 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revise</w:t>
            </w:r>
            <w:proofErr w:type="gramEnd"/>
            <w:r>
              <w:rPr>
                <w:rFonts w:eastAsiaTheme="minorEastAsia"/>
                <w:sz w:val="18"/>
                <w:szCs w:val="18"/>
                <w:lang w:eastAsia="zh-CN"/>
              </w:rPr>
              <w:t xml:space="preserv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lastRenderedPageBreak/>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w:t>
            </w:r>
            <w:proofErr w:type="gramStart"/>
            <w:r>
              <w:rPr>
                <w:rFonts w:eastAsiaTheme="minorEastAsia"/>
                <w:bCs/>
                <w:sz w:val="18"/>
                <w:szCs w:val="18"/>
                <w:lang w:eastAsia="zh-CN"/>
              </w:rPr>
              <w:t>report by definition</w:t>
            </w:r>
            <w:proofErr w:type="gramEnd"/>
            <w:r>
              <w:rPr>
                <w:rFonts w:eastAsiaTheme="minorEastAsia"/>
                <w:bCs/>
                <w:sz w:val="18"/>
                <w:szCs w:val="18"/>
                <w:lang w:eastAsia="zh-CN"/>
              </w:rPr>
              <w:t xml:space="preserve">. Suggest </w:t>
            </w:r>
            <w:proofErr w:type="gramStart"/>
            <w:r>
              <w:rPr>
                <w:rFonts w:eastAsiaTheme="minorEastAsia"/>
                <w:bCs/>
                <w:sz w:val="18"/>
                <w:szCs w:val="18"/>
                <w:lang w:eastAsia="zh-CN"/>
              </w:rPr>
              <w:t>to add</w:t>
            </w:r>
            <w:proofErr w:type="gramEnd"/>
            <w:r>
              <w:rPr>
                <w:rFonts w:eastAsiaTheme="minorEastAsia"/>
                <w:bCs/>
                <w:sz w:val="18"/>
                <w:szCs w:val="18"/>
                <w:lang w:eastAsia="zh-CN"/>
              </w:rPr>
              <w:t xml:space="preserve">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proofErr w:type="gramStart"/>
            <w:r w:rsidRPr="00327E90">
              <w:rPr>
                <w:rFonts w:eastAsiaTheme="minorEastAsia"/>
                <w:bCs/>
                <w:sz w:val="18"/>
                <w:szCs w:val="18"/>
                <w:lang w:eastAsia="zh-CN"/>
              </w:rPr>
              <w:t>The</w:t>
            </w:r>
            <w:proofErr w:type="gramEnd"/>
            <w:r w:rsidRPr="00327E90">
              <w:rPr>
                <w:rFonts w:eastAsiaTheme="minorEastAsia"/>
                <w:bCs/>
                <w:sz w:val="18"/>
                <w:szCs w:val="18"/>
                <w:lang w:eastAsia="zh-CN"/>
              </w:rPr>
              <w:t xml:space="preserv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69"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0"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 xml:space="preserve">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w:t>
            </w:r>
            <w:proofErr w:type="spellStart"/>
            <w:r w:rsidRPr="00E8134B">
              <w:rPr>
                <w:rFonts w:eastAsia="Malgun Gothic"/>
                <w:color w:val="3333FF"/>
                <w:sz w:val="18"/>
                <w:szCs w:val="18"/>
              </w:rPr>
              <w:t>gNB</w:t>
            </w:r>
            <w:proofErr w:type="spellEnd"/>
            <w:r w:rsidRPr="00E8134B">
              <w:rPr>
                <w:rFonts w:eastAsia="Malgun Gothic"/>
                <w:color w:val="3333FF"/>
                <w:sz w:val="18"/>
                <w:szCs w:val="18"/>
              </w:rPr>
              <w:t xml:space="preserve">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w:t>
            </w:r>
            <w:proofErr w:type="spellStart"/>
            <w:r w:rsidR="00C6069C">
              <w:rPr>
                <w:rFonts w:eastAsiaTheme="minorEastAsia"/>
                <w:sz w:val="18"/>
                <w:szCs w:val="18"/>
                <w:lang w:eastAsia="zh-CN"/>
              </w:rPr>
              <w:t>gNB</w:t>
            </w:r>
            <w:proofErr w:type="spellEnd"/>
            <w:r w:rsidR="00C6069C">
              <w:rPr>
                <w:rFonts w:eastAsiaTheme="minorEastAsia"/>
                <w:sz w:val="18"/>
                <w:szCs w:val="18"/>
                <w:lang w:eastAsia="zh-CN"/>
              </w:rPr>
              <w:t xml:space="preserve"> missed the UCI. How does this work since the </w:t>
            </w:r>
            <w:proofErr w:type="spellStart"/>
            <w:r w:rsidR="00C6069C">
              <w:rPr>
                <w:rFonts w:eastAsiaTheme="minorEastAsia"/>
                <w:sz w:val="18"/>
                <w:szCs w:val="18"/>
                <w:lang w:eastAsia="zh-CN"/>
              </w:rPr>
              <w:t>gNB</w:t>
            </w:r>
            <w:proofErr w:type="spellEnd"/>
            <w:r w:rsidR="00C6069C">
              <w:rPr>
                <w:rFonts w:eastAsiaTheme="minorEastAsia"/>
                <w:sz w:val="18"/>
                <w:szCs w:val="18"/>
                <w:lang w:eastAsia="zh-CN"/>
              </w:rPr>
              <w:t xml:space="preserve"> and UE have a different understanding of the capabilities at this </w:t>
            </w:r>
            <w:proofErr w:type="gramStart"/>
            <w:r w:rsidR="00C6069C">
              <w:rPr>
                <w:rFonts w:eastAsiaTheme="minorEastAsia"/>
                <w:sz w:val="18"/>
                <w:szCs w:val="18"/>
                <w:lang w:eastAsia="zh-CN"/>
              </w:rPr>
              <w:t>point.</w:t>
            </w:r>
            <w:proofErr w:type="gramEnd"/>
            <w:r w:rsidR="00C6069C">
              <w:rPr>
                <w:rFonts w:eastAsiaTheme="minorEastAsia"/>
                <w:sz w:val="18"/>
                <w:szCs w:val="18"/>
                <w:lang w:eastAsia="zh-CN"/>
              </w:rPr>
              <w:t xml:space="preserve">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xml:space="preserve">. Thus, we </w:t>
            </w:r>
            <w:proofErr w:type="spellStart"/>
            <w:r>
              <w:rPr>
                <w:sz w:val="18"/>
                <w:szCs w:val="20"/>
                <w:lang w:eastAsia="zh-CN"/>
              </w:rPr>
              <w:t>suggeset</w:t>
            </w:r>
            <w:proofErr w:type="spellEnd"/>
            <w:r>
              <w:rPr>
                <w:sz w:val="18"/>
                <w:szCs w:val="20"/>
                <w:lang w:eastAsia="zh-CN"/>
              </w:rPr>
              <w:t xml:space="preserve">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the UE capability values </w:t>
            </w:r>
            <w:proofErr w:type="gramStart"/>
            <w:r w:rsidRPr="00FE14DA">
              <w:rPr>
                <w:sz w:val="18"/>
                <w:szCs w:val="20"/>
                <w:lang w:eastAsia="zh-CN"/>
              </w:rPr>
              <w:t>comprises</w:t>
            </w:r>
            <w:proofErr w:type="gramEnd"/>
            <w:r w:rsidRPr="00FE14DA">
              <w:rPr>
                <w:sz w:val="18"/>
                <w:szCs w:val="20"/>
                <w:lang w:eastAsia="zh-CN"/>
              </w:rPr>
              <w:t xml:space="preserve">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ListParagraph"/>
              <w:numPr>
                <w:ilvl w:val="0"/>
                <w:numId w:val="20"/>
              </w:numPr>
              <w:suppressAutoHyphens/>
              <w:autoSpaceDN w:val="0"/>
              <w:snapToGrid w:val="0"/>
              <w:spacing w:after="0" w:line="240" w:lineRule="auto"/>
              <w:jc w:val="both"/>
              <w:textAlignment w:val="baseline"/>
              <w:rPr>
                <w:ins w:id="171" w:author="Darcy Tsai" w:date="2021-10-14T06:56:00Z"/>
                <w:sz w:val="18"/>
                <w:szCs w:val="20"/>
                <w:lang w:eastAsia="zh-CN"/>
              </w:rPr>
            </w:pPr>
            <w:ins w:id="172" w:author="Darcy Tsai" w:date="2021-10-14T07:02:00Z">
              <w:r>
                <w:rPr>
                  <w:sz w:val="18"/>
                  <w:szCs w:val="20"/>
                  <w:lang w:eastAsia="zh-CN"/>
                </w:rPr>
                <w:t xml:space="preserve">NW can configure </w:t>
              </w:r>
            </w:ins>
            <w:ins w:id="173" w:author="Darcy Tsai" w:date="2021-10-14T06:56:00Z">
              <w:r>
                <w:rPr>
                  <w:sz w:val="18"/>
                  <w:szCs w:val="20"/>
                  <w:lang w:eastAsia="zh-CN"/>
                </w:rPr>
                <w:t>a</w:t>
              </w:r>
              <w:r w:rsidR="00357BFE">
                <w:rPr>
                  <w:sz w:val="18"/>
                  <w:szCs w:val="20"/>
                  <w:lang w:eastAsia="zh-CN"/>
                </w:rPr>
                <w:t xml:space="preserve">t least one </w:t>
              </w:r>
            </w:ins>
            <w:ins w:id="174" w:author="Darcy Tsai" w:date="2021-10-14T06:58:00Z">
              <w:r w:rsidR="00357BFE" w:rsidRPr="00FE14DA">
                <w:rPr>
                  <w:sz w:val="18"/>
                  <w:szCs w:val="20"/>
                  <w:lang w:eastAsia="zh-CN"/>
                </w:rPr>
                <w:t>logical index</w:t>
              </w:r>
              <w:r w:rsidR="00357BFE">
                <w:rPr>
                  <w:sz w:val="18"/>
                  <w:szCs w:val="20"/>
                  <w:lang w:eastAsia="zh-CN"/>
                </w:rPr>
                <w:t xml:space="preserve"> and </w:t>
              </w:r>
              <w:proofErr w:type="spellStart"/>
              <w:r w:rsidR="00357BFE">
                <w:rPr>
                  <w:sz w:val="18"/>
                  <w:szCs w:val="20"/>
                  <w:lang w:eastAsia="zh-CN"/>
                </w:rPr>
                <w:t>assoa</w:t>
              </w:r>
              <w:r>
                <w:rPr>
                  <w:sz w:val="18"/>
                  <w:szCs w:val="20"/>
                  <w:lang w:eastAsia="zh-CN"/>
                </w:rPr>
                <w:t>cite</w:t>
              </w:r>
            </w:ins>
            <w:proofErr w:type="spellEnd"/>
            <w:ins w:id="175" w:author="Darcy Tsai" w:date="2021-10-14T07:03:00Z">
              <w:r>
                <w:rPr>
                  <w:sz w:val="18"/>
                  <w:szCs w:val="20"/>
                  <w:lang w:eastAsia="zh-CN"/>
                </w:rPr>
                <w:t xml:space="preserve"> the</w:t>
              </w:r>
            </w:ins>
            <w:ins w:id="176" w:author="Darcy Tsai" w:date="2021-10-14T06:58:00Z">
              <w:r w:rsidR="00357BFE">
                <w:rPr>
                  <w:sz w:val="18"/>
                  <w:szCs w:val="20"/>
                  <w:lang w:eastAsia="zh-CN"/>
                </w:rPr>
                <w:t xml:space="preserve"> </w:t>
              </w:r>
            </w:ins>
            <w:ins w:id="177" w:author="Darcy Tsai" w:date="2021-10-14T07:03:00Z">
              <w:r w:rsidRPr="00FE14DA">
                <w:rPr>
                  <w:sz w:val="18"/>
                  <w:szCs w:val="20"/>
                  <w:lang w:eastAsia="zh-CN"/>
                </w:rPr>
                <w:t>logical index</w:t>
              </w:r>
              <w:r>
                <w:rPr>
                  <w:sz w:val="18"/>
                  <w:szCs w:val="20"/>
                  <w:lang w:eastAsia="zh-CN"/>
                </w:rPr>
                <w:t xml:space="preserve"> </w:t>
              </w:r>
            </w:ins>
            <w:ins w:id="178"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79" w:author="Darcy Tsai" w:date="2021-10-14T06:59:00Z">
              <w:r w:rsidR="00357BFE">
                <w:rPr>
                  <w:sz w:val="18"/>
                  <w:szCs w:val="20"/>
                  <w:lang w:eastAsia="zh-CN"/>
                </w:rPr>
                <w:t>,</w:t>
              </w:r>
            </w:ins>
            <w:r w:rsidRPr="00FE14DA">
              <w:rPr>
                <w:sz w:val="18"/>
                <w:szCs w:val="20"/>
                <w:lang w:eastAsia="zh-CN"/>
              </w:rPr>
              <w:t xml:space="preserve"> and</w:t>
            </w:r>
            <w:ins w:id="180" w:author="Darcy Tsai" w:date="2021-10-14T06:59:00Z">
              <w:r w:rsidR="00357BFE">
                <w:rPr>
                  <w:sz w:val="18"/>
                  <w:szCs w:val="20"/>
                  <w:lang w:eastAsia="zh-CN"/>
                </w:rPr>
                <w:t xml:space="preserve"> UE reports </w:t>
              </w:r>
            </w:ins>
            <w:ins w:id="181" w:author="Darcy Tsai" w:date="2021-10-14T07:00:00Z">
              <w:r w:rsidR="00310269">
                <w:rPr>
                  <w:sz w:val="18"/>
                  <w:szCs w:val="20"/>
                  <w:lang w:eastAsia="zh-CN"/>
                </w:rPr>
                <w:t>the logic index</w:t>
              </w:r>
            </w:ins>
            <w:ins w:id="182"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3"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ListParagraph"/>
              <w:numPr>
                <w:ilvl w:val="1"/>
                <w:numId w:val="20"/>
              </w:numPr>
              <w:suppressAutoHyphens/>
              <w:autoSpaceDN w:val="0"/>
              <w:snapToGrid w:val="0"/>
              <w:spacing w:after="0" w:line="240" w:lineRule="auto"/>
              <w:jc w:val="both"/>
              <w:textAlignment w:val="baseline"/>
              <w:rPr>
                <w:del w:id="184" w:author="Darcy Tsai" w:date="2021-10-14T06:55:00Z"/>
                <w:sz w:val="18"/>
                <w:szCs w:val="20"/>
                <w:lang w:eastAsia="zh-CN"/>
              </w:rPr>
            </w:pPr>
            <w:del w:id="185"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ListParagraph"/>
              <w:numPr>
                <w:ilvl w:val="1"/>
                <w:numId w:val="20"/>
              </w:numPr>
              <w:suppressAutoHyphens/>
              <w:autoSpaceDN w:val="0"/>
              <w:snapToGrid w:val="0"/>
              <w:spacing w:after="0" w:line="240" w:lineRule="auto"/>
              <w:jc w:val="both"/>
              <w:textAlignment w:val="baseline"/>
              <w:rPr>
                <w:del w:id="186" w:author="Darcy Tsai" w:date="2021-10-14T07:01:00Z"/>
                <w:sz w:val="18"/>
                <w:szCs w:val="20"/>
                <w:lang w:eastAsia="zh-CN"/>
              </w:rPr>
            </w:pPr>
            <w:del w:id="187"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w:t>
            </w:r>
            <w:proofErr w:type="gramStart"/>
            <w:r w:rsidRPr="00FE14DA">
              <w:rPr>
                <w:sz w:val="18"/>
                <w:szCs w:val="20"/>
                <w:lang w:eastAsia="zh-CN"/>
              </w:rPr>
              <w:t>e.g.</w:t>
            </w:r>
            <w:proofErr w:type="gramEnd"/>
            <w:r w:rsidRPr="00FE14DA">
              <w:rPr>
                <w:sz w:val="18"/>
                <w:szCs w:val="20"/>
                <w:lang w:eastAsia="zh-CN"/>
              </w:rPr>
              <w:t xml:space="preserve"> L1-RSRP/L1-SINR/BFRQ</w:t>
            </w:r>
          </w:p>
          <w:p w14:paraId="498EA7AD" w14:textId="77777777"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r w:rsidR="00E83F86" w14:paraId="4BF0860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9E95" w14:textId="67FE2E4D" w:rsidR="00E83F86" w:rsidRDefault="00E83F86" w:rsidP="00E83F86">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1E03" w14:textId="77777777" w:rsidR="00E83F86" w:rsidRPr="00140191" w:rsidRDefault="00E83F86" w:rsidP="00E83F86">
            <w:pPr>
              <w:snapToGrid w:val="0"/>
              <w:rPr>
                <w:rFonts w:eastAsiaTheme="minorEastAsia"/>
                <w:sz w:val="18"/>
                <w:szCs w:val="18"/>
                <w:lang w:eastAsia="zh-CN"/>
              </w:rPr>
            </w:pPr>
            <w:r>
              <w:rPr>
                <w:rFonts w:eastAsiaTheme="minorEastAsia"/>
                <w:sz w:val="18"/>
                <w:szCs w:val="18"/>
                <w:lang w:eastAsia="zh-CN"/>
              </w:rPr>
              <w:t xml:space="preserve">A </w:t>
            </w:r>
            <w:r w:rsidRPr="00140191">
              <w:rPr>
                <w:rFonts w:eastAsiaTheme="minorEastAsia"/>
                <w:sz w:val="18"/>
                <w:szCs w:val="18"/>
                <w:lang w:eastAsia="zh-CN"/>
              </w:rPr>
              <w:t xml:space="preserve">big change but with progress~ If going with this proposal, </w:t>
            </w:r>
            <w:r>
              <w:rPr>
                <w:rFonts w:eastAsiaTheme="minorEastAsia"/>
                <w:sz w:val="18"/>
                <w:szCs w:val="18"/>
                <w:lang w:eastAsia="zh-CN"/>
              </w:rPr>
              <w:t>we have the following modification due to the following reason.</w:t>
            </w:r>
          </w:p>
          <w:p w14:paraId="32E30AFE" w14:textId="77777777" w:rsidR="00E83F86" w:rsidRDefault="00E83F86" w:rsidP="00E83F86">
            <w:pPr>
              <w:pStyle w:val="ListParagraph"/>
              <w:numPr>
                <w:ilvl w:val="0"/>
                <w:numId w:val="15"/>
              </w:numPr>
              <w:snapToGrid w:val="0"/>
              <w:rPr>
                <w:rFonts w:eastAsiaTheme="minorEastAsia"/>
                <w:sz w:val="18"/>
                <w:szCs w:val="18"/>
                <w:lang w:eastAsia="zh-CN"/>
              </w:rPr>
            </w:pPr>
            <w:r w:rsidRPr="00140191">
              <w:rPr>
                <w:rFonts w:eastAsiaTheme="minorEastAsia"/>
                <w:sz w:val="18"/>
                <w:szCs w:val="18"/>
                <w:lang w:eastAsia="zh-CN"/>
              </w:rPr>
              <w:t xml:space="preserve"> </w:t>
            </w:r>
            <w:r>
              <w:rPr>
                <w:rFonts w:eastAsiaTheme="minorEastAsia"/>
                <w:sz w:val="18"/>
                <w:szCs w:val="18"/>
                <w:lang w:eastAsia="zh-CN"/>
              </w:rPr>
              <w:t xml:space="preserve">The definition of logical index is missing herein, and I believe that </w:t>
            </w:r>
            <w:proofErr w:type="gramStart"/>
            <w:r>
              <w:rPr>
                <w:rFonts w:eastAsiaTheme="minorEastAsia"/>
                <w:sz w:val="18"/>
                <w:szCs w:val="18"/>
                <w:lang w:eastAsia="zh-CN"/>
              </w:rPr>
              <w:t>it</w:t>
            </w:r>
            <w:proofErr w:type="gramEnd"/>
            <w:r>
              <w:rPr>
                <w:rFonts w:eastAsiaTheme="minorEastAsia"/>
                <w:sz w:val="18"/>
                <w:szCs w:val="18"/>
                <w:lang w:eastAsia="zh-CN"/>
              </w:rPr>
              <w:t xml:space="preserve"> is should correspond to the UE capability values.</w:t>
            </w:r>
          </w:p>
          <w:p w14:paraId="4B298B10" w14:textId="77777777" w:rsidR="00E83F86" w:rsidRDefault="00E83F86" w:rsidP="00E83F86">
            <w:pPr>
              <w:pStyle w:val="ListParagraph"/>
              <w:numPr>
                <w:ilvl w:val="0"/>
                <w:numId w:val="15"/>
              </w:numPr>
              <w:snapToGrid w:val="0"/>
              <w:rPr>
                <w:rFonts w:eastAsiaTheme="minorEastAsia"/>
                <w:sz w:val="18"/>
                <w:szCs w:val="18"/>
                <w:lang w:eastAsia="zh-CN"/>
              </w:rPr>
            </w:pPr>
            <w:r>
              <w:rPr>
                <w:rFonts w:eastAsiaTheme="minorEastAsia"/>
                <w:sz w:val="18"/>
                <w:szCs w:val="18"/>
                <w:lang w:eastAsia="zh-CN"/>
              </w:rPr>
              <w:t>If we would like to further study the timeline, we may also remove the first bullet, right?</w:t>
            </w:r>
          </w:p>
          <w:p w14:paraId="13C8C805" w14:textId="77777777" w:rsidR="00E83F86" w:rsidRDefault="00E83F86" w:rsidP="00E83F86">
            <w:pPr>
              <w:pStyle w:val="ListParagraph"/>
              <w:numPr>
                <w:ilvl w:val="0"/>
                <w:numId w:val="15"/>
              </w:numPr>
              <w:snapToGrid w:val="0"/>
              <w:rPr>
                <w:rFonts w:eastAsiaTheme="minorEastAsia"/>
                <w:sz w:val="18"/>
                <w:szCs w:val="18"/>
                <w:lang w:eastAsia="zh-CN"/>
              </w:rPr>
            </w:pPr>
            <w:r>
              <w:rPr>
                <w:rFonts w:eastAsiaTheme="minorEastAsia"/>
                <w:sz w:val="18"/>
                <w:szCs w:val="18"/>
                <w:lang w:eastAsia="zh-CN"/>
              </w:rPr>
              <w:t xml:space="preserve">We are fine to remove the last </w:t>
            </w:r>
            <w:proofErr w:type="spellStart"/>
            <w:r>
              <w:rPr>
                <w:rFonts w:eastAsiaTheme="minorEastAsia"/>
                <w:sz w:val="18"/>
                <w:szCs w:val="18"/>
                <w:lang w:eastAsia="zh-CN"/>
              </w:rPr>
              <w:t>last</w:t>
            </w:r>
            <w:proofErr w:type="spellEnd"/>
            <w:r>
              <w:rPr>
                <w:rFonts w:eastAsiaTheme="minorEastAsia"/>
                <w:sz w:val="18"/>
                <w:szCs w:val="18"/>
                <w:lang w:eastAsia="zh-CN"/>
              </w:rPr>
              <w:t xml:space="preserve"> bullet, but the second last bullet is needed. It has been </w:t>
            </w:r>
            <w:proofErr w:type="gramStart"/>
            <w:r>
              <w:rPr>
                <w:rFonts w:eastAsiaTheme="minorEastAsia"/>
                <w:sz w:val="18"/>
                <w:szCs w:val="18"/>
                <w:lang w:eastAsia="zh-CN"/>
              </w:rPr>
              <w:t>capture</w:t>
            </w:r>
            <w:proofErr w:type="gramEnd"/>
            <w:r>
              <w:rPr>
                <w:rFonts w:eastAsiaTheme="minorEastAsia"/>
                <w:sz w:val="18"/>
                <w:szCs w:val="18"/>
                <w:lang w:eastAsia="zh-CN"/>
              </w:rPr>
              <w:t xml:space="preserve"> in both Scheme 1 and Schem 2.</w:t>
            </w:r>
          </w:p>
          <w:p w14:paraId="18AE2E2D" w14:textId="77777777" w:rsidR="00E83F86" w:rsidRPr="00745B07" w:rsidRDefault="00E83F86" w:rsidP="00E83F86">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6D2E3D53" w14:textId="77777777" w:rsidR="00E83F86" w:rsidRPr="0028076F"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Support the UE reporting a list of UE capability values</w:t>
            </w:r>
            <w:ins w:id="188" w:author="ZTE-Bo" w:date="2021-10-14T07:43:00Z">
              <w:r>
                <w:rPr>
                  <w:sz w:val="20"/>
                  <w:szCs w:val="20"/>
                  <w:lang w:eastAsia="zh-CN"/>
                </w:rPr>
                <w:t xml:space="preserve"> and corresponding logical index</w:t>
              </w:r>
            </w:ins>
          </w:p>
          <w:p w14:paraId="21F39636" w14:textId="77777777" w:rsidR="00E83F86"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r w:rsidRPr="0028076F" w:rsidDel="00284F0D">
              <w:rPr>
                <w:sz w:val="20"/>
                <w:szCs w:val="20"/>
                <w:lang w:eastAsia="zh-CN"/>
              </w:rPr>
              <w:t xml:space="preserve"> </w:t>
            </w:r>
          </w:p>
          <w:p w14:paraId="18D64F3D" w14:textId="77777777" w:rsidR="00E83F86" w:rsidRPr="0028076F"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Whether the association can be common across a set of BWPs/</w:t>
            </w:r>
            <w:proofErr w:type="spellStart"/>
            <w:r>
              <w:rPr>
                <w:sz w:val="20"/>
                <w:szCs w:val="20"/>
                <w:lang w:eastAsia="zh-CN"/>
              </w:rPr>
              <w:t>CCs</w:t>
            </w:r>
            <w:r w:rsidRPr="0028076F">
              <w:rPr>
                <w:sz w:val="20"/>
                <w:szCs w:val="20"/>
                <w:lang w:eastAsia="zh-CN"/>
              </w:rPr>
              <w:t>The</w:t>
            </w:r>
            <w:proofErr w:type="spellEnd"/>
            <w:r w:rsidRPr="0028076F">
              <w:rPr>
                <w:sz w:val="20"/>
                <w:szCs w:val="20"/>
                <w:lang w:eastAsia="zh-CN"/>
              </w:rPr>
              <w:t xml:space="preserve"> correspondence between a CSI-RS and/or SSB resource index and a logical index is determined by the UE (analogous to Rel-15/16) and is informed to NW in a beam reporting instance</w:t>
            </w:r>
          </w:p>
          <w:p w14:paraId="70AAA4C9" w14:textId="77777777" w:rsidR="00E83F86" w:rsidRPr="0028076F"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del w:id="189" w:author="ZTE-Bo" w:date="2021-10-14T07:43:00Z">
              <w:r w:rsidRPr="0028076F" w:rsidDel="00140191">
                <w:rPr>
                  <w:rFonts w:eastAsiaTheme="minorEastAsia"/>
                  <w:sz w:val="20"/>
                  <w:szCs w:val="20"/>
                  <w:lang w:eastAsia="zh-CN"/>
                </w:rPr>
                <w:delText>The valid time duration of the correspondence is until the next reporting instance of the same CSI-RS resource index or SSB index</w:delText>
              </w:r>
            </w:del>
          </w:p>
          <w:p w14:paraId="5D8093C0" w14:textId="77777777" w:rsidR="00E83F86" w:rsidRPr="008718CD"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28B119C6" w14:textId="77777777" w:rsidR="00E83F86" w:rsidRPr="008718CD"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2D367F6C" w14:textId="77777777" w:rsidR="00E83F86" w:rsidRPr="0028076F"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w:t>
            </w:r>
            <w:proofErr w:type="gramStart"/>
            <w:r w:rsidRPr="0028076F">
              <w:rPr>
                <w:sz w:val="20"/>
                <w:szCs w:val="20"/>
                <w:lang w:eastAsia="zh-CN"/>
              </w:rPr>
              <w:t>e.g.</w:t>
            </w:r>
            <w:proofErr w:type="gramEnd"/>
            <w:r w:rsidRPr="0028076F">
              <w:rPr>
                <w:sz w:val="20"/>
                <w:szCs w:val="20"/>
                <w:lang w:eastAsia="zh-CN"/>
              </w:rPr>
              <w:t xml:space="preserve"> L1-RSRP/L1-SINR/BFRQ</w:t>
            </w:r>
          </w:p>
          <w:p w14:paraId="1EC31872" w14:textId="77777777" w:rsidR="00E83F86" w:rsidRDefault="00E83F86" w:rsidP="00E83F86">
            <w:pPr>
              <w:pStyle w:val="ListParagraph"/>
              <w:numPr>
                <w:ilvl w:val="0"/>
                <w:numId w:val="20"/>
              </w:numPr>
              <w:suppressAutoHyphens/>
              <w:autoSpaceDN w:val="0"/>
              <w:snapToGrid w:val="0"/>
              <w:spacing w:after="0" w:line="240" w:lineRule="auto"/>
              <w:jc w:val="both"/>
              <w:textAlignment w:val="baseline"/>
              <w:rPr>
                <w:ins w:id="190" w:author="ZTE-Bo" w:date="2021-10-14T07:43:00Z"/>
                <w:sz w:val="20"/>
                <w:szCs w:val="20"/>
                <w:lang w:eastAsia="zh-CN"/>
              </w:rPr>
            </w:pPr>
            <w:r w:rsidRPr="0028076F">
              <w:rPr>
                <w:sz w:val="20"/>
                <w:szCs w:val="20"/>
                <w:lang w:eastAsia="zh-CN"/>
              </w:rPr>
              <w:t>Support multiple codebook –based SRS resource sets with different maximum number of SRS ports</w:t>
            </w:r>
          </w:p>
          <w:p w14:paraId="3D8D8875" w14:textId="77777777" w:rsidR="00E83F86" w:rsidRPr="003F3B73"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ins w:id="191" w:author="ZTE-Bo" w:date="2021-10-14T07:44:00Z">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ins>
          </w:p>
          <w:p w14:paraId="638DA49A" w14:textId="77777777" w:rsidR="00E83F86" w:rsidRDefault="00E83F86" w:rsidP="00E83F86">
            <w:pPr>
              <w:snapToGrid w:val="0"/>
              <w:rPr>
                <w:rFonts w:eastAsiaTheme="minorEastAsia"/>
                <w:sz w:val="18"/>
                <w:szCs w:val="18"/>
                <w:lang w:eastAsia="zh-CN"/>
              </w:rPr>
            </w:pP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40B86A3F" w:rsidR="00DE69B4" w:rsidRDefault="00DE69B4" w:rsidP="00DE69B4">
            <w:pPr>
              <w:snapToGrid w:val="0"/>
              <w:rPr>
                <w:sz w:val="18"/>
                <w:szCs w:val="18"/>
                <w:lang w:eastAsia="zh-CN"/>
              </w:rPr>
            </w:pPr>
            <w:proofErr w:type="spellStart"/>
            <w:r>
              <w:rPr>
                <w:sz w:val="18"/>
                <w:szCs w:val="18"/>
                <w:lang w:eastAsia="zh-CN"/>
              </w:rPr>
              <w:lastRenderedPageBreak/>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5CB78D3B" w:rsidR="00DE69B4" w:rsidRDefault="00DE69B4" w:rsidP="00DE69B4">
            <w:pPr>
              <w:snapToGrid w:val="0"/>
              <w:rPr>
                <w:rFonts w:eastAsiaTheme="minorEastAsia"/>
                <w:sz w:val="18"/>
                <w:szCs w:val="18"/>
                <w:lang w:eastAsia="zh-CN"/>
              </w:rPr>
            </w:pPr>
            <w:r>
              <w:rPr>
                <w:rFonts w:eastAsiaTheme="minorEastAsia"/>
                <w:sz w:val="18"/>
                <w:szCs w:val="18"/>
                <w:lang w:eastAsia="zh-CN"/>
              </w:rPr>
              <w:t>Proposal 4.A: Support</w:t>
            </w:r>
            <w:r>
              <w:rPr>
                <w:rFonts w:eastAsiaTheme="minorEastAsia"/>
                <w:sz w:val="18"/>
                <w:szCs w:val="18"/>
                <w:lang w:eastAsia="zh-CN"/>
              </w:rPr>
              <w:t>. We support ZTE’s latest update as above.</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92" w:name="_Hlk84323936"/>
            <w:r>
              <w:rPr>
                <w:sz w:val="18"/>
                <w:szCs w:val="20"/>
              </w:rPr>
              <w:t xml:space="preserve">How to perform selection of N from a candidate SSB/CSI-RS resource pool and how the candidate resource pool is configured </w:t>
            </w:r>
            <w:bookmarkEnd w:id="19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group</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proofErr w:type="spellStart"/>
            <w:r>
              <w:rPr>
                <w:rFonts w:eastAsia="PMingLiU"/>
                <w:sz w:val="18"/>
                <w:szCs w:val="20"/>
                <w:lang w:val="de-DE" w:eastAsia="zh-TW"/>
              </w:rPr>
              <w:t>Candidate</w:t>
            </w:r>
            <w:proofErr w:type="spellEnd"/>
            <w:r>
              <w:rPr>
                <w:rFonts w:eastAsia="PMingLiU"/>
                <w:sz w:val="18"/>
                <w:szCs w:val="20"/>
                <w:lang w:val="de-DE" w:eastAsia="zh-TW"/>
              </w:rPr>
              <w:t xml:space="preserve"> </w:t>
            </w:r>
            <w:proofErr w:type="spellStart"/>
            <w:r>
              <w:rPr>
                <w:rFonts w:eastAsia="PMingLiU"/>
                <w:sz w:val="18"/>
                <w:szCs w:val="20"/>
                <w:lang w:val="de-DE" w:eastAsia="zh-TW"/>
              </w:rPr>
              <w:t>resource</w:t>
            </w:r>
            <w:proofErr w:type="spellEnd"/>
            <w:r>
              <w:rPr>
                <w:rFonts w:eastAsia="PMingLiU"/>
                <w:sz w:val="18"/>
                <w:szCs w:val="20"/>
                <w:lang w:val="de-DE" w:eastAsia="zh-TW"/>
              </w:rPr>
              <w:t xml:space="preserv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proofErr w:type="spellStart"/>
            <w:r>
              <w:rPr>
                <w:rFonts w:eastAsia="PMingLiU"/>
                <w:b/>
                <w:sz w:val="18"/>
                <w:szCs w:val="20"/>
                <w:lang w:val="de-DE" w:eastAsia="zh-TW"/>
              </w:rPr>
              <w:t>Configured</w:t>
            </w:r>
            <w:proofErr w:type="spellEnd"/>
            <w:r>
              <w:rPr>
                <w:rFonts w:eastAsia="PMingLiU"/>
                <w:b/>
                <w:sz w:val="18"/>
                <w:szCs w:val="20"/>
                <w:lang w:val="de-DE" w:eastAsia="zh-TW"/>
              </w:rPr>
              <w:t xml:space="preserve">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lastRenderedPageBreak/>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3" w:author="Eko Onggosanusi" w:date="2021-10-13T13:18:00Z"/>
          <w:rFonts w:eastAsia="Times New Roman"/>
          <w:sz w:val="20"/>
          <w:szCs w:val="20"/>
          <w:lang w:val="en-GB"/>
        </w:rPr>
      </w:pPr>
      <w:del w:id="194"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5" w:author="Eko Onggosanusi" w:date="2021-10-13T13:18:00Z"/>
          <w:rFonts w:eastAsia="Times New Roman"/>
          <w:sz w:val="20"/>
          <w:szCs w:val="20"/>
          <w:lang w:val="en-GB"/>
        </w:rPr>
      </w:pPr>
      <w:del w:id="196"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7" w:author="Eko Onggosanusi" w:date="2021-10-13T13:18:00Z"/>
          <w:rFonts w:eastAsia="Times New Roman"/>
          <w:sz w:val="20"/>
          <w:szCs w:val="20"/>
          <w:lang w:val="en-GB"/>
        </w:rPr>
      </w:pPr>
      <w:del w:id="198"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99"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200"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201"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202" w:author="Eko Onggosanusi" w:date="2021-10-13T13:19:00Z">
        <w:r w:rsidR="00703EA9">
          <w:rPr>
            <w:sz w:val="20"/>
            <w:szCs w:val="18"/>
            <w:lang w:eastAsia="zh-CN"/>
          </w:rPr>
          <w:t>possibly left to RAN4</w:t>
        </w:r>
      </w:ins>
      <w:del w:id="203"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204" w:author="Eko Onggosanusi" w:date="2021-10-13T13:22:00Z"/>
          <w:sz w:val="22"/>
          <w:szCs w:val="20"/>
          <w:lang w:eastAsia="zh-CN"/>
        </w:rPr>
      </w:pPr>
      <w:del w:id="205"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6" w:author="Eko Onggosanusi" w:date="2021-10-13T13:21:00Z">
        <w:r w:rsidR="00B924E1">
          <w:rPr>
            <w:sz w:val="20"/>
            <w:szCs w:val="20"/>
            <w:lang w:eastAsia="zh-CN"/>
          </w:rPr>
          <w:t xml:space="preserve"> (details up to RAN2)</w:t>
        </w:r>
      </w:ins>
      <w:r w:rsidRPr="00F668E0">
        <w:rPr>
          <w:sz w:val="20"/>
          <w:szCs w:val="20"/>
          <w:lang w:eastAsia="zh-CN"/>
        </w:rPr>
        <w:t xml:space="preserve"> </w:t>
      </w:r>
      <w:del w:id="207"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w:t>
            </w:r>
            <w:r>
              <w:rPr>
                <w:sz w:val="18"/>
                <w:szCs w:val="20"/>
              </w:rPr>
              <w:lastRenderedPageBreak/>
              <w:t xml:space="preserve">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 xml:space="preserve">Proposal 5.C: We are fine to </w:t>
            </w:r>
            <w:proofErr w:type="gramStart"/>
            <w:r>
              <w:rPr>
                <w:rFonts w:eastAsia="SimSun"/>
                <w:sz w:val="18"/>
                <w:szCs w:val="18"/>
                <w:lang w:eastAsia="zh-CN"/>
              </w:rPr>
              <w:t>down-select</w:t>
            </w:r>
            <w:proofErr w:type="gramEnd"/>
            <w:r>
              <w:rPr>
                <w:rFonts w:eastAsia="SimSun"/>
                <w:sz w:val="18"/>
                <w:szCs w:val="18"/>
                <w:lang w:eastAsia="zh-CN"/>
              </w:rPr>
              <w:t xml:space="preserve">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lastRenderedPageBreak/>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w:t>
            </w:r>
            <w:proofErr w:type="gramStart"/>
            <w:r w:rsidR="00A00604">
              <w:rPr>
                <w:rFonts w:eastAsia="SimSun"/>
                <w:sz w:val="18"/>
                <w:szCs w:val="18"/>
                <w:lang w:eastAsia="zh-CN"/>
              </w:rPr>
              <w:t>to delete</w:t>
            </w:r>
            <w:proofErr w:type="gramEnd"/>
            <w:r w:rsidR="00A00604">
              <w:rPr>
                <w:rFonts w:eastAsia="SimSun"/>
                <w:sz w:val="18"/>
                <w:szCs w:val="18"/>
                <w:lang w:eastAsia="zh-CN"/>
              </w:rPr>
              <w:t xml:space="preserv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w:t>
            </w:r>
            <w:proofErr w:type="gramStart"/>
            <w:r>
              <w:rPr>
                <w:rFonts w:eastAsia="SimSun"/>
                <w:sz w:val="18"/>
                <w:szCs w:val="18"/>
                <w:lang w:eastAsia="zh-CN"/>
              </w:rPr>
              <w:t xml:space="preserve">.  </w:t>
            </w:r>
            <w:proofErr w:type="gramEnd"/>
            <w:r>
              <w:rPr>
                <w:rFonts w:eastAsia="SimSun"/>
                <w:sz w:val="18"/>
                <w:szCs w:val="18"/>
                <w:lang w:eastAsia="zh-CN"/>
              </w:rPr>
              <w:t>That would contradict with the main bullet of “selection of N”</w:t>
            </w:r>
            <w:proofErr w:type="gramStart"/>
            <w:r>
              <w:rPr>
                <w:rFonts w:eastAsia="SimSun"/>
                <w:sz w:val="18"/>
                <w:szCs w:val="18"/>
                <w:lang w:eastAsia="zh-CN"/>
              </w:rPr>
              <w:t xml:space="preserve">.  </w:t>
            </w:r>
            <w:proofErr w:type="gramEnd"/>
            <w:r>
              <w:rPr>
                <w:rFonts w:eastAsia="SimSun"/>
                <w:sz w:val="18"/>
                <w:szCs w:val="18"/>
                <w:lang w:eastAsia="zh-CN"/>
              </w:rPr>
              <w:t xml:space="preserve">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However, with different understanding of N, the meaning of M will also be different. We wonder whether the P-MPR report is per beam or per panel will be decided, or it will be left for UE/</w:t>
            </w:r>
            <w:proofErr w:type="spellStart"/>
            <w:r>
              <w:rPr>
                <w:bCs/>
                <w:sz w:val="18"/>
                <w:szCs w:val="18"/>
                <w:lang w:eastAsia="zh-CN"/>
              </w:rPr>
              <w:t>gNB</w:t>
            </w:r>
            <w:proofErr w:type="spellEnd"/>
            <w:r>
              <w:rPr>
                <w:bCs/>
                <w:sz w:val="18"/>
                <w:szCs w:val="18"/>
                <w:lang w:eastAsia="zh-CN"/>
              </w:rPr>
              <w:t xml:space="preserve">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78BA7A71" w14:textId="77777777" w:rsidR="005E2FD0" w:rsidRDefault="005E2FD0" w:rsidP="005E2FD0">
            <w:pPr>
              <w:tabs>
                <w:tab w:val="left" w:pos="1902"/>
              </w:tabs>
              <w:snapToGrid w:val="0"/>
              <w:rPr>
                <w:ins w:id="208"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209"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lastRenderedPageBreak/>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On Rel.17 enhancements to facilitate MPE mitigation, confirm the following working assumption (</w:t>
            </w:r>
            <w:proofErr w:type="gramStart"/>
            <w:r w:rsidRPr="00835D08">
              <w:rPr>
                <w:sz w:val="20"/>
                <w:szCs w:val="20"/>
                <w:lang w:eastAsia="zh-CN"/>
              </w:rPr>
              <w:t>in the midst of</w:t>
            </w:r>
            <w:proofErr w:type="gramEnd"/>
            <w:r w:rsidRPr="00835D08">
              <w:rPr>
                <w:sz w:val="20"/>
                <w:szCs w:val="20"/>
                <w:lang w:eastAsia="zh-CN"/>
              </w:rPr>
              <w:t xml:space="preserve">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10"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w:t>
            </w:r>
            <w:proofErr w:type="gramStart"/>
            <w:r w:rsidRPr="00B126B3">
              <w:rPr>
                <w:rFonts w:eastAsia="Times New Roman"/>
                <w:sz w:val="20"/>
                <w:szCs w:val="20"/>
                <w:lang w:val="en-GB"/>
              </w:rPr>
              <w:t>using</w:t>
            </w:r>
            <w:proofErr w:type="gramEnd"/>
            <w:r w:rsidRPr="00B126B3">
              <w:rPr>
                <w:rFonts w:eastAsia="Times New Roman"/>
                <w:sz w:val="20"/>
                <w:szCs w:val="20"/>
                <w:lang w:val="en-GB"/>
              </w:rPr>
              <w:t xml:space="preserve"> the CSI framework” is unclear. Suggest removing. </w:t>
            </w:r>
          </w:p>
          <w:p w14:paraId="2CAF345A" w14:textId="7C4BAF4A" w:rsidR="00B924E1" w:rsidRDefault="00B924E1" w:rsidP="00D92654">
            <w:pPr>
              <w:tabs>
                <w:tab w:val="left" w:pos="1902"/>
              </w:tabs>
              <w:snapToGrid w:val="0"/>
              <w:rPr>
                <w:ins w:id="211" w:author="Eko Onggosanusi" w:date="2021-10-13T13:21:00Z"/>
                <w:rFonts w:eastAsia="Times New Roman"/>
                <w:sz w:val="20"/>
                <w:szCs w:val="20"/>
                <w:lang w:val="en-GB"/>
              </w:rPr>
            </w:pPr>
            <w:ins w:id="212"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3"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4"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5" w:author="Eko Onggosanusi" w:date="2021-10-13T13:20:00Z">
              <w:r>
                <w:rPr>
                  <w:rFonts w:eastAsia="Times New Roman"/>
                  <w:sz w:val="20"/>
                  <w:szCs w:val="20"/>
                  <w:lang w:val="en-GB"/>
                </w:rPr>
                <w:t xml:space="preserve">[Mod: </w:t>
              </w:r>
            </w:ins>
            <w:ins w:id="216" w:author="Eko Onggosanusi" w:date="2021-10-13T13:22:00Z">
              <w:r>
                <w:rPr>
                  <w:rFonts w:eastAsia="Times New Roman"/>
                  <w:sz w:val="20"/>
                  <w:szCs w:val="20"/>
                  <w:lang w:val="en-GB"/>
                </w:rPr>
                <w:t>Removed</w:t>
              </w:r>
            </w:ins>
            <w:ins w:id="217"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8"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w:t>
            </w:r>
            <w:proofErr w:type="gramStart"/>
            <w:r w:rsidR="00283C8C">
              <w:rPr>
                <w:rFonts w:eastAsiaTheme="minorEastAsia"/>
                <w:sz w:val="18"/>
                <w:szCs w:val="18"/>
                <w:lang w:eastAsia="zh-CN"/>
              </w:rPr>
              <w:t>So</w:t>
            </w:r>
            <w:proofErr w:type="gramEnd"/>
            <w:r w:rsidR="00283C8C">
              <w:rPr>
                <w:rFonts w:eastAsiaTheme="minorEastAsia"/>
                <w:sz w:val="18"/>
                <w:szCs w:val="18"/>
                <w:lang w:eastAsia="zh-CN"/>
              </w:rPr>
              <w:t xml:space="preserve">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19"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w:t>
            </w:r>
            <w:proofErr w:type="gramStart"/>
            <w:r>
              <w:rPr>
                <w:rFonts w:eastAsiaTheme="minorEastAsia"/>
                <w:bCs/>
                <w:sz w:val="18"/>
                <w:szCs w:val="18"/>
                <w:lang w:eastAsia="zh-CN"/>
              </w:rPr>
              <w:t>as long as</w:t>
            </w:r>
            <w:proofErr w:type="gramEnd"/>
            <w:r>
              <w:rPr>
                <w:rFonts w:eastAsiaTheme="minorEastAsia"/>
                <w:bCs/>
                <w:sz w:val="18"/>
                <w:szCs w:val="18"/>
                <w:lang w:eastAsia="zh-CN"/>
              </w:rPr>
              <w:t xml:space="preserve">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For 5.C, to HW, our understanding is that the proposal 5.C is only on what metric to order the N reported beams. We think it is in the scope of RAN1. The reported metric per UL beam is only P-MPR, as agreed so far</w:t>
            </w:r>
            <w:proofErr w:type="gramStart"/>
            <w:r>
              <w:rPr>
                <w:rFonts w:eastAsiaTheme="minorEastAsia"/>
                <w:bCs/>
                <w:sz w:val="18"/>
                <w:szCs w:val="18"/>
                <w:lang w:eastAsia="zh-CN"/>
              </w:rPr>
              <w:t xml:space="preserve">.  </w:t>
            </w:r>
            <w:proofErr w:type="gramEnd"/>
            <w:r>
              <w:rPr>
                <w:rFonts w:eastAsiaTheme="minorEastAsia"/>
                <w:bCs/>
                <w:sz w:val="18"/>
                <w:szCs w:val="18"/>
                <w:lang w:eastAsia="zh-CN"/>
              </w:rPr>
              <w:t xml:space="preserve">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 xml:space="preserve">Proposal 5.C: We are fine to </w:t>
            </w:r>
            <w:proofErr w:type="gramStart"/>
            <w:r w:rsidRPr="71CE799E">
              <w:rPr>
                <w:rFonts w:eastAsia="SimSun"/>
                <w:sz w:val="18"/>
                <w:szCs w:val="18"/>
                <w:lang w:eastAsia="zh-CN"/>
              </w:rPr>
              <w:t>down-select</w:t>
            </w:r>
            <w:proofErr w:type="gramEnd"/>
            <w:r w:rsidRPr="71CE799E">
              <w:rPr>
                <w:rFonts w:eastAsia="SimSun"/>
                <w:sz w:val="18"/>
                <w:szCs w:val="18"/>
                <w:lang w:eastAsia="zh-CN"/>
              </w:rPr>
              <w:t xml:space="preserve">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lastRenderedPageBreak/>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w:t>
            </w:r>
            <w:proofErr w:type="gramStart"/>
            <w:r>
              <w:rPr>
                <w:rFonts w:eastAsiaTheme="minorEastAsia"/>
                <w:sz w:val="18"/>
                <w:szCs w:val="18"/>
                <w:lang w:eastAsia="zh-CN"/>
              </w:rPr>
              <w:t>how..</w:t>
            </w:r>
            <w:proofErr w:type="gramEnd"/>
            <w:r>
              <w:rPr>
                <w:rFonts w:eastAsiaTheme="minorEastAsia"/>
                <w:sz w:val="18"/>
                <w:szCs w:val="18"/>
                <w:lang w:eastAsia="zh-CN"/>
              </w:rPr>
              <w:t xml:space="preserve">”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proofErr w:type="gramStart"/>
            <w:r>
              <w:rPr>
                <w:sz w:val="20"/>
                <w:szCs w:val="20"/>
                <w:lang w:eastAsia="zh-CN"/>
              </w:rPr>
              <w:t>Similar to</w:t>
            </w:r>
            <w:proofErr w:type="gramEnd"/>
            <w:r>
              <w:rPr>
                <w:sz w:val="20"/>
                <w:szCs w:val="20"/>
                <w:lang w:eastAsia="zh-CN"/>
              </w:rPr>
              <w:t xml:space="preserve"> Rel15/16, the resource pool should be a CSI-RS/SSB resource set. So, we prefer a clear wording as follows:</w:t>
            </w:r>
          </w:p>
          <w:p w14:paraId="1151FE54" w14:textId="77777777"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20" w:author="Eko Onggosanusi" w:date="2021-10-13T13:21:00Z">
              <w:r>
                <w:rPr>
                  <w:sz w:val="20"/>
                  <w:szCs w:val="20"/>
                  <w:lang w:eastAsia="zh-CN"/>
                </w:rPr>
                <w:t xml:space="preserve"> (details up to RAN2)</w:t>
              </w:r>
            </w:ins>
            <w:r w:rsidRPr="00F668E0">
              <w:rPr>
                <w:sz w:val="20"/>
                <w:szCs w:val="20"/>
                <w:lang w:eastAsia="zh-CN"/>
              </w:rPr>
              <w:t xml:space="preserve"> </w:t>
            </w:r>
            <w:del w:id="221"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lastRenderedPageBreak/>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r w:rsidR="00E83F86" w14:paraId="2FE0F16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4AF" w14:textId="142429E2" w:rsidR="00E83F86" w:rsidRDefault="00E83F86" w:rsidP="00E83F86">
            <w:pPr>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83EA" w14:textId="77777777"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Support. </w:t>
            </w:r>
          </w:p>
          <w:p w14:paraId="5BB0FCD9" w14:textId="003C866C"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5.C: We are open to further discuss this issue </w:t>
            </w:r>
            <w:proofErr w:type="gramStart"/>
            <w:r>
              <w:rPr>
                <w:rFonts w:eastAsiaTheme="minorEastAsia"/>
                <w:bCs/>
                <w:sz w:val="18"/>
                <w:szCs w:val="18"/>
                <w:lang w:eastAsia="zh-CN"/>
              </w:rPr>
              <w:t>and also</w:t>
            </w:r>
            <w:proofErr w:type="gramEnd"/>
            <w:r>
              <w:rPr>
                <w:rFonts w:eastAsiaTheme="minorEastAsia"/>
                <w:bCs/>
                <w:sz w:val="18"/>
                <w:szCs w:val="18"/>
                <w:lang w:eastAsia="zh-CN"/>
              </w:rPr>
              <w:t xml:space="preserve"> support the update from Nokia and Samsung. BTW, in the first sub-bullet, it seems that ‘two alternatives’ is typo.</w:t>
            </w: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3E9E99ED" w:rsidR="00DE69B4" w:rsidRDefault="00DE69B4" w:rsidP="00DE69B4">
            <w:pPr>
              <w:rPr>
                <w:rFonts w:eastAsia="SimSun"/>
                <w:sz w:val="18"/>
                <w:szCs w:val="18"/>
                <w:lang w:eastAsia="zh-CN"/>
              </w:rPr>
            </w:pPr>
            <w:proofErr w:type="spellStart"/>
            <w:r>
              <w:rPr>
                <w:rFonts w:eastAsia="SimSun"/>
                <w:sz w:val="18"/>
                <w:szCs w:val="18"/>
                <w:lang w:eastAsia="zh-CN"/>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EBBE" w14:textId="7777777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5.A: Support (Okay with the added FFS on M&gt;1)</w:t>
            </w:r>
          </w:p>
          <w:p w14:paraId="4CD10CBF" w14:textId="10F7BF4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5.C: OK to </w:t>
            </w:r>
            <w:proofErr w:type="gramStart"/>
            <w:r>
              <w:rPr>
                <w:rFonts w:eastAsiaTheme="minorEastAsia"/>
                <w:bCs/>
                <w:sz w:val="18"/>
                <w:szCs w:val="18"/>
                <w:lang w:eastAsia="zh-CN"/>
              </w:rPr>
              <w:t>down-select</w:t>
            </w:r>
            <w:proofErr w:type="gramEnd"/>
            <w:r>
              <w:rPr>
                <w:rFonts w:eastAsiaTheme="minorEastAsia"/>
                <w:bCs/>
                <w:sz w:val="18"/>
                <w:szCs w:val="18"/>
                <w:lang w:eastAsia="zh-CN"/>
              </w:rPr>
              <w:t xml:space="preserve"> in RAN1#107</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A22C" w14:textId="77777777" w:rsidR="007E1EA8" w:rsidRDefault="007E1EA8" w:rsidP="007458B4">
      <w:r>
        <w:separator/>
      </w:r>
    </w:p>
  </w:endnote>
  <w:endnote w:type="continuationSeparator" w:id="0">
    <w:p w14:paraId="6C9E47CE" w14:textId="77777777" w:rsidR="007E1EA8" w:rsidRDefault="007E1EA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0B30" w14:textId="77777777" w:rsidR="007E1EA8" w:rsidRDefault="007E1EA8" w:rsidP="007458B4">
      <w:r>
        <w:separator/>
      </w:r>
    </w:p>
  </w:footnote>
  <w:footnote w:type="continuationSeparator" w:id="0">
    <w:p w14:paraId="2B405BEC" w14:textId="77777777" w:rsidR="007E1EA8" w:rsidRDefault="007E1EA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55FC9"/>
    <w:rsid w:val="00256DAD"/>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0030"/>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942D1"/>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3F86"/>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327C"/>
    <w:rsid w:val="00FD70AB"/>
    <w:rsid w:val="00FD723F"/>
    <w:rsid w:val="00FE1360"/>
    <w:rsid w:val="00FE14DA"/>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98D5BD-4A34-4973-A66A-733029F9E5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17544</Words>
  <Characters>100004</Characters>
  <Application>Microsoft Office Word</Application>
  <DocSecurity>0</DocSecurity>
  <Lines>833</Lines>
  <Paragraphs>234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2021-10-14T00:04:00Z</dcterms:created>
  <dcterms:modified xsi:type="dcterms:W3CDTF">2021-10-14T00:04:00Z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