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w:t>
      </w:r>
      <w:r w:rsidR="00B05CE4">
        <w:rPr>
          <w:sz w:val="20"/>
          <w:szCs w:val="20"/>
        </w:rPr>
        <w:t>b</w:t>
      </w:r>
      <w:r w:rsidRPr="00F843D2">
        <w:rPr>
          <w:sz w:val="20"/>
          <w:szCs w:val="20"/>
        </w:rPr>
        <w:t>-e/Inbox/drafts/8.1.1/RRC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b"/>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r w:rsidRPr="00582286">
              <w:rPr>
                <w:rFonts w:eastAsia="DengXian"/>
                <w:sz w:val="18"/>
                <w:szCs w:val="18"/>
              </w:rPr>
              <w:t>tci-StateType</w:t>
            </w:r>
            <w:r>
              <w:rPr>
                <w:rFonts w:eastAsia="Malgun Gothic"/>
                <w:bCs/>
                <w:sz w:val="18"/>
                <w:szCs w:val="18"/>
              </w:rPr>
              <w:t xml:space="preserve">’ should be deleted. DL TCI state and UL TCI state can be activated and indicated based on network implementation from a R17 TCI pool. For exmpale,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‘qcl-Type’, QCL-TypeB, QCL-TypeC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‘InterCellReportType’, it can be configured using the exsiting parameter in CSI framework.</w:t>
            </w:r>
            <w:r>
              <w:rPr>
                <w:rFonts w:eastAsia="DengXian"/>
                <w:sz w:val="18"/>
                <w:szCs w:val="18"/>
              </w:rPr>
              <w:t xml:space="preserve"> This parameter is unnessisary.</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‘InterCellMeasurementRS’</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‘InterCell</w:t>
            </w:r>
            <w:r>
              <w:rPr>
                <w:rFonts w:eastAsia="DengXian"/>
                <w:sz w:val="18"/>
                <w:szCs w:val="18"/>
              </w:rPr>
              <w:t>Additional</w:t>
            </w:r>
            <w:r w:rsidRPr="00406C46">
              <w:rPr>
                <w:rFonts w:eastAsia="DengXian"/>
                <w:sz w:val="18"/>
                <w:szCs w:val="18"/>
              </w:rPr>
              <w:t xml:space="preserve">PCI’,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Malgun Gothic"/>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r w:rsidRPr="007C47BD">
              <w:rPr>
                <w:rFonts w:eastAsia="DengXian"/>
                <w:bCs/>
                <w:sz w:val="18"/>
                <w:szCs w:val="18"/>
                <w:lang w:eastAsia="zh-CN"/>
              </w:rPr>
              <w:t>tci-StateId</w:t>
            </w:r>
            <w:r>
              <w:rPr>
                <w:rFonts w:eastAsia="DengXian"/>
                <w:bCs/>
                <w:sz w:val="18"/>
                <w:szCs w:val="18"/>
                <w:lang w:eastAsia="zh-CN"/>
              </w:rPr>
              <w:t xml:space="preserve"> can be reused. This means that several of the RRC parameters in the list are unnecessary. For now, we suggest skipping parameters where the only change is </w:t>
            </w:r>
            <w:r w:rsidRPr="007C47BD">
              <w:rPr>
                <w:rFonts w:eastAsia="DengXian"/>
                <w:bCs/>
                <w:sz w:val="18"/>
                <w:szCs w:val="18"/>
                <w:lang w:eastAsia="zh-CN"/>
              </w:rPr>
              <w:t>tci-StateId</w:t>
            </w:r>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For RAN2 to design the RRC signalling,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‘tci-StateType’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mult-TRP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InterCellBeamMetrics is not needed - we reuse nrofReportedRS in CSI-ReportConfig</w:t>
            </w:r>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 xml:space="preserve">InterCellMeasurementRS – here it is better to extend CSI-SSB-ResourceSet with </w:t>
            </w:r>
            <w:r w:rsidR="007C47BD" w:rsidRPr="007C47BD">
              <w:rPr>
                <w:rFonts w:eastAsia="DengXian"/>
                <w:bCs/>
                <w:sz w:val="18"/>
                <w:szCs w:val="18"/>
                <w:lang w:eastAsia="zh-CN"/>
              </w:rPr>
              <w:t xml:space="preserve">other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r w:rsidRPr="007C47BD">
              <w:rPr>
                <w:rFonts w:eastAsia="DengXian"/>
                <w:bCs/>
                <w:sz w:val="18"/>
                <w:szCs w:val="18"/>
                <w:lang w:eastAsia="zh-CN"/>
              </w:rPr>
              <w:t>InterCellReportType</w:t>
            </w:r>
            <w:r w:rsidR="007C47BD" w:rsidRPr="007C47BD">
              <w:rPr>
                <w:rFonts w:eastAsia="DengXian"/>
                <w:bCs/>
                <w:sz w:val="18"/>
                <w:szCs w:val="18"/>
                <w:lang w:eastAsia="zh-CN"/>
              </w:rPr>
              <w:t xml:space="preserve"> is not needed - we reuse reportConfigType in CSI-ReportConfig</w:t>
            </w:r>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lastRenderedPageBreak/>
              <w:t>InterCellAdditionalPCI – if this is the number of additional PCIs, then we propose to reuse NumberOfAdditionalPCI from mTRP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QCL-Info_NeighbourCell – suggest reusing AdditionalPCIInfo from mTRP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 xml:space="preserve">TCI-StateIndicationType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TimeDurationForQCL_r17 is an unfortunate name, since TimeDurationForQCL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Change in ControlResourceSet is unnecessary in any case: TCI states cannot be configured per CORESET, and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TCI-StateSharingList and ApplyTCI-State-r17forSRS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On row #5, suggest to use a separate row for PL RS, or redefine field name as QCL_</w:t>
            </w:r>
            <w:r w:rsidRPr="00A52A5B">
              <w:rPr>
                <w:color w:val="FF0000"/>
                <w:sz w:val="20"/>
                <w:szCs w:val="20"/>
              </w:rPr>
              <w:t>PL_RS</w:t>
            </w:r>
            <w:r>
              <w:rPr>
                <w:sz w:val="20"/>
                <w:szCs w:val="20"/>
              </w:rPr>
              <w:t>_Info-r17. They are different concepts to our understanding</w:t>
            </w:r>
          </w:p>
          <w:p w14:paraId="0CD6B64A" w14:textId="1809BF2E" w:rsidR="00A52A5B" w:rsidRDefault="00A52A5B" w:rsidP="005B2B5F">
            <w:pPr>
              <w:snapToGrid w:val="0"/>
              <w:jc w:val="both"/>
              <w:rPr>
                <w:sz w:val="20"/>
                <w:szCs w:val="20"/>
              </w:rPr>
            </w:pPr>
          </w:p>
          <w:p w14:paraId="7360A221" w14:textId="28579E49" w:rsidR="00A52A5B" w:rsidRPr="009443D3" w:rsidRDefault="00A52A5B" w:rsidP="005B2B5F">
            <w:pPr>
              <w:snapToGrid w:val="0"/>
              <w:jc w:val="both"/>
              <w:rPr>
                <w:sz w:val="20"/>
                <w:szCs w:val="20"/>
              </w:rPr>
            </w:pPr>
            <w:r>
              <w:rPr>
                <w:sz w:val="20"/>
                <w:szCs w:val="20"/>
              </w:rPr>
              <w:t>Suggest to delete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tc>
      </w:tr>
      <w:tr w:rsidR="005B2B5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AA3C07" w:rsidR="005B2B5F" w:rsidRPr="006B25FE" w:rsidRDefault="006B25FE" w:rsidP="005B2B5F">
            <w:pPr>
              <w:snapToGrid w:val="0"/>
              <w:rPr>
                <w:rFonts w:eastAsia="DengXian"/>
                <w:sz w:val="18"/>
                <w:szCs w:val="18"/>
                <w:lang w:eastAsia="zh-CN"/>
              </w:rPr>
            </w:pPr>
            <w:r w:rsidRPr="006B25FE">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805" w14:textId="2A0E113E" w:rsidR="00C40EB6" w:rsidRPr="00C40EB6" w:rsidRDefault="00C40EB6" w:rsidP="002F55BE">
            <w:pPr>
              <w:pStyle w:val="a3"/>
              <w:numPr>
                <w:ilvl w:val="0"/>
                <w:numId w:val="49"/>
              </w:numPr>
              <w:spacing w:after="0" w:line="276" w:lineRule="auto"/>
              <w:ind w:left="295" w:hanging="295"/>
              <w:rPr>
                <w:rFonts w:eastAsia="新細明體" w:hint="eastAsia"/>
                <w:bCs/>
                <w:color w:val="000000" w:themeColor="text1"/>
                <w:sz w:val="20"/>
                <w:lang w:eastAsia="zh-TW"/>
              </w:rPr>
            </w:pPr>
            <w:r w:rsidRPr="00C40EB6">
              <w:rPr>
                <w:bCs/>
                <w:color w:val="000000" w:themeColor="text1"/>
                <w:sz w:val="20"/>
                <w:lang w:eastAsia="x-none"/>
              </w:rPr>
              <w:t>For Rel-17 unified TCI, we also prefer to reuse parameters for Rel-15/16 DL TCI as much as possible. RAN1 can just describe what functionalities</w:t>
            </w:r>
            <w:r w:rsidRPr="00C40EB6">
              <w:rPr>
                <w:rFonts w:eastAsiaTheme="minorEastAsia" w:hint="eastAsia"/>
                <w:bCs/>
                <w:color w:val="000000" w:themeColor="text1"/>
                <w:sz w:val="20"/>
                <w:lang w:eastAsia="x-none"/>
              </w:rPr>
              <w:t xml:space="preserve"> need to be </w:t>
            </w:r>
            <w:r w:rsidRPr="00C40EB6">
              <w:rPr>
                <w:bCs/>
                <w:color w:val="000000" w:themeColor="text1"/>
                <w:sz w:val="20"/>
                <w:lang w:eastAsia="x-none"/>
              </w:rPr>
              <w:t>supported for Rel-17 unified TCI</w:t>
            </w:r>
            <w:r w:rsidRPr="00C40EB6">
              <w:rPr>
                <w:rFonts w:eastAsia="新細明體" w:hint="eastAsia"/>
                <w:bCs/>
                <w:color w:val="000000" w:themeColor="text1"/>
                <w:sz w:val="20"/>
                <w:lang w:eastAsia="zh-TW"/>
              </w:rPr>
              <w:t xml:space="preserve"> (</w:t>
            </w:r>
            <w:r w:rsidRPr="00C40EB6">
              <w:rPr>
                <w:rFonts w:eastAsia="新細明體"/>
                <w:bCs/>
                <w:color w:val="000000" w:themeColor="text1"/>
                <w:sz w:val="20"/>
                <w:lang w:eastAsia="zh-TW"/>
              </w:rPr>
              <w:t>like those comments in the table</w:t>
            </w:r>
            <w:r w:rsidRPr="00C40EB6">
              <w:rPr>
                <w:rFonts w:eastAsia="新細明體" w:hint="eastAsia"/>
                <w:bCs/>
                <w:color w:val="000000" w:themeColor="text1"/>
                <w:sz w:val="20"/>
                <w:lang w:eastAsia="zh-TW"/>
              </w:rPr>
              <w:t>)</w:t>
            </w:r>
            <w:r w:rsidRPr="00C40EB6">
              <w:rPr>
                <w:rFonts w:eastAsia="新細明體"/>
                <w:bCs/>
                <w:color w:val="000000" w:themeColor="text1"/>
                <w:sz w:val="20"/>
                <w:lang w:eastAsia="zh-TW"/>
              </w:rPr>
              <w:t xml:space="preserve"> and let RAN2 decides the parameters and structures</w:t>
            </w:r>
            <w:r w:rsidRPr="00C40EB6">
              <w:rPr>
                <w:rFonts w:eastAsia="新細明體" w:hint="eastAsia"/>
                <w:bCs/>
                <w:color w:val="000000" w:themeColor="text1"/>
                <w:sz w:val="20"/>
                <w:lang w:eastAsia="zh-TW"/>
              </w:rPr>
              <w:t>.</w:t>
            </w:r>
            <w:r w:rsidRPr="00C40EB6">
              <w:rPr>
                <w:rFonts w:eastAsia="新細明體"/>
                <w:bCs/>
                <w:color w:val="000000" w:themeColor="text1"/>
                <w:sz w:val="20"/>
                <w:lang w:eastAsia="zh-TW"/>
              </w:rPr>
              <w:t xml:space="preserve"> The following three parameters can b</w:t>
            </w:r>
            <w:r>
              <w:rPr>
                <w:rFonts w:eastAsia="新細明體"/>
                <w:bCs/>
                <w:color w:val="000000" w:themeColor="text1"/>
                <w:sz w:val="20"/>
                <w:lang w:eastAsia="zh-TW"/>
              </w:rPr>
              <w:t>e removed, and corresponding comments can be combined in the 2</w:t>
            </w:r>
            <w:r w:rsidRPr="00C40EB6">
              <w:rPr>
                <w:rFonts w:eastAsia="新細明體"/>
                <w:bCs/>
                <w:color w:val="000000" w:themeColor="text1"/>
                <w:sz w:val="20"/>
                <w:vertAlign w:val="superscript"/>
                <w:lang w:eastAsia="zh-TW"/>
              </w:rPr>
              <w:t>nd</w:t>
            </w:r>
            <w:r>
              <w:rPr>
                <w:rFonts w:eastAsia="新細明體"/>
                <w:bCs/>
                <w:color w:val="000000" w:themeColor="text1"/>
                <w:sz w:val="20"/>
                <w:lang w:eastAsia="zh-TW"/>
              </w:rPr>
              <w:t xml:space="preserve"> row.</w:t>
            </w:r>
          </w:p>
          <w:p w14:paraId="7F4EE4D7" w14:textId="77777777" w:rsidR="00C40EB6" w:rsidRPr="00C40EB6" w:rsidRDefault="00C40EB6" w:rsidP="00C40EB6">
            <w:pPr>
              <w:pStyle w:val="a3"/>
              <w:numPr>
                <w:ilvl w:val="0"/>
                <w:numId w:val="48"/>
              </w:numPr>
              <w:spacing w:after="0" w:line="276" w:lineRule="auto"/>
              <w:rPr>
                <w:bCs/>
                <w:strike/>
                <w:color w:val="FF0000"/>
                <w:sz w:val="20"/>
                <w:lang w:eastAsia="x-none"/>
              </w:rPr>
            </w:pPr>
            <w:r w:rsidRPr="00C40EB6">
              <w:rPr>
                <w:bCs/>
                <w:strike/>
                <w:color w:val="FF0000"/>
                <w:sz w:val="20"/>
                <w:lang w:eastAsia="x-none"/>
              </w:rPr>
              <w:t>tci-StateId_r17</w:t>
            </w:r>
          </w:p>
          <w:p w14:paraId="10ADF8D4" w14:textId="77777777" w:rsidR="00C40EB6" w:rsidRPr="00C40EB6" w:rsidRDefault="00C40EB6" w:rsidP="00C40EB6">
            <w:pPr>
              <w:pStyle w:val="a3"/>
              <w:numPr>
                <w:ilvl w:val="0"/>
                <w:numId w:val="48"/>
              </w:numPr>
              <w:spacing w:after="0" w:line="276" w:lineRule="auto"/>
              <w:rPr>
                <w:bCs/>
                <w:strike/>
                <w:color w:val="FF0000"/>
                <w:sz w:val="20"/>
                <w:lang w:eastAsia="x-none"/>
              </w:rPr>
            </w:pPr>
            <w:r w:rsidRPr="00C40EB6">
              <w:rPr>
                <w:bCs/>
                <w:strike/>
                <w:color w:val="FF0000"/>
                <w:sz w:val="20"/>
                <w:lang w:eastAsia="x-none"/>
              </w:rPr>
              <w:t>tci-StateType</w:t>
            </w:r>
          </w:p>
          <w:p w14:paraId="08868F02" w14:textId="7D2FA611" w:rsidR="00C40EB6" w:rsidRPr="00C40EB6" w:rsidRDefault="00C40EB6" w:rsidP="00C40EB6">
            <w:pPr>
              <w:pStyle w:val="a3"/>
              <w:numPr>
                <w:ilvl w:val="0"/>
                <w:numId w:val="48"/>
              </w:numPr>
              <w:spacing w:after="0" w:line="276" w:lineRule="auto"/>
              <w:rPr>
                <w:bCs/>
                <w:strike/>
                <w:color w:val="FF0000"/>
                <w:sz w:val="20"/>
                <w:lang w:eastAsia="x-none"/>
              </w:rPr>
            </w:pPr>
            <w:r w:rsidRPr="00C40EB6">
              <w:rPr>
                <w:bCs/>
                <w:strike/>
                <w:color w:val="FF0000"/>
                <w:sz w:val="20"/>
                <w:lang w:eastAsia="x-none"/>
              </w:rPr>
              <w:t>QCL-Info_r17</w:t>
            </w:r>
          </w:p>
          <w:p w14:paraId="3152E040" w14:textId="412BFB75" w:rsidR="00C40EB6" w:rsidRPr="00C40EB6" w:rsidRDefault="00C40EB6" w:rsidP="002F55BE">
            <w:pPr>
              <w:pStyle w:val="a3"/>
              <w:numPr>
                <w:ilvl w:val="0"/>
                <w:numId w:val="49"/>
              </w:numPr>
              <w:spacing w:before="240" w:line="276" w:lineRule="auto"/>
              <w:ind w:left="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TCI-StateIndicationType</w:t>
            </w:r>
            <w:r>
              <w:rPr>
                <w:bCs/>
                <w:color w:val="000000" w:themeColor="text1"/>
                <w:sz w:val="20"/>
                <w:lang w:eastAsia="x-none"/>
              </w:rPr>
              <w:t xml:space="preserve">, we think this parameters is necessary since switching between two modes/types is done by RRC instead of MAC-CE, as RAN1 concluded. </w:t>
            </w:r>
          </w:p>
          <w:p w14:paraId="5371C699" w14:textId="33EA5D78" w:rsidR="00C40EB6" w:rsidRPr="00C40EB6" w:rsidRDefault="00C40EB6" w:rsidP="002F55BE">
            <w:pPr>
              <w:pStyle w:val="a3"/>
              <w:numPr>
                <w:ilvl w:val="0"/>
                <w:numId w:val="49"/>
              </w:numPr>
              <w:spacing w:line="276" w:lineRule="auto"/>
              <w:ind w:left="295" w:hanging="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TimeDurationForQCL_r17</w:t>
            </w:r>
            <w:r>
              <w:rPr>
                <w:bCs/>
                <w:color w:val="000000" w:themeColor="text1"/>
                <w:sz w:val="20"/>
                <w:lang w:eastAsia="x-none"/>
              </w:rPr>
              <w:t>, we also prefer to change the name, e.g., beamApplicationTime_r17.</w:t>
            </w:r>
          </w:p>
          <w:p w14:paraId="411099B6" w14:textId="1D1ACFD7" w:rsidR="00C40EB6" w:rsidRPr="00C40EB6" w:rsidRDefault="002F55BE" w:rsidP="002F55BE">
            <w:pPr>
              <w:pStyle w:val="a3"/>
              <w:numPr>
                <w:ilvl w:val="0"/>
                <w:numId w:val="49"/>
              </w:numPr>
              <w:spacing w:line="276" w:lineRule="auto"/>
              <w:ind w:left="295"/>
              <w:rPr>
                <w:bCs/>
                <w:color w:val="000000" w:themeColor="text1"/>
                <w:sz w:val="20"/>
                <w:lang w:eastAsia="x-none"/>
              </w:rPr>
            </w:pPr>
            <w:r>
              <w:rPr>
                <w:bCs/>
                <w:color w:val="000000" w:themeColor="text1"/>
                <w:sz w:val="20"/>
                <w:lang w:eastAsia="x-none"/>
              </w:rPr>
              <w:t xml:space="preserve">On </w:t>
            </w:r>
            <w:r w:rsidR="00C40EB6" w:rsidRPr="00C40EB6">
              <w:rPr>
                <w:bCs/>
                <w:color w:val="000000" w:themeColor="text1"/>
                <w:sz w:val="20"/>
                <w:lang w:eastAsia="x-none"/>
              </w:rPr>
              <w:t>ControlResourceSet</w:t>
            </w:r>
            <w:r>
              <w:rPr>
                <w:bCs/>
                <w:color w:val="000000" w:themeColor="text1"/>
                <w:sz w:val="20"/>
                <w:lang w:eastAsia="x-none"/>
              </w:rPr>
              <w:t>, we also think additional TCI pool for CORESET</w:t>
            </w:r>
            <w:r w:rsidRPr="002F55BE">
              <w:rPr>
                <w:rFonts w:hint="eastAsia"/>
                <w:bCs/>
                <w:color w:val="000000" w:themeColor="text1"/>
                <w:sz w:val="20"/>
                <w:lang w:eastAsia="x-none"/>
              </w:rPr>
              <w:t xml:space="preserve"> </w:t>
            </w:r>
            <w:r w:rsidRPr="002F55BE">
              <w:rPr>
                <w:bCs/>
                <w:color w:val="000000" w:themeColor="text1"/>
                <w:sz w:val="20"/>
                <w:lang w:eastAsia="x-none"/>
              </w:rPr>
              <w:t>is not needed</w:t>
            </w:r>
            <w:r>
              <w:rPr>
                <w:bCs/>
                <w:color w:val="000000" w:themeColor="text1"/>
                <w:sz w:val="20"/>
                <w:lang w:eastAsia="x-none"/>
              </w:rPr>
              <w:t>.</w:t>
            </w:r>
          </w:p>
          <w:p w14:paraId="30B43A9B" w14:textId="48A536E3" w:rsidR="00C905E0" w:rsidRPr="00C40EB6" w:rsidRDefault="00C905E0" w:rsidP="002F55BE">
            <w:pPr>
              <w:pStyle w:val="a3"/>
              <w:numPr>
                <w:ilvl w:val="0"/>
                <w:numId w:val="49"/>
              </w:numPr>
              <w:spacing w:line="276" w:lineRule="auto"/>
              <w:ind w:left="295"/>
              <w:rPr>
                <w:bCs/>
                <w:color w:val="000000" w:themeColor="text1"/>
                <w:sz w:val="20"/>
                <w:lang w:eastAsia="x-none"/>
              </w:rPr>
            </w:pPr>
            <w:r w:rsidRPr="00C40EB6">
              <w:rPr>
                <w:bCs/>
                <w:color w:val="000000" w:themeColor="text1"/>
                <w:sz w:val="20"/>
                <w:lang w:eastAsia="x-none"/>
              </w:rPr>
              <w:t>According to current agreements for Rel-17 unified TCI framework, the following RSs “can share”, i.e., optionally, the sam</w:t>
            </w:r>
            <w:bookmarkStart w:id="0" w:name="_GoBack"/>
            <w:bookmarkEnd w:id="0"/>
            <w:r w:rsidRPr="00C40EB6">
              <w:rPr>
                <w:bCs/>
                <w:color w:val="000000" w:themeColor="text1"/>
                <w:sz w:val="20"/>
                <w:lang w:eastAsia="x-none"/>
              </w:rPr>
              <w:t>e indicated Rel-17 TCI state as UE-dedicated data and control channels in a CC.</w:t>
            </w:r>
          </w:p>
          <w:p w14:paraId="0D3915BE" w14:textId="77777777" w:rsidR="00C905E0" w:rsidRPr="00C905E0" w:rsidRDefault="00C905E0" w:rsidP="00C905E0">
            <w:pPr>
              <w:pStyle w:val="a3"/>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SRS resource set for CSI (including CB, NCB, antenna switching)</w:t>
            </w:r>
          </w:p>
          <w:p w14:paraId="6203CDCC" w14:textId="77777777" w:rsidR="00C905E0" w:rsidRPr="00C905E0" w:rsidRDefault="00C905E0" w:rsidP="00C905E0">
            <w:pPr>
              <w:pStyle w:val="a3"/>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CSI-RS resources for CSI</w:t>
            </w:r>
          </w:p>
          <w:p w14:paraId="46FAF8A8" w14:textId="77777777" w:rsidR="00C905E0" w:rsidRPr="00C905E0" w:rsidRDefault="00C905E0" w:rsidP="00C905E0">
            <w:pPr>
              <w:pStyle w:val="a3"/>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 xml:space="preserve">Aperiodic CSI-RS resources for BM </w:t>
            </w:r>
          </w:p>
          <w:p w14:paraId="25220DF0" w14:textId="77777777" w:rsidR="00C905E0" w:rsidRPr="00C905E0" w:rsidRDefault="00C905E0" w:rsidP="00C905E0">
            <w:pPr>
              <w:pStyle w:val="a3"/>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SRS resources or resource sets for BM</w:t>
            </w:r>
          </w:p>
          <w:p w14:paraId="267D7FEA" w14:textId="77777777" w:rsidR="00C905E0" w:rsidRDefault="00C905E0" w:rsidP="00C40EB6">
            <w:pPr>
              <w:pStyle w:val="a3"/>
              <w:numPr>
                <w:ilvl w:val="0"/>
                <w:numId w:val="46"/>
              </w:numPr>
              <w:spacing w:after="200" w:line="276" w:lineRule="auto"/>
              <w:contextualSpacing/>
              <w:rPr>
                <w:bCs/>
                <w:color w:val="000000" w:themeColor="text1"/>
                <w:sz w:val="20"/>
                <w:lang w:eastAsia="x-none"/>
              </w:rPr>
            </w:pPr>
            <w:r w:rsidRPr="00C905E0">
              <w:rPr>
                <w:bCs/>
                <w:color w:val="000000" w:themeColor="text1"/>
                <w:sz w:val="20"/>
                <w:lang w:eastAsia="x-none"/>
              </w:rPr>
              <w:t>DMRS(s) associated with non-UE-dedicated reception on CORESET(s) and the associated PDSCH</w:t>
            </w:r>
          </w:p>
          <w:p w14:paraId="48229B58" w14:textId="41CA7BD1" w:rsidR="00C905E0" w:rsidRPr="00C905E0" w:rsidRDefault="00C905E0" w:rsidP="002F55BE">
            <w:pPr>
              <w:spacing w:after="240" w:line="276" w:lineRule="auto"/>
              <w:ind w:left="295"/>
              <w:rPr>
                <w:rFonts w:ascii="Arial" w:hAnsi="Arial" w:cs="Arial"/>
                <w:b/>
                <w:lang w:eastAsia="x-none"/>
              </w:rPr>
            </w:pPr>
            <w:r w:rsidRPr="00C905E0">
              <w:rPr>
                <w:bCs/>
                <w:color w:val="000000" w:themeColor="text1"/>
                <w:sz w:val="20"/>
                <w:lang w:eastAsia="x-none"/>
              </w:rPr>
              <w:t xml:space="preserve">Instead of using TCI-StateSharingList, We prefer to use a similar parameter like ApplyTCI-State-r17forSRS </w:t>
            </w:r>
            <w:r w:rsidRPr="00C905E0">
              <w:rPr>
                <w:bCs/>
                <w:color w:val="000000" w:themeColor="text1"/>
                <w:sz w:val="20"/>
                <w:lang w:eastAsia="x-none"/>
              </w:rPr>
              <w:t>to indicate whether</w:t>
            </w:r>
            <w:r w:rsidRPr="00C905E0">
              <w:rPr>
                <w:bCs/>
                <w:color w:val="000000" w:themeColor="text1"/>
                <w:sz w:val="20"/>
                <w:lang w:eastAsia="x-none"/>
              </w:rPr>
              <w:t xml:space="preserve"> or not</w:t>
            </w:r>
            <w:r w:rsidRPr="00C905E0">
              <w:rPr>
                <w:bCs/>
                <w:color w:val="000000" w:themeColor="text1"/>
                <w:sz w:val="20"/>
                <w:lang w:eastAsia="x-none"/>
              </w:rPr>
              <w:t xml:space="preserve"> the </w:t>
            </w:r>
            <w:r w:rsidRPr="00C905E0">
              <w:rPr>
                <w:bCs/>
                <w:color w:val="000000" w:themeColor="text1"/>
                <w:sz w:val="20"/>
                <w:lang w:eastAsia="x-none"/>
              </w:rPr>
              <w:t>above channels/</w:t>
            </w:r>
            <w:r w:rsidRPr="00C905E0">
              <w:rPr>
                <w:bCs/>
                <w:color w:val="000000" w:themeColor="text1"/>
                <w:sz w:val="20"/>
                <w:lang w:eastAsia="x-none"/>
              </w:rPr>
              <w:t>RS resource set</w:t>
            </w:r>
            <w:r w:rsidRPr="00C905E0">
              <w:rPr>
                <w:bCs/>
                <w:color w:val="000000" w:themeColor="text1"/>
                <w:sz w:val="20"/>
                <w:lang w:eastAsia="x-none"/>
              </w:rPr>
              <w:t>s</w:t>
            </w:r>
            <w:r w:rsidRPr="00C905E0">
              <w:rPr>
                <w:bCs/>
                <w:color w:val="000000" w:themeColor="text1"/>
                <w:sz w:val="20"/>
                <w:lang w:eastAsia="x-none"/>
              </w:rPr>
              <w:t xml:space="preserve"> apply the same Rel-17 TCI state indicated by Rel-17 DCI/MAC-CE TCI-based update</w:t>
            </w:r>
            <w:r w:rsidRPr="00C905E0">
              <w:rPr>
                <w:bCs/>
                <w:color w:val="000000" w:themeColor="text1"/>
                <w:sz w:val="20"/>
                <w:lang w:eastAsia="x-none"/>
              </w:rPr>
              <w:t xml:space="preserve">. Thus, in addition to </w:t>
            </w:r>
            <w:r w:rsidRPr="00C905E0">
              <w:rPr>
                <w:bCs/>
                <w:color w:val="000000" w:themeColor="text1"/>
                <w:sz w:val="20"/>
                <w:lang w:eastAsia="x-none"/>
              </w:rPr>
              <w:t>ApplyTCI-State-r17forSRS</w:t>
            </w:r>
            <w:r w:rsidRPr="00C905E0">
              <w:rPr>
                <w:bCs/>
                <w:color w:val="000000" w:themeColor="text1"/>
                <w:sz w:val="20"/>
                <w:lang w:eastAsia="x-none"/>
              </w:rPr>
              <w:t xml:space="preserve">, we suggest add the following parameters: </w:t>
            </w:r>
          </w:p>
          <w:p w14:paraId="002E1C58" w14:textId="4F275FDF" w:rsidR="00C905E0" w:rsidRDefault="00C905E0" w:rsidP="00C905E0">
            <w:pPr>
              <w:pStyle w:val="a3"/>
              <w:numPr>
                <w:ilvl w:val="0"/>
                <w:numId w:val="47"/>
              </w:numPr>
              <w:spacing w:after="200" w:line="276" w:lineRule="auto"/>
              <w:contextualSpacing/>
              <w:jc w:val="both"/>
              <w:rPr>
                <w:bCs/>
                <w:color w:val="000000" w:themeColor="text1"/>
                <w:sz w:val="20"/>
                <w:lang w:eastAsia="x-none"/>
              </w:rPr>
            </w:pPr>
            <w:r>
              <w:rPr>
                <w:bCs/>
                <w:color w:val="000000" w:themeColor="text1"/>
                <w:sz w:val="20"/>
                <w:lang w:eastAsia="x-none"/>
              </w:rPr>
              <w:t xml:space="preserve">ApplyTCI-State-r17forSRS (in </w:t>
            </w:r>
            <w:r w:rsidR="009C5A8E" w:rsidRPr="009C5A8E">
              <w:rPr>
                <w:bCs/>
                <w:color w:val="000000" w:themeColor="text1"/>
                <w:sz w:val="20"/>
                <w:lang w:eastAsia="x-none"/>
              </w:rPr>
              <w:t>SRS-ResourceSet</w:t>
            </w:r>
            <w:r>
              <w:rPr>
                <w:bCs/>
                <w:color w:val="000000" w:themeColor="text1"/>
                <w:sz w:val="20"/>
                <w:lang w:eastAsia="x-none"/>
              </w:rPr>
              <w:t>)</w:t>
            </w:r>
          </w:p>
          <w:p w14:paraId="2C8080E8" w14:textId="59FAD7BC" w:rsidR="00C905E0" w:rsidRPr="009C5A8E" w:rsidRDefault="00C905E0" w:rsidP="00C905E0">
            <w:pPr>
              <w:pStyle w:val="a3"/>
              <w:numPr>
                <w:ilvl w:val="0"/>
                <w:numId w:val="47"/>
              </w:numPr>
              <w:spacing w:after="200" w:line="276" w:lineRule="auto"/>
              <w:contextualSpacing/>
              <w:jc w:val="both"/>
              <w:rPr>
                <w:bCs/>
                <w:color w:val="FF0000"/>
                <w:sz w:val="20"/>
                <w:lang w:eastAsia="x-none"/>
              </w:rPr>
            </w:pPr>
            <w:r w:rsidRPr="00C905E0">
              <w:rPr>
                <w:bCs/>
                <w:color w:val="FF0000"/>
                <w:sz w:val="20"/>
                <w:lang w:eastAsia="x-none"/>
              </w:rPr>
              <w:t>ApplyTCI-State-</w:t>
            </w:r>
            <w:r w:rsidRPr="009C5A8E">
              <w:rPr>
                <w:bCs/>
                <w:color w:val="FF0000"/>
                <w:sz w:val="20"/>
                <w:lang w:eastAsia="x-none"/>
              </w:rPr>
              <w:t>r17forCSI-RS</w:t>
            </w:r>
            <w:r w:rsidR="009C5A8E" w:rsidRPr="009C5A8E">
              <w:rPr>
                <w:bCs/>
                <w:color w:val="FF0000"/>
                <w:sz w:val="20"/>
                <w:lang w:eastAsia="x-none"/>
              </w:rPr>
              <w:t xml:space="preserve"> (in </w:t>
            </w:r>
            <w:r w:rsidR="009C5A8E" w:rsidRPr="009C5A8E">
              <w:rPr>
                <w:bCs/>
                <w:color w:val="FF0000"/>
                <w:sz w:val="20"/>
                <w:lang w:eastAsia="x-none"/>
              </w:rPr>
              <w:t>NZP-CSI-RS-ResourceSet</w:t>
            </w:r>
            <w:r w:rsidR="009C5A8E" w:rsidRPr="009C5A8E">
              <w:rPr>
                <w:bCs/>
                <w:color w:val="FF0000"/>
                <w:sz w:val="20"/>
                <w:lang w:eastAsia="x-none"/>
              </w:rPr>
              <w:t>)</w:t>
            </w:r>
          </w:p>
          <w:p w14:paraId="12B8CBB4" w14:textId="1A5686BA" w:rsidR="005B2B5F" w:rsidRPr="00C40EB6" w:rsidRDefault="009C5A8E" w:rsidP="00C40EB6">
            <w:pPr>
              <w:pStyle w:val="a3"/>
              <w:numPr>
                <w:ilvl w:val="0"/>
                <w:numId w:val="47"/>
              </w:numPr>
              <w:spacing w:after="200" w:line="276" w:lineRule="auto"/>
              <w:contextualSpacing/>
              <w:jc w:val="both"/>
              <w:rPr>
                <w:bCs/>
                <w:color w:val="FF0000"/>
                <w:sz w:val="20"/>
                <w:lang w:eastAsia="x-none"/>
              </w:rPr>
            </w:pPr>
            <w:r w:rsidRPr="009C5A8E">
              <w:rPr>
                <w:bCs/>
                <w:color w:val="FF0000"/>
                <w:sz w:val="20"/>
                <w:lang w:eastAsia="x-none"/>
              </w:rPr>
              <w:lastRenderedPageBreak/>
              <w:t xml:space="preserve">ApplyTCI-State-r17forCORESET </w:t>
            </w:r>
            <w:r w:rsidRPr="009C5A8E">
              <w:rPr>
                <w:bCs/>
                <w:color w:val="FF0000"/>
                <w:sz w:val="20"/>
                <w:lang w:eastAsia="x-none"/>
              </w:rPr>
              <w:t>(in ControlResourceSet</w:t>
            </w:r>
            <w:r w:rsidR="00C40EB6">
              <w:rPr>
                <w:bCs/>
                <w:color w:val="FF0000"/>
                <w:sz w:val="20"/>
                <w:lang w:eastAsia="x-none"/>
              </w:rPr>
              <w:t xml:space="preserve"> if associated with any CSS set</w:t>
            </w:r>
            <w:r>
              <w:rPr>
                <w:bCs/>
                <w:color w:val="FF0000"/>
                <w:sz w:val="20"/>
                <w:lang w:eastAsia="x-none"/>
              </w:rPr>
              <w:t>)</w:t>
            </w:r>
          </w:p>
        </w:tc>
      </w:tr>
      <w:tr w:rsidR="005B2B5F"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2D04AC5D"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77777777" w:rsidR="005B2B5F" w:rsidRPr="00565AE4" w:rsidRDefault="005B2B5F" w:rsidP="005B2B5F">
            <w:pPr>
              <w:snapToGrid w:val="0"/>
              <w:jc w:val="both"/>
              <w:rPr>
                <w:rFonts w:eastAsia="DengXian"/>
                <w:sz w:val="18"/>
                <w:szCs w:val="18"/>
              </w:rPr>
            </w:pPr>
          </w:p>
        </w:tc>
      </w:tr>
      <w:tr w:rsidR="005B2B5F"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5B2B5F" w:rsidRPr="00565AE4" w:rsidRDefault="005B2B5F" w:rsidP="005B2B5F">
            <w:pPr>
              <w:snapToGrid w:val="0"/>
              <w:jc w:val="both"/>
              <w:rPr>
                <w:rFonts w:eastAsia="DengXian"/>
                <w:sz w:val="18"/>
                <w:szCs w:val="18"/>
              </w:rPr>
            </w:pPr>
          </w:p>
        </w:tc>
      </w:tr>
      <w:tr w:rsidR="005B2B5F"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5B2B5F" w:rsidRPr="00565AE4" w:rsidRDefault="005B2B5F" w:rsidP="005B2B5F">
            <w:pPr>
              <w:snapToGrid w:val="0"/>
              <w:jc w:val="both"/>
              <w:rPr>
                <w:rFonts w:eastAsia="DengXian"/>
                <w:sz w:val="18"/>
                <w:szCs w:val="18"/>
              </w:rPr>
            </w:pPr>
          </w:p>
        </w:tc>
      </w:tr>
      <w:tr w:rsidR="005B2B5F"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5B2B5F" w:rsidRPr="00565AE4" w:rsidRDefault="005B2B5F" w:rsidP="005B2B5F">
            <w:pPr>
              <w:snapToGrid w:val="0"/>
              <w:jc w:val="both"/>
              <w:rPr>
                <w:rFonts w:eastAsia="DengXian"/>
                <w:sz w:val="18"/>
                <w:szCs w:val="18"/>
              </w:rPr>
            </w:pPr>
          </w:p>
        </w:tc>
      </w:tr>
      <w:tr w:rsidR="005B2B5F"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5B2B5F" w:rsidRPr="00565AE4" w:rsidRDefault="005B2B5F" w:rsidP="005B2B5F">
            <w:pPr>
              <w:snapToGrid w:val="0"/>
              <w:jc w:val="both"/>
              <w:rPr>
                <w:rFonts w:eastAsia="DengXian"/>
                <w:sz w:val="18"/>
                <w:szCs w:val="18"/>
              </w:rPr>
            </w:pPr>
          </w:p>
        </w:tc>
      </w:tr>
      <w:tr w:rsidR="005B2B5F"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5B2B5F" w:rsidRPr="00565AE4" w:rsidRDefault="005B2B5F" w:rsidP="005B2B5F">
            <w:pPr>
              <w:snapToGrid w:val="0"/>
              <w:jc w:val="both"/>
              <w:rPr>
                <w:rFonts w:eastAsia="DengXian"/>
                <w:sz w:val="18"/>
                <w:szCs w:val="18"/>
              </w:rPr>
            </w:pPr>
          </w:p>
        </w:tc>
      </w:tr>
      <w:tr w:rsidR="005B2B5F"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5B2B5F" w:rsidRPr="00565AE4" w:rsidRDefault="005B2B5F" w:rsidP="005B2B5F">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FEFE7" w14:textId="77777777" w:rsidR="006B6AA4" w:rsidRDefault="006B6AA4">
      <w:r>
        <w:separator/>
      </w:r>
    </w:p>
  </w:endnote>
  <w:endnote w:type="continuationSeparator" w:id="0">
    <w:p w14:paraId="64632486" w14:textId="77777777" w:rsidR="006B6AA4" w:rsidRDefault="006B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8B105" w14:textId="77777777" w:rsidR="006B6AA4" w:rsidRDefault="006B6AA4">
      <w:r>
        <w:rPr>
          <w:color w:val="000000"/>
        </w:rPr>
        <w:separator/>
      </w:r>
    </w:p>
  </w:footnote>
  <w:footnote w:type="continuationSeparator" w:id="0">
    <w:p w14:paraId="2CE494FB" w14:textId="77777777" w:rsidR="006B6AA4" w:rsidRDefault="006B6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21113"/>
    <w:multiLevelType w:val="hybridMultilevel"/>
    <w:tmpl w:val="4D6E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47509"/>
    <w:multiLevelType w:val="hybridMultilevel"/>
    <w:tmpl w:val="582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9440BE"/>
    <w:multiLevelType w:val="hybridMultilevel"/>
    <w:tmpl w:val="74123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6E2FAF"/>
    <w:multiLevelType w:val="hybridMultilevel"/>
    <w:tmpl w:val="5D3AFAEA"/>
    <w:lvl w:ilvl="0" w:tplc="564AE17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6"/>
  </w:num>
  <w:num w:numId="4">
    <w:abstractNumId w:val="16"/>
  </w:num>
  <w:num w:numId="5">
    <w:abstractNumId w:val="33"/>
  </w:num>
  <w:num w:numId="6">
    <w:abstractNumId w:val="10"/>
  </w:num>
  <w:num w:numId="7">
    <w:abstractNumId w:val="30"/>
  </w:num>
  <w:num w:numId="8">
    <w:abstractNumId w:val="23"/>
  </w:num>
  <w:num w:numId="9">
    <w:abstractNumId w:val="36"/>
  </w:num>
  <w:num w:numId="10">
    <w:abstractNumId w:val="32"/>
  </w:num>
  <w:num w:numId="11">
    <w:abstractNumId w:val="25"/>
  </w:num>
  <w:num w:numId="12">
    <w:abstractNumId w:val="8"/>
  </w:num>
  <w:num w:numId="13">
    <w:abstractNumId w:val="34"/>
  </w:num>
  <w:num w:numId="14">
    <w:abstractNumId w:val="27"/>
  </w:num>
  <w:num w:numId="15">
    <w:abstractNumId w:val="29"/>
  </w:num>
  <w:num w:numId="16">
    <w:abstractNumId w:val="17"/>
  </w:num>
  <w:num w:numId="17">
    <w:abstractNumId w:val="22"/>
  </w:num>
  <w:num w:numId="18">
    <w:abstractNumId w:val="46"/>
  </w:num>
  <w:num w:numId="19">
    <w:abstractNumId w:val="39"/>
  </w:num>
  <w:num w:numId="20">
    <w:abstractNumId w:val="44"/>
  </w:num>
  <w:num w:numId="21">
    <w:abstractNumId w:val="13"/>
  </w:num>
  <w:num w:numId="22">
    <w:abstractNumId w:val="12"/>
  </w:num>
  <w:num w:numId="23">
    <w:abstractNumId w:val="37"/>
  </w:num>
  <w:num w:numId="24">
    <w:abstractNumId w:val="0"/>
  </w:num>
  <w:num w:numId="25">
    <w:abstractNumId w:val="45"/>
  </w:num>
  <w:num w:numId="26">
    <w:abstractNumId w:val="5"/>
  </w:num>
  <w:num w:numId="27">
    <w:abstractNumId w:val="20"/>
  </w:num>
  <w:num w:numId="28">
    <w:abstractNumId w:val="1"/>
  </w:num>
  <w:num w:numId="29">
    <w:abstractNumId w:val="35"/>
  </w:num>
  <w:num w:numId="30">
    <w:abstractNumId w:val="19"/>
  </w:num>
  <w:num w:numId="31">
    <w:abstractNumId w:val="2"/>
  </w:num>
  <w:num w:numId="32">
    <w:abstractNumId w:val="3"/>
  </w:num>
  <w:num w:numId="33">
    <w:abstractNumId w:val="7"/>
  </w:num>
  <w:num w:numId="34">
    <w:abstractNumId w:val="11"/>
  </w:num>
  <w:num w:numId="35">
    <w:abstractNumId w:val="40"/>
  </w:num>
  <w:num w:numId="36">
    <w:abstractNumId w:val="24"/>
  </w:num>
  <w:num w:numId="37">
    <w:abstractNumId w:val="47"/>
  </w:num>
  <w:num w:numId="38">
    <w:abstractNumId w:val="4"/>
  </w:num>
  <w:num w:numId="39">
    <w:abstractNumId w:val="26"/>
  </w:num>
  <w:num w:numId="40">
    <w:abstractNumId w:val="28"/>
  </w:num>
  <w:num w:numId="41">
    <w:abstractNumId w:val="14"/>
  </w:num>
  <w:num w:numId="42">
    <w:abstractNumId w:val="18"/>
  </w:num>
  <w:num w:numId="43">
    <w:abstractNumId w:val="31"/>
  </w:num>
  <w:num w:numId="44">
    <w:abstractNumId w:val="13"/>
  </w:num>
  <w:num w:numId="45">
    <w:abstractNumId w:val="21"/>
  </w:num>
  <w:num w:numId="46">
    <w:abstractNumId w:val="41"/>
  </w:num>
  <w:num w:numId="47">
    <w:abstractNumId w:val="38"/>
  </w:num>
  <w:num w:numId="48">
    <w:abstractNumId w:val="15"/>
  </w:num>
  <w:num w:numId="49">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418"/>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5BE"/>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25FE"/>
    <w:rsid w:val="006B3782"/>
    <w:rsid w:val="006B4029"/>
    <w:rsid w:val="006B594D"/>
    <w:rsid w:val="006B6218"/>
    <w:rsid w:val="006B6535"/>
    <w:rsid w:val="006B6AA4"/>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5A8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0EB6"/>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05E0"/>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목록 단락,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5893286">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D341-5CA6-423C-9405-58EC4C12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5202</Characters>
  <Application>Microsoft Office Word</Application>
  <DocSecurity>0</DocSecurity>
  <Lines>43</Lines>
  <Paragraphs>12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dcterms:created xsi:type="dcterms:W3CDTF">2021-10-13T02:38:00Z</dcterms:created>
  <dcterms:modified xsi:type="dcterms:W3CDTF">2021-10-13T02:38:00Z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