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6D47C3" w14:textId="5BAB21BD" w:rsidR="00B60DB6" w:rsidRPr="0052548E" w:rsidRDefault="00B60DB6" w:rsidP="00B60DB6">
      <w:pPr>
        <w:tabs>
          <w:tab w:val="right" w:pos="9639"/>
        </w:tabs>
        <w:spacing w:after="0"/>
        <w:rPr>
          <w:rFonts w:ascii="Arial" w:hAnsi="Arial" w:cs="Arial"/>
          <w:b/>
          <w:bCs/>
          <w:sz w:val="28"/>
        </w:rPr>
      </w:pPr>
      <w:bookmarkStart w:id="0" w:name="_Hlk492190689"/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  <w:t>R1-210</w:t>
      </w:r>
      <w:r>
        <w:rPr>
          <w:rFonts w:ascii="Arial" w:hAnsi="Arial" w:cs="Arial"/>
          <w:b/>
          <w:bCs/>
          <w:sz w:val="28"/>
        </w:rPr>
        <w:t>64</w:t>
      </w:r>
      <w:r>
        <w:rPr>
          <w:rFonts w:ascii="Arial" w:hAnsi="Arial" w:cs="Arial"/>
          <w:b/>
          <w:bCs/>
          <w:sz w:val="28"/>
        </w:rPr>
        <w:t>26</w:t>
      </w:r>
    </w:p>
    <w:p w14:paraId="1E66F50F" w14:textId="77777777" w:rsidR="00B60DB6" w:rsidRPr="009513AC" w:rsidRDefault="00B60DB6" w:rsidP="00B60DB6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16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6ED4059B" w14:textId="77777777" w:rsidR="00B60DB6" w:rsidRDefault="00B60DB6" w:rsidP="00B60DB6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/>
          <w:bCs/>
          <w:sz w:val="24"/>
          <w:szCs w:val="24"/>
        </w:rPr>
      </w:pPr>
    </w:p>
    <w:p w14:paraId="61D831D0" w14:textId="5BAFD557" w:rsidR="00E91ECA" w:rsidRPr="00B60DB6" w:rsidRDefault="00E91ECA" w:rsidP="00E91EC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B60DB6">
        <w:rPr>
          <w:b/>
          <w:noProof/>
          <w:sz w:val="24"/>
          <w:szCs w:val="24"/>
        </w:rPr>
        <w:t>3GPP TSG-RAN WG4 Meeting #99-e</w:t>
      </w:r>
      <w:r w:rsidRPr="00B60DB6">
        <w:rPr>
          <w:b/>
          <w:i/>
          <w:noProof/>
          <w:sz w:val="24"/>
          <w:szCs w:val="24"/>
        </w:rPr>
        <w:tab/>
      </w:r>
      <w:r w:rsidR="00C1182E" w:rsidRPr="00B60DB6">
        <w:rPr>
          <w:b/>
          <w:i/>
          <w:noProof/>
          <w:sz w:val="24"/>
          <w:szCs w:val="24"/>
        </w:rPr>
        <w:fldChar w:fldCharType="begin"/>
      </w:r>
      <w:r w:rsidR="00C1182E" w:rsidRPr="00B60DB6">
        <w:rPr>
          <w:b/>
          <w:i/>
          <w:noProof/>
          <w:sz w:val="24"/>
          <w:szCs w:val="24"/>
        </w:rPr>
        <w:instrText xml:space="preserve"> DOCPROPERTY  Tdoc#  \* MERGEFORMAT </w:instrText>
      </w:r>
      <w:r w:rsidR="00C1182E" w:rsidRPr="00B60DB6">
        <w:rPr>
          <w:b/>
          <w:i/>
          <w:noProof/>
          <w:sz w:val="24"/>
          <w:szCs w:val="24"/>
        </w:rPr>
        <w:fldChar w:fldCharType="separate"/>
      </w:r>
      <w:r w:rsidR="00C1182E" w:rsidRPr="00B60DB6">
        <w:rPr>
          <w:b/>
          <w:i/>
          <w:noProof/>
          <w:sz w:val="24"/>
          <w:szCs w:val="24"/>
        </w:rPr>
        <w:t>R4-2108356</w:t>
      </w:r>
      <w:r w:rsidR="00C1182E" w:rsidRPr="00B60DB6">
        <w:rPr>
          <w:b/>
          <w:i/>
          <w:noProof/>
          <w:sz w:val="24"/>
          <w:szCs w:val="24"/>
        </w:rPr>
        <w:fldChar w:fldCharType="end"/>
      </w:r>
    </w:p>
    <w:p w14:paraId="3DFBE429" w14:textId="77777777" w:rsidR="00E91ECA" w:rsidRPr="00B60DB6" w:rsidRDefault="00E91ECA" w:rsidP="00E91ECA">
      <w:pPr>
        <w:pStyle w:val="CRCoverPage"/>
        <w:outlineLvl w:val="0"/>
        <w:rPr>
          <w:b/>
          <w:noProof/>
          <w:sz w:val="24"/>
          <w:szCs w:val="24"/>
        </w:rPr>
      </w:pPr>
      <w:r w:rsidRPr="00B60DB6">
        <w:rPr>
          <w:b/>
          <w:noProof/>
          <w:sz w:val="24"/>
          <w:szCs w:val="24"/>
          <w:lang w:eastAsia="zh-CN"/>
        </w:rPr>
        <w:t>e-Meeting</w:t>
      </w:r>
      <w:r w:rsidRPr="00B60DB6">
        <w:rPr>
          <w:b/>
          <w:noProof/>
          <w:sz w:val="24"/>
          <w:szCs w:val="24"/>
        </w:rPr>
        <w:t>, 19</w:t>
      </w:r>
      <w:r w:rsidRPr="00B60DB6">
        <w:rPr>
          <w:b/>
          <w:noProof/>
          <w:sz w:val="24"/>
          <w:szCs w:val="24"/>
          <w:vertAlign w:val="superscript"/>
        </w:rPr>
        <w:t>th</w:t>
      </w:r>
      <w:r w:rsidRPr="00B60DB6">
        <w:rPr>
          <w:b/>
          <w:noProof/>
          <w:sz w:val="24"/>
          <w:szCs w:val="24"/>
        </w:rPr>
        <w:t xml:space="preserve"> </w:t>
      </w:r>
      <w:r w:rsidRPr="00B60DB6">
        <w:rPr>
          <w:rFonts w:hint="eastAsia"/>
          <w:b/>
          <w:noProof/>
          <w:sz w:val="24"/>
          <w:szCs w:val="24"/>
          <w:lang w:eastAsia="zh-CN"/>
        </w:rPr>
        <w:t>May</w:t>
      </w:r>
      <w:r w:rsidRPr="00B60DB6">
        <w:rPr>
          <w:b/>
          <w:noProof/>
          <w:sz w:val="24"/>
          <w:szCs w:val="24"/>
          <w:lang w:eastAsia="zh-CN"/>
        </w:rPr>
        <w:t xml:space="preserve"> </w:t>
      </w:r>
      <w:r w:rsidRPr="00B60DB6">
        <w:rPr>
          <w:b/>
          <w:noProof/>
          <w:sz w:val="24"/>
          <w:szCs w:val="24"/>
        </w:rPr>
        <w:t>– 27</w:t>
      </w:r>
      <w:r w:rsidRPr="00B60DB6">
        <w:rPr>
          <w:b/>
          <w:noProof/>
          <w:sz w:val="24"/>
          <w:szCs w:val="24"/>
          <w:vertAlign w:val="superscript"/>
        </w:rPr>
        <w:t>th</w:t>
      </w:r>
      <w:r w:rsidRPr="00B60DB6">
        <w:rPr>
          <w:b/>
          <w:noProof/>
          <w:sz w:val="24"/>
          <w:szCs w:val="24"/>
        </w:rPr>
        <w:t xml:space="preserve"> </w:t>
      </w:r>
      <w:r w:rsidRPr="00B60DB6">
        <w:rPr>
          <w:rFonts w:hint="eastAsia"/>
          <w:b/>
          <w:noProof/>
          <w:sz w:val="24"/>
          <w:szCs w:val="24"/>
          <w:lang w:eastAsia="zh-CN"/>
        </w:rPr>
        <w:t>May</w:t>
      </w:r>
      <w:r w:rsidRPr="00B60DB6">
        <w:rPr>
          <w:b/>
          <w:noProof/>
          <w:sz w:val="24"/>
          <w:szCs w:val="24"/>
        </w:rPr>
        <w:t xml:space="preserve"> 2021</w:t>
      </w:r>
    </w:p>
    <w:p w14:paraId="036CCC72" w14:textId="77777777" w:rsidR="00E91ECA" w:rsidRPr="009E0906" w:rsidRDefault="00E91ECA" w:rsidP="00E91ECA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</w:p>
    <w:bookmarkEnd w:id="0"/>
    <w:p w14:paraId="7FEBD2D4" w14:textId="77777777" w:rsidR="00E91ECA" w:rsidRDefault="00E91ECA" w:rsidP="00E91ECA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Reply to RAN1 </w:t>
      </w:r>
      <w:r w:rsidRPr="00D75448">
        <w:rPr>
          <w:rFonts w:ascii="Arial" w:hAnsi="Arial" w:cs="Arial"/>
        </w:rPr>
        <w:t xml:space="preserve">LS on </w:t>
      </w:r>
      <w:r>
        <w:rPr>
          <w:rFonts w:ascii="Arial" w:hAnsi="Arial" w:cs="Arial"/>
        </w:rPr>
        <w:t xml:space="preserve">L1/L2-Centric Inter-Cell Mobility </w:t>
      </w:r>
    </w:p>
    <w:p w14:paraId="15040FAC" w14:textId="77777777" w:rsidR="00E91ECA" w:rsidRDefault="00E91ECA" w:rsidP="00E91ECA">
      <w:pPr>
        <w:spacing w:after="60"/>
        <w:ind w:left="1985" w:hanging="1985"/>
        <w:rPr>
          <w:rFonts w:ascii="Arial" w:hAnsi="Arial" w:cs="Arial"/>
        </w:rPr>
      </w:pPr>
    </w:p>
    <w:p w14:paraId="57D9E850" w14:textId="77777777" w:rsidR="00E91ECA" w:rsidRPr="00792418" w:rsidRDefault="00E91ECA" w:rsidP="00E91ECA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R1-2102248 /</w:t>
      </w:r>
      <w:r w:rsidRPr="00F34D16">
        <w:t xml:space="preserve"> </w:t>
      </w:r>
      <w:r w:rsidRPr="00F34D16">
        <w:rPr>
          <w:rFonts w:ascii="Arial" w:hAnsi="Arial" w:cs="Arial"/>
          <w:bCs/>
        </w:rPr>
        <w:t>R4-2104455</w:t>
      </w:r>
    </w:p>
    <w:p w14:paraId="5DB2330E" w14:textId="77777777" w:rsidR="00E91ECA" w:rsidRPr="00792418" w:rsidRDefault="00E91ECA" w:rsidP="00E91ECA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Rel-1</w:t>
      </w:r>
      <w:r>
        <w:rPr>
          <w:rFonts w:ascii="Arial" w:hAnsi="Arial" w:cs="Arial"/>
          <w:bCs/>
        </w:rPr>
        <w:t>7</w:t>
      </w:r>
    </w:p>
    <w:p w14:paraId="185D92CE" w14:textId="333229F6" w:rsidR="00E91ECA" w:rsidRPr="00792418" w:rsidRDefault="00E91ECA" w:rsidP="00E91EC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Pr="00792418">
        <w:rPr>
          <w:rFonts w:ascii="Arial" w:hAnsi="Arial" w:cs="Arial"/>
          <w:b/>
        </w:rPr>
        <w:t xml:space="preserve"> Item:</w:t>
      </w:r>
      <w:r w:rsidRPr="00792418">
        <w:rPr>
          <w:rFonts w:ascii="Arial" w:hAnsi="Arial" w:cs="Arial"/>
          <w:bCs/>
        </w:rPr>
        <w:tab/>
      </w:r>
      <w:proofErr w:type="spellStart"/>
      <w:r w:rsidRPr="00A543E1">
        <w:rPr>
          <w:rFonts w:ascii="Arial" w:hAnsi="Arial" w:cs="Arial"/>
          <w:bCs/>
        </w:rPr>
        <w:t>NR_</w:t>
      </w:r>
      <w:r w:rsidR="00B60DB6">
        <w:rPr>
          <w:rFonts w:ascii="Arial" w:hAnsi="Arial" w:cs="Arial"/>
          <w:bCs/>
        </w:rPr>
        <w:t>f</w:t>
      </w:r>
      <w:r>
        <w:rPr>
          <w:rFonts w:ascii="Arial" w:hAnsi="Arial" w:cs="Arial"/>
          <w:bCs/>
        </w:rPr>
        <w:t>eMIMO</w:t>
      </w:r>
      <w:proofErr w:type="spellEnd"/>
      <w:r>
        <w:rPr>
          <w:rFonts w:ascii="Arial" w:hAnsi="Arial" w:cs="Arial"/>
          <w:bCs/>
        </w:rPr>
        <w:t>-Core</w:t>
      </w:r>
    </w:p>
    <w:p w14:paraId="58D59FD5" w14:textId="77777777" w:rsidR="00E91ECA" w:rsidRPr="00194B93" w:rsidRDefault="00E91ECA" w:rsidP="00E91ECA">
      <w:pPr>
        <w:spacing w:after="60"/>
        <w:ind w:left="1985" w:hanging="1985"/>
        <w:rPr>
          <w:rFonts w:ascii="Arial" w:hAnsi="Arial" w:cs="Arial"/>
          <w:b/>
        </w:rPr>
      </w:pPr>
    </w:p>
    <w:p w14:paraId="166194A9" w14:textId="77777777" w:rsidR="00E91ECA" w:rsidRPr="00010DEC" w:rsidRDefault="00E91ECA" w:rsidP="00E91ECA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 w:rsidRPr="001613AF">
        <w:rPr>
          <w:rFonts w:ascii="Arial" w:hAnsi="Arial" w:cs="Arial"/>
          <w:bCs/>
        </w:rPr>
        <w:tab/>
      </w:r>
      <w:r w:rsidRPr="00EA4229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4</w:t>
      </w:r>
    </w:p>
    <w:p w14:paraId="3890C88C" w14:textId="77777777" w:rsidR="00E91ECA" w:rsidRPr="00792418" w:rsidRDefault="00E91ECA" w:rsidP="00E91ECA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RAN1, RAN2</w:t>
      </w:r>
    </w:p>
    <w:p w14:paraId="256A82B2" w14:textId="77777777" w:rsidR="00E91ECA" w:rsidRPr="00792418" w:rsidRDefault="00E91ECA" w:rsidP="00E91ECA">
      <w:pPr>
        <w:spacing w:after="60"/>
        <w:ind w:left="1985" w:hanging="1985"/>
        <w:rPr>
          <w:rFonts w:ascii="Arial" w:hAnsi="Arial" w:cs="Arial"/>
          <w:bCs/>
        </w:rPr>
      </w:pPr>
    </w:p>
    <w:p w14:paraId="0224A65B" w14:textId="77777777" w:rsidR="00E91ECA" w:rsidRDefault="00E91ECA" w:rsidP="00E91EC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30EB3AB" w14:textId="7C388BB2" w:rsidR="00E91ECA" w:rsidRDefault="00E91ECA" w:rsidP="00E91ECA">
      <w:pPr>
        <w:pStyle w:val="Heading4"/>
        <w:tabs>
          <w:tab w:val="left" w:pos="2268"/>
        </w:tabs>
        <w:ind w:left="567"/>
        <w:rPr>
          <w:rFonts w:cs="Arial"/>
          <w:b/>
          <w:bCs/>
        </w:rPr>
      </w:pPr>
      <w:r>
        <w:rPr>
          <w:rFonts w:cs="Arial"/>
        </w:rPr>
        <w:t>Name:</w:t>
      </w:r>
      <w:r>
        <w:rPr>
          <w:rFonts w:cs="Arial"/>
          <w:bCs/>
        </w:rPr>
        <w:tab/>
      </w:r>
      <w:r w:rsidR="00C1182E">
        <w:rPr>
          <w:rFonts w:cs="Arial" w:hint="eastAsia"/>
          <w:bCs/>
          <w:lang w:eastAsia="zh-CN"/>
        </w:rPr>
        <w:t>Xutao</w:t>
      </w:r>
      <w:r w:rsidR="00C1182E">
        <w:rPr>
          <w:rFonts w:cs="Arial"/>
          <w:bCs/>
        </w:rPr>
        <w:t xml:space="preserve"> Zhou</w:t>
      </w:r>
      <w:r w:rsidR="00C1182E">
        <w:rPr>
          <w:rFonts w:cs="Arial"/>
          <w:bCs/>
        </w:rPr>
        <w:tab/>
      </w:r>
    </w:p>
    <w:p w14:paraId="760F9351" w14:textId="0D864D21" w:rsidR="00E91ECA" w:rsidRDefault="00E91ECA" w:rsidP="00E91ECA">
      <w:pPr>
        <w:pStyle w:val="Heading7"/>
        <w:tabs>
          <w:tab w:val="left" w:pos="2268"/>
        </w:tabs>
        <w:ind w:left="567"/>
        <w:rPr>
          <w:rFonts w:cs="Arial"/>
          <w:b/>
          <w:bCs/>
        </w:rPr>
      </w:pPr>
      <w:r w:rsidRPr="00CA1D84">
        <w:rPr>
          <w:rFonts w:cs="Arial"/>
        </w:rPr>
        <w:t>E-mail Address:</w:t>
      </w:r>
      <w:r w:rsidRPr="00CA1D84">
        <w:rPr>
          <w:rFonts w:cs="Arial"/>
          <w:bCs/>
        </w:rPr>
        <w:tab/>
      </w:r>
      <w:r w:rsidR="00C1182E">
        <w:rPr>
          <w:rFonts w:cs="Arial"/>
          <w:bCs/>
        </w:rPr>
        <w:t>xutao.zhou@samsung.com</w:t>
      </w:r>
    </w:p>
    <w:p w14:paraId="4E93865B" w14:textId="77777777" w:rsidR="00E91ECA" w:rsidRPr="001D21FA" w:rsidRDefault="00E91ECA" w:rsidP="00E91ECA">
      <w:pPr>
        <w:pBdr>
          <w:bottom w:val="single" w:sz="4" w:space="1" w:color="auto"/>
        </w:pBdr>
        <w:rPr>
          <w:rFonts w:ascii="Arial" w:hAnsi="Arial" w:cs="Arial"/>
        </w:rPr>
      </w:pPr>
    </w:p>
    <w:p w14:paraId="0C963BAF" w14:textId="77777777" w:rsidR="00E91ECA" w:rsidRDefault="00E91ECA" w:rsidP="00E91ECA">
      <w:pPr>
        <w:rPr>
          <w:rFonts w:ascii="Arial" w:hAnsi="Arial" w:cs="Arial"/>
        </w:rPr>
      </w:pPr>
    </w:p>
    <w:p w14:paraId="7A7C6E41" w14:textId="77777777" w:rsidR="00E91ECA" w:rsidRDefault="00E91ECA" w:rsidP="00E91E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29EB0F9" w14:textId="77777777" w:rsidR="00E91ECA" w:rsidRDefault="00E91ECA" w:rsidP="00E91ECA">
      <w:pPr>
        <w:snapToGrid w:val="0"/>
        <w:spacing w:afterLines="50" w:after="156"/>
      </w:pPr>
      <w:r>
        <w:t xml:space="preserve">In </w:t>
      </w:r>
      <w:r w:rsidRPr="00124673">
        <w:t xml:space="preserve">RAN1#104e meeting, RAN1 sent a LS (R4-2104455/R1-2102248) on TCI State Update for L1/L2-Centric Inter-Cell Mobility to RAN2/3/4 to ask issues of the support of L1/L2-centric inter-cell mobility. </w:t>
      </w:r>
      <w:r w:rsidR="0091672A">
        <w:t xml:space="preserve">In the LS, question 5 and 6 are related to RAN4. </w:t>
      </w:r>
    </w:p>
    <w:p w14:paraId="6CF7EF96" w14:textId="77777777" w:rsidR="00E91ECA" w:rsidRDefault="00E91ECA" w:rsidP="00E91ECA">
      <w:pPr>
        <w:snapToGrid w:val="0"/>
        <w:spacing w:afterLines="50" w:after="156"/>
        <w:rPr>
          <w:szCs w:val="22"/>
        </w:rPr>
      </w:pPr>
      <w:r>
        <w:rPr>
          <w:b/>
          <w:bCs/>
          <w:szCs w:val="22"/>
        </w:rPr>
        <w:t>Question 5</w:t>
      </w:r>
      <w:r w:rsidRPr="00983833">
        <w:rPr>
          <w:szCs w:val="22"/>
        </w:rPr>
        <w:t>:</w:t>
      </w:r>
      <w:r>
        <w:rPr>
          <w:szCs w:val="22"/>
        </w:rPr>
        <w:t xml:space="preserve"> In regard of CA issues, RAN1 is discussing whether the operation is supported only for intra-band CA scenario (i.e. UE is configured to operate with serving and non-serving cells that belong to the same frequency band) or for both intra-band CA and inter-band CA scenarios. Note that </w:t>
      </w:r>
      <w:r>
        <w:rPr>
          <w:szCs w:val="28"/>
        </w:rPr>
        <w:t>one common</w:t>
      </w:r>
      <w:r w:rsidRPr="00E204A5">
        <w:rPr>
          <w:szCs w:val="28"/>
        </w:rPr>
        <w:t xml:space="preserve"> TCI state </w:t>
      </w:r>
      <w:r>
        <w:rPr>
          <w:szCs w:val="28"/>
        </w:rPr>
        <w:t xml:space="preserve">ID </w:t>
      </w:r>
      <w:r w:rsidRPr="00E204A5">
        <w:rPr>
          <w:szCs w:val="28"/>
        </w:rPr>
        <w:t>assoc</w:t>
      </w:r>
      <w:r>
        <w:rPr>
          <w:szCs w:val="28"/>
        </w:rPr>
        <w:t>iated with a non-serving cell, if supported, may be</w:t>
      </w:r>
      <w:r w:rsidRPr="00E204A5">
        <w:rPr>
          <w:szCs w:val="28"/>
        </w:rPr>
        <w:t xml:space="preserve"> </w:t>
      </w:r>
      <w:r>
        <w:rPr>
          <w:szCs w:val="28"/>
        </w:rPr>
        <w:t xml:space="preserve">optionally </w:t>
      </w:r>
      <w:r w:rsidRPr="00E204A5">
        <w:rPr>
          <w:szCs w:val="28"/>
        </w:rPr>
        <w:t>applied for CCs in a band</w:t>
      </w:r>
      <w:r>
        <w:rPr>
          <w:szCs w:val="28"/>
        </w:rPr>
        <w:t>.</w:t>
      </w:r>
    </w:p>
    <w:p w14:paraId="7EAF30FE" w14:textId="1228E1A5" w:rsidR="00E91ECA" w:rsidRPr="00153DB3" w:rsidRDefault="00E91ECA" w:rsidP="00E91ECA">
      <w:pPr>
        <w:pStyle w:val="ListParagraph"/>
        <w:numPr>
          <w:ilvl w:val="0"/>
          <w:numId w:val="2"/>
        </w:numPr>
        <w:overflowPunct/>
        <w:autoSpaceDE/>
        <w:autoSpaceDN/>
        <w:adjustRightInd/>
        <w:snapToGrid w:val="0"/>
        <w:spacing w:afterLines="50" w:after="156" w:line="240" w:lineRule="auto"/>
        <w:textAlignment w:val="auto"/>
        <w:rPr>
          <w:szCs w:val="22"/>
        </w:rPr>
      </w:pPr>
      <w:r>
        <w:rPr>
          <w:szCs w:val="22"/>
        </w:rPr>
        <w:t>A</w:t>
      </w:r>
      <w:r w:rsidRPr="00E204A5">
        <w:rPr>
          <w:szCs w:val="22"/>
        </w:rPr>
        <w:t xml:space="preserve">re there specific </w:t>
      </w:r>
      <w:r>
        <w:rPr>
          <w:szCs w:val="22"/>
          <w:lang w:val="en-US"/>
        </w:rPr>
        <w:t xml:space="preserve">RAN2/4 </w:t>
      </w:r>
      <w:r w:rsidRPr="00E204A5">
        <w:rPr>
          <w:szCs w:val="22"/>
        </w:rPr>
        <w:t xml:space="preserve">issues (including </w:t>
      </w:r>
      <w:r w:rsidRPr="00E204A5">
        <w:rPr>
          <w:szCs w:val="28"/>
        </w:rPr>
        <w:t xml:space="preserve">higher-layer impact) that need to be considered </w:t>
      </w:r>
      <w:r>
        <w:rPr>
          <w:szCs w:val="28"/>
          <w:lang w:val="en-US"/>
        </w:rPr>
        <w:t>for deciding between the two alternatives</w:t>
      </w:r>
      <w:r w:rsidRPr="00E204A5">
        <w:rPr>
          <w:szCs w:val="28"/>
        </w:rPr>
        <w:t xml:space="preserve">? </w:t>
      </w:r>
    </w:p>
    <w:p w14:paraId="21F788DF" w14:textId="77777777" w:rsidR="00E91ECA" w:rsidRDefault="00E91ECA" w:rsidP="00E91ECA">
      <w:pPr>
        <w:snapToGrid w:val="0"/>
        <w:spacing w:afterLines="50" w:after="156"/>
        <w:rPr>
          <w:b/>
          <w:szCs w:val="22"/>
        </w:rPr>
      </w:pPr>
      <w:r w:rsidRPr="00E85688">
        <w:rPr>
          <w:b/>
          <w:szCs w:val="22"/>
        </w:rPr>
        <w:t>RAN4 reply to Question 5</w:t>
      </w:r>
      <w:r>
        <w:rPr>
          <w:rFonts w:hint="eastAsia"/>
          <w:b/>
          <w:szCs w:val="22"/>
        </w:rPr>
        <w:t>:</w:t>
      </w:r>
    </w:p>
    <w:p w14:paraId="304A8B95" w14:textId="456532E3" w:rsidR="00E91ECA" w:rsidRDefault="00E91ECA" w:rsidP="00E91ECA">
      <w:pPr>
        <w:snapToGrid w:val="0"/>
        <w:spacing w:afterLines="50" w:after="156"/>
      </w:pPr>
      <w:r>
        <w:lastRenderedPageBreak/>
        <w:t xml:space="preserve">RAN4 would like to ask the following clarification questions for RAN4 to further </w:t>
      </w:r>
      <w:r w:rsidR="00A9498D">
        <w:t xml:space="preserve">respond to </w:t>
      </w:r>
      <w:r>
        <w:t>the question related to RAN4</w:t>
      </w:r>
      <w:r w:rsidR="00B625DB">
        <w:t>.</w:t>
      </w:r>
    </w:p>
    <w:p w14:paraId="36D9B24A" w14:textId="1C25D973" w:rsidR="00E91ECA" w:rsidRPr="00E91ECA" w:rsidRDefault="00E91ECA" w:rsidP="00E91ECA">
      <w:pPr>
        <w:pStyle w:val="ListParagraph"/>
        <w:numPr>
          <w:ilvl w:val="0"/>
          <w:numId w:val="4"/>
        </w:numPr>
      </w:pPr>
      <w:r w:rsidRPr="00E91ECA">
        <w:t>It is RAN4 common understanding that</w:t>
      </w:r>
      <w:r w:rsidR="000740D5">
        <w:t xml:space="preserve"> for the</w:t>
      </w:r>
      <w:r w:rsidRPr="00E91ECA">
        <w:t xml:space="preserve"> intra-band CA scenario the primary serving cell and secondary serving cell(s) belong to the same frequency band, rather than the serving and non-serving cells belong to the same frequency band as described in the question. </w:t>
      </w:r>
      <w:r w:rsidR="00C1182E" w:rsidRPr="00E52EBC">
        <w:t>Likewise intra-band CA explanation, for inter-band CA case a serving cell and secondary serving cell(s) belong to different frequency bands rather than the serving and non-serving cells.</w:t>
      </w:r>
      <w:r w:rsidR="00C1182E" w:rsidDel="00C1182E">
        <w:t xml:space="preserve"> </w:t>
      </w:r>
      <w:r w:rsidR="00486B5C">
        <w:t>C</w:t>
      </w:r>
      <w:r w:rsidR="00C1182E">
        <w:t>an</w:t>
      </w:r>
      <w:r w:rsidR="000740D5">
        <w:t xml:space="preserve"> </w:t>
      </w:r>
      <w:r w:rsidRPr="00E91ECA">
        <w:t xml:space="preserve">RAN1 </w:t>
      </w:r>
      <w:r w:rsidR="000740D5">
        <w:t>p</w:t>
      </w:r>
      <w:r w:rsidR="000740D5" w:rsidRPr="00E91ECA">
        <w:t xml:space="preserve">lease </w:t>
      </w:r>
      <w:r w:rsidRPr="00E91ECA">
        <w:t>further clarify the intra-band/inter-band scenarios based on above RAN4 common understanding</w:t>
      </w:r>
      <w:r w:rsidR="000740D5">
        <w:t>?</w:t>
      </w:r>
    </w:p>
    <w:p w14:paraId="58998E95" w14:textId="59905572" w:rsidR="00E91ECA" w:rsidRPr="00E91ECA" w:rsidRDefault="00E91ECA" w:rsidP="00E91ECA">
      <w:pPr>
        <w:pStyle w:val="ListParagraph"/>
        <w:numPr>
          <w:ilvl w:val="0"/>
          <w:numId w:val="4"/>
        </w:numPr>
      </w:pPr>
      <w:r w:rsidRPr="00E91ECA">
        <w:t xml:space="preserve">RAN4 would like </w:t>
      </w:r>
      <w:r w:rsidR="00307AA6">
        <w:t xml:space="preserve">RAN1 </w:t>
      </w:r>
      <w:r w:rsidRPr="00E91ECA">
        <w:t xml:space="preserve">to clarify whether </w:t>
      </w:r>
      <w:r w:rsidR="00AB0526">
        <w:t>“</w:t>
      </w:r>
      <w:r w:rsidRPr="00E91ECA">
        <w:t>the operation</w:t>
      </w:r>
      <w:r w:rsidR="00AB0526">
        <w:t>”</w:t>
      </w:r>
      <w:r w:rsidRPr="00E91ECA">
        <w:t xml:space="preserve"> in question 5 </w:t>
      </w:r>
      <w:r w:rsidR="005A3E75">
        <w:t>refers</w:t>
      </w:r>
      <w:r w:rsidRPr="00E91ECA">
        <w:t xml:space="preserve"> to only L1/L2-centric inter-cell mobility or both inter-cell mobility and inter-cell </w:t>
      </w:r>
      <w:proofErr w:type="spellStart"/>
      <w:r w:rsidRPr="00E91ECA">
        <w:t>mTRP</w:t>
      </w:r>
      <w:proofErr w:type="spellEnd"/>
      <w:r w:rsidRPr="00E91ECA">
        <w:t xml:space="preserve"> operations</w:t>
      </w:r>
      <w:r w:rsidR="009220CD">
        <w:t xml:space="preserve">. Does RAN4 need to consider inter-cell </w:t>
      </w:r>
      <w:proofErr w:type="spellStart"/>
      <w:r w:rsidR="009220CD">
        <w:t>mTRP</w:t>
      </w:r>
      <w:proofErr w:type="spellEnd"/>
      <w:r w:rsidR="009220CD">
        <w:t xml:space="preserve"> operation into the “CA scenario” of Question 5?</w:t>
      </w:r>
    </w:p>
    <w:p w14:paraId="15FFD1D5" w14:textId="32482AA4" w:rsidR="00E91ECA" w:rsidRPr="00E91ECA" w:rsidRDefault="00E91ECA" w:rsidP="00E91ECA">
      <w:pPr>
        <w:pStyle w:val="ListParagraph"/>
        <w:numPr>
          <w:ilvl w:val="0"/>
          <w:numId w:val="4"/>
        </w:numPr>
      </w:pPr>
      <w:r w:rsidRPr="00E91ECA">
        <w:t xml:space="preserve">RAN4 also </w:t>
      </w:r>
      <w:r w:rsidR="00307AA6">
        <w:t>w</w:t>
      </w:r>
      <w:r w:rsidR="00307AA6" w:rsidRPr="00E91ECA">
        <w:t xml:space="preserve">ould </w:t>
      </w:r>
      <w:r w:rsidRPr="00E91ECA">
        <w:t xml:space="preserve">like </w:t>
      </w:r>
      <w:r w:rsidR="00307AA6" w:rsidRPr="00E91ECA">
        <w:t xml:space="preserve">RAN1 and RAN2 </w:t>
      </w:r>
      <w:r w:rsidRPr="00E91ECA">
        <w:t xml:space="preserve">to further clarify on the definition of non-serving cell especially </w:t>
      </w:r>
      <w:r w:rsidR="00307AA6">
        <w:t>w</w:t>
      </w:r>
      <w:r w:rsidR="00307AA6" w:rsidRPr="00E91ECA">
        <w:t xml:space="preserve">hether </w:t>
      </w:r>
      <w:r w:rsidRPr="00E91ECA">
        <w:t>UE shall support data/control channel reception and transmission from non-serving cell</w:t>
      </w:r>
      <w:r w:rsidR="00A761B2">
        <w:t xml:space="preserve"> including </w:t>
      </w:r>
      <w:bookmarkStart w:id="1" w:name="_Hlk72938458"/>
      <w:r w:rsidR="00A761B2">
        <w:t xml:space="preserve">simultaneous </w:t>
      </w:r>
      <w:r w:rsidR="00A761B2" w:rsidRPr="00E91ECA">
        <w:t>reception and transmission</w:t>
      </w:r>
      <w:r w:rsidR="00A761B2">
        <w:t xml:space="preserve"> capabilities under CA scenarios</w:t>
      </w:r>
      <w:r w:rsidR="00904E96">
        <w:t>.</w:t>
      </w:r>
      <w:r w:rsidRPr="00E91ECA">
        <w:t xml:space="preserve"> </w:t>
      </w:r>
    </w:p>
    <w:bookmarkEnd w:id="1"/>
    <w:p w14:paraId="12219AD8" w14:textId="58B544B0" w:rsidR="00E91ECA" w:rsidRPr="00E91ECA" w:rsidRDefault="00E91ECA" w:rsidP="00E91ECA">
      <w:pPr>
        <w:rPr>
          <w:szCs w:val="22"/>
        </w:rPr>
      </w:pPr>
      <w:r w:rsidRPr="00E91ECA">
        <w:rPr>
          <w:szCs w:val="22"/>
        </w:rPr>
        <w:t xml:space="preserve">It is RAN4 understanding </w:t>
      </w:r>
      <w:r>
        <w:rPr>
          <w:szCs w:val="22"/>
        </w:rPr>
        <w:t xml:space="preserve">that </w:t>
      </w:r>
      <w:r w:rsidRPr="00E91ECA">
        <w:rPr>
          <w:szCs w:val="22"/>
        </w:rPr>
        <w:t xml:space="preserve">the response to question 5 are related to above clarification questions. RAN4 will further </w:t>
      </w:r>
      <w:r w:rsidR="002E48E0">
        <w:rPr>
          <w:szCs w:val="22"/>
        </w:rPr>
        <w:t>respond to</w:t>
      </w:r>
      <w:r w:rsidR="002E48E0" w:rsidRPr="00E91ECA">
        <w:rPr>
          <w:szCs w:val="22"/>
        </w:rPr>
        <w:t xml:space="preserve"> </w:t>
      </w:r>
      <w:r w:rsidRPr="00E91ECA">
        <w:rPr>
          <w:szCs w:val="22"/>
        </w:rPr>
        <w:t>question 5 after receiving the feedback from RAN1 and RAN2 on above questions</w:t>
      </w:r>
      <w:r w:rsidR="002E48E0">
        <w:rPr>
          <w:szCs w:val="22"/>
        </w:rPr>
        <w:t>.</w:t>
      </w:r>
    </w:p>
    <w:p w14:paraId="2E3E085E" w14:textId="77777777" w:rsidR="00E91ECA" w:rsidRPr="00E91ECA" w:rsidRDefault="00E91ECA" w:rsidP="00E91ECA">
      <w:pPr>
        <w:snapToGrid w:val="0"/>
        <w:spacing w:afterLines="50" w:after="156"/>
        <w:rPr>
          <w:szCs w:val="22"/>
        </w:rPr>
      </w:pPr>
    </w:p>
    <w:p w14:paraId="1CD3C4F5" w14:textId="77777777" w:rsidR="00E91ECA" w:rsidRDefault="00E91ECA" w:rsidP="00E91ECA">
      <w:pPr>
        <w:snapToGrid w:val="0"/>
        <w:spacing w:afterLines="50" w:after="156"/>
        <w:rPr>
          <w:szCs w:val="28"/>
        </w:rPr>
      </w:pPr>
      <w:r>
        <w:rPr>
          <w:b/>
          <w:bCs/>
          <w:szCs w:val="22"/>
        </w:rPr>
        <w:t>Question 6</w:t>
      </w:r>
      <w:r w:rsidRPr="00983833">
        <w:rPr>
          <w:szCs w:val="22"/>
        </w:rPr>
        <w:t>:</w:t>
      </w:r>
      <w:r>
        <w:rPr>
          <w:szCs w:val="22"/>
        </w:rPr>
        <w:t xml:space="preserve"> In regard of inter-frequency issues, from RAN2/4 perspective, what would be the </w:t>
      </w:r>
      <w:r>
        <w:rPr>
          <w:szCs w:val="28"/>
        </w:rPr>
        <w:t>h</w:t>
      </w:r>
      <w:r w:rsidRPr="008C65D9">
        <w:rPr>
          <w:szCs w:val="28"/>
        </w:rPr>
        <w:t xml:space="preserve">igher-layer </w:t>
      </w:r>
      <w:r>
        <w:rPr>
          <w:szCs w:val="28"/>
        </w:rPr>
        <w:t xml:space="preserve">and RRM </w:t>
      </w:r>
      <w:r w:rsidRPr="008C65D9">
        <w:rPr>
          <w:szCs w:val="28"/>
        </w:rPr>
        <w:t xml:space="preserve">impact </w:t>
      </w:r>
      <w:r>
        <w:rPr>
          <w:szCs w:val="28"/>
        </w:rPr>
        <w:t xml:space="preserve">assuming </w:t>
      </w:r>
      <w:r w:rsidRPr="00F91F8C">
        <w:rPr>
          <w:szCs w:val="28"/>
        </w:rPr>
        <w:t>int</w:t>
      </w:r>
      <w:r>
        <w:rPr>
          <w:szCs w:val="28"/>
        </w:rPr>
        <w:t>er</w:t>
      </w:r>
      <w:r w:rsidRPr="00F91F8C">
        <w:rPr>
          <w:szCs w:val="28"/>
        </w:rPr>
        <w:t xml:space="preserve">-frequency </w:t>
      </w:r>
      <w:r w:rsidRPr="00D83D80">
        <w:rPr>
          <w:szCs w:val="22"/>
        </w:rPr>
        <w:t xml:space="preserve">scenarios </w:t>
      </w:r>
      <w:r w:rsidRPr="00F91F8C">
        <w:rPr>
          <w:szCs w:val="28"/>
        </w:rPr>
        <w:t>as opposed to int</w:t>
      </w:r>
      <w:r>
        <w:rPr>
          <w:szCs w:val="28"/>
        </w:rPr>
        <w:t>ra</w:t>
      </w:r>
      <w:r w:rsidRPr="00F91F8C">
        <w:rPr>
          <w:szCs w:val="28"/>
        </w:rPr>
        <w:t>-frequency</w:t>
      </w:r>
      <w:r>
        <w:rPr>
          <w:szCs w:val="28"/>
        </w:rPr>
        <w:t xml:space="preserve"> scenarios?</w:t>
      </w:r>
      <w:r w:rsidRPr="00F91F8C">
        <w:rPr>
          <w:szCs w:val="28"/>
        </w:rPr>
        <w:t xml:space="preserve"> </w:t>
      </w:r>
      <w:r>
        <w:rPr>
          <w:szCs w:val="28"/>
        </w:rPr>
        <w:t xml:space="preserve">For intra-frequency scenario, it is assumed that </w:t>
      </w:r>
      <w:r w:rsidRPr="00BF38B4">
        <w:rPr>
          <w:szCs w:val="28"/>
        </w:rPr>
        <w:t xml:space="preserve">SSBs of non-serving cells have the same </w:t>
      </w:r>
      <w:proofErr w:type="spellStart"/>
      <w:r w:rsidRPr="00BF38B4">
        <w:rPr>
          <w:szCs w:val="28"/>
        </w:rPr>
        <w:t>center</w:t>
      </w:r>
      <w:proofErr w:type="spellEnd"/>
      <w:r w:rsidRPr="00BF38B4">
        <w:rPr>
          <w:szCs w:val="28"/>
        </w:rPr>
        <w:t xml:space="preserve"> frequency and SCS as the SSBs of the serving cell</w:t>
      </w:r>
      <w:r>
        <w:rPr>
          <w:szCs w:val="28"/>
        </w:rPr>
        <w:t>.</w:t>
      </w:r>
    </w:p>
    <w:p w14:paraId="0337B76F" w14:textId="77777777" w:rsidR="00E91ECA" w:rsidRPr="00153DB3" w:rsidRDefault="00E91ECA" w:rsidP="00E91ECA">
      <w:pPr>
        <w:pStyle w:val="ListParagraph"/>
        <w:numPr>
          <w:ilvl w:val="0"/>
          <w:numId w:val="1"/>
        </w:numPr>
        <w:overflowPunct/>
        <w:autoSpaceDE/>
        <w:autoSpaceDN/>
        <w:adjustRightInd/>
        <w:snapToGrid w:val="0"/>
        <w:spacing w:afterLines="50" w:after="156" w:line="240" w:lineRule="auto"/>
        <w:textAlignment w:val="auto"/>
        <w:rPr>
          <w:szCs w:val="28"/>
        </w:rPr>
      </w:pPr>
      <w:r>
        <w:rPr>
          <w:szCs w:val="28"/>
          <w:lang w:val="en-US"/>
        </w:rPr>
        <w:t xml:space="preserve">Note: </w:t>
      </w:r>
      <w:r w:rsidRPr="00F75C75">
        <w:rPr>
          <w:szCs w:val="22"/>
        </w:rPr>
        <w:t xml:space="preserve">RAN1 has agreed to support intra-frequency scenarios, whereas </w:t>
      </w:r>
      <w:r w:rsidRPr="00F75C75">
        <w:rPr>
          <w:szCs w:val="22"/>
          <w:lang w:val="en-US"/>
        </w:rPr>
        <w:t xml:space="preserve">the support for </w:t>
      </w:r>
      <w:r w:rsidRPr="00F75C75">
        <w:rPr>
          <w:szCs w:val="22"/>
        </w:rPr>
        <w:t xml:space="preserve">inter-frequency scenarios </w:t>
      </w:r>
      <w:r w:rsidRPr="00F75C75">
        <w:rPr>
          <w:szCs w:val="22"/>
          <w:lang w:val="en-US"/>
        </w:rPr>
        <w:t>is still for further study.</w:t>
      </w:r>
    </w:p>
    <w:p w14:paraId="0B84DB4B" w14:textId="77777777" w:rsidR="00E91ECA" w:rsidRDefault="00E91ECA" w:rsidP="00E91ECA">
      <w:pPr>
        <w:snapToGrid w:val="0"/>
        <w:spacing w:afterLines="50" w:after="156"/>
        <w:rPr>
          <w:b/>
          <w:szCs w:val="22"/>
        </w:rPr>
      </w:pPr>
    </w:p>
    <w:p w14:paraId="02DD880C" w14:textId="77777777" w:rsidR="00E91ECA" w:rsidRDefault="00E91ECA" w:rsidP="00E91ECA">
      <w:pPr>
        <w:snapToGrid w:val="0"/>
        <w:spacing w:afterLines="50" w:after="156"/>
        <w:rPr>
          <w:b/>
          <w:szCs w:val="22"/>
        </w:rPr>
      </w:pPr>
      <w:r w:rsidRPr="00E85688">
        <w:rPr>
          <w:b/>
          <w:szCs w:val="22"/>
        </w:rPr>
        <w:t xml:space="preserve">RAN4 reply to Question </w:t>
      </w:r>
      <w:r>
        <w:rPr>
          <w:b/>
          <w:szCs w:val="22"/>
        </w:rPr>
        <w:t>6</w:t>
      </w:r>
      <w:r>
        <w:rPr>
          <w:rFonts w:hint="eastAsia"/>
          <w:b/>
          <w:szCs w:val="22"/>
        </w:rPr>
        <w:t>:</w:t>
      </w:r>
    </w:p>
    <w:p w14:paraId="07B8D685" w14:textId="20C4D748" w:rsidR="00E91ECA" w:rsidRPr="00983833" w:rsidRDefault="00E91ECA" w:rsidP="00E91ECA">
      <w:pPr>
        <w:tabs>
          <w:tab w:val="left" w:pos="3807"/>
          <w:tab w:val="center" w:pos="4932"/>
        </w:tabs>
        <w:spacing w:beforeLines="100" w:before="312" w:afterLines="50" w:after="156"/>
        <w:rPr>
          <w:szCs w:val="22"/>
        </w:rPr>
      </w:pPr>
      <w:r w:rsidRPr="00E91ECA">
        <w:rPr>
          <w:szCs w:val="22"/>
        </w:rPr>
        <w:t xml:space="preserve">It is RAN4 understanding that inter-frequency measurement may require measurement gap. Even for gap-less inter-frequency measurement, inter-frequency measurements are </w:t>
      </w:r>
      <w:r w:rsidR="00721912">
        <w:rPr>
          <w:szCs w:val="22"/>
        </w:rPr>
        <w:t xml:space="preserve">performed </w:t>
      </w:r>
      <w:r w:rsidRPr="00E91ECA">
        <w:rPr>
          <w:szCs w:val="22"/>
        </w:rPr>
        <w:t xml:space="preserve">one carrier by one carrier. This may lead to </w:t>
      </w:r>
      <w:r w:rsidR="00B94F5F">
        <w:rPr>
          <w:szCs w:val="22"/>
        </w:rPr>
        <w:t xml:space="preserve">a </w:t>
      </w:r>
      <w:r w:rsidRPr="00E91ECA">
        <w:rPr>
          <w:szCs w:val="22"/>
        </w:rPr>
        <w:t xml:space="preserve">longer measurement period </w:t>
      </w:r>
      <w:r w:rsidR="00B94F5F" w:rsidRPr="00E91ECA">
        <w:rPr>
          <w:szCs w:val="22"/>
        </w:rPr>
        <w:t>compar</w:t>
      </w:r>
      <w:r w:rsidR="00B94F5F">
        <w:rPr>
          <w:szCs w:val="22"/>
        </w:rPr>
        <w:t>ed</w:t>
      </w:r>
      <w:r w:rsidR="00B94F5F" w:rsidRPr="00E91ECA">
        <w:rPr>
          <w:szCs w:val="22"/>
        </w:rPr>
        <w:t xml:space="preserve"> </w:t>
      </w:r>
      <w:r w:rsidRPr="00E91ECA">
        <w:rPr>
          <w:szCs w:val="22"/>
        </w:rPr>
        <w:t xml:space="preserve">with intra-frequency measurement. </w:t>
      </w:r>
      <w:r w:rsidRPr="00E91ECA">
        <w:rPr>
          <w:rFonts w:hint="eastAsia"/>
          <w:szCs w:val="22"/>
        </w:rPr>
        <w:t>A</w:t>
      </w:r>
      <w:r w:rsidRPr="00E91ECA">
        <w:rPr>
          <w:szCs w:val="22"/>
        </w:rPr>
        <w:t xml:space="preserve">lso, RAN4 </w:t>
      </w:r>
      <w:r w:rsidR="00307AA6" w:rsidRPr="00E91ECA">
        <w:rPr>
          <w:szCs w:val="22"/>
        </w:rPr>
        <w:t>identif</w:t>
      </w:r>
      <w:r w:rsidR="00307AA6">
        <w:rPr>
          <w:szCs w:val="22"/>
        </w:rPr>
        <w:t>ied that</w:t>
      </w:r>
      <w:r w:rsidR="00307AA6" w:rsidRPr="00E91ECA">
        <w:rPr>
          <w:szCs w:val="22"/>
        </w:rPr>
        <w:t xml:space="preserve"> </w:t>
      </w:r>
      <w:r w:rsidRPr="00E91ECA">
        <w:rPr>
          <w:szCs w:val="22"/>
        </w:rPr>
        <w:t xml:space="preserve">the SMTC, reference timing, TCI switching delay may also be different for inter-frequency </w:t>
      </w:r>
      <w:r w:rsidR="00B94F5F" w:rsidRPr="00E91ECA">
        <w:rPr>
          <w:szCs w:val="22"/>
        </w:rPr>
        <w:t>compar</w:t>
      </w:r>
      <w:r w:rsidR="00B94F5F">
        <w:rPr>
          <w:szCs w:val="22"/>
        </w:rPr>
        <w:t>ed</w:t>
      </w:r>
      <w:r w:rsidR="00B94F5F" w:rsidRPr="00E91ECA">
        <w:rPr>
          <w:szCs w:val="22"/>
        </w:rPr>
        <w:t xml:space="preserve"> </w:t>
      </w:r>
      <w:r w:rsidR="000740D5">
        <w:rPr>
          <w:szCs w:val="22"/>
        </w:rPr>
        <w:t>to</w:t>
      </w:r>
      <w:r w:rsidR="000740D5" w:rsidRPr="00E91ECA">
        <w:rPr>
          <w:szCs w:val="22"/>
        </w:rPr>
        <w:t xml:space="preserve"> </w:t>
      </w:r>
      <w:r w:rsidRPr="00E91ECA">
        <w:rPr>
          <w:szCs w:val="22"/>
        </w:rPr>
        <w:t>intra-frequency measurement</w:t>
      </w:r>
      <w:r w:rsidR="00060B40">
        <w:rPr>
          <w:szCs w:val="22"/>
        </w:rPr>
        <w:t>.</w:t>
      </w:r>
      <w:r w:rsidR="00956C16">
        <w:rPr>
          <w:szCs w:val="22"/>
        </w:rPr>
        <w:t xml:space="preserve"> </w:t>
      </w:r>
      <w:r w:rsidR="00D179C5">
        <w:rPr>
          <w:szCs w:val="22"/>
        </w:rPr>
        <w:t>I</w:t>
      </w:r>
      <w:r w:rsidR="00D179C5" w:rsidRPr="00E52EBC">
        <w:rPr>
          <w:szCs w:val="22"/>
        </w:rPr>
        <w:t xml:space="preserve">t is RAN4 understanding that additional requirements for inter-frequency </w:t>
      </w:r>
      <w:r w:rsidR="00D179C5" w:rsidRPr="00E52EBC">
        <w:rPr>
          <w:szCs w:val="22"/>
        </w:rPr>
        <w:lastRenderedPageBreak/>
        <w:t>measurement have to be defined considering above aspects</w:t>
      </w:r>
      <w:r w:rsidR="00C1182E">
        <w:rPr>
          <w:szCs w:val="22"/>
        </w:rPr>
        <w:t xml:space="preserve"> </w:t>
      </w:r>
      <w:r w:rsidR="00D179C5" w:rsidRPr="00E52EBC">
        <w:rPr>
          <w:szCs w:val="22"/>
        </w:rPr>
        <w:t>if inter-frequency measurement is supported in R</w:t>
      </w:r>
      <w:r w:rsidR="00486B5C">
        <w:rPr>
          <w:szCs w:val="22"/>
        </w:rPr>
        <w:t>el</w:t>
      </w:r>
      <w:r w:rsidR="00D179C5" w:rsidRPr="00E52EBC">
        <w:rPr>
          <w:szCs w:val="22"/>
        </w:rPr>
        <w:t>-17</w:t>
      </w:r>
      <w:r w:rsidR="00796C60">
        <w:rPr>
          <w:szCs w:val="22"/>
        </w:rPr>
        <w:t xml:space="preserve">. </w:t>
      </w:r>
    </w:p>
    <w:p w14:paraId="590A704E" w14:textId="77777777" w:rsidR="00E91ECA" w:rsidRDefault="00E91ECA" w:rsidP="00E91E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0834EEA" w14:textId="77777777" w:rsidR="00E91ECA" w:rsidRDefault="00E91ECA" w:rsidP="00E91ECA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 RAN1, RAN2</w:t>
      </w:r>
    </w:p>
    <w:p w14:paraId="4877263F" w14:textId="77777777" w:rsidR="00E91ECA" w:rsidRDefault="00E91ECA" w:rsidP="00E91ECA">
      <w:pPr>
        <w:ind w:left="993" w:hanging="993"/>
        <w:rPr>
          <w:iCs/>
          <w:szCs w:val="22"/>
          <w:lang w:eastAsia="ko-KR"/>
        </w:rPr>
      </w:pPr>
      <w:r>
        <w:rPr>
          <w:rFonts w:ascii="Arial" w:hAnsi="Arial" w:cs="Arial"/>
          <w:b/>
        </w:rPr>
        <w:t xml:space="preserve">ACTION: </w:t>
      </w:r>
      <w:r w:rsidRPr="00E91ECA">
        <w:rPr>
          <w:iCs/>
          <w:szCs w:val="22"/>
          <w:lang w:eastAsia="ko-KR"/>
        </w:rPr>
        <w:t xml:space="preserve">For question 5, </w:t>
      </w:r>
      <w:r>
        <w:rPr>
          <w:iCs/>
          <w:szCs w:val="22"/>
          <w:lang w:eastAsia="ko-KR"/>
        </w:rPr>
        <w:t xml:space="preserve">RAN4 respectfully asks if RAN1 and RAN2 could provide </w:t>
      </w:r>
      <w:r w:rsidR="0091672A">
        <w:rPr>
          <w:iCs/>
          <w:szCs w:val="22"/>
          <w:lang w:eastAsia="ko-KR"/>
        </w:rPr>
        <w:t>feedback on the clarification questions</w:t>
      </w:r>
      <w:r>
        <w:rPr>
          <w:iCs/>
          <w:szCs w:val="22"/>
          <w:lang w:eastAsia="ko-KR"/>
        </w:rPr>
        <w:t xml:space="preserve">. </w:t>
      </w:r>
      <w:r w:rsidRPr="00E91ECA">
        <w:rPr>
          <w:iCs/>
          <w:szCs w:val="22"/>
          <w:lang w:eastAsia="ko-KR"/>
        </w:rPr>
        <w:t xml:space="preserve">For question 6, </w:t>
      </w:r>
      <w:r w:rsidRPr="00790892">
        <w:rPr>
          <w:iCs/>
          <w:szCs w:val="22"/>
          <w:lang w:eastAsia="ko-KR"/>
        </w:rPr>
        <w:t>RAN</w:t>
      </w:r>
      <w:r>
        <w:rPr>
          <w:iCs/>
          <w:szCs w:val="22"/>
          <w:lang w:eastAsia="ko-KR"/>
        </w:rPr>
        <w:t>4</w:t>
      </w:r>
      <w:r w:rsidRPr="00790892">
        <w:rPr>
          <w:iCs/>
          <w:szCs w:val="22"/>
          <w:lang w:eastAsia="ko-KR"/>
        </w:rPr>
        <w:t xml:space="preserve"> respectfully asks RAN</w:t>
      </w:r>
      <w:r>
        <w:rPr>
          <w:iCs/>
          <w:szCs w:val="22"/>
          <w:lang w:eastAsia="ko-KR"/>
        </w:rPr>
        <w:t>1</w:t>
      </w:r>
      <w:r w:rsidRPr="00790892">
        <w:rPr>
          <w:iCs/>
          <w:szCs w:val="22"/>
          <w:lang w:eastAsia="ko-KR"/>
        </w:rPr>
        <w:t xml:space="preserve"> to </w:t>
      </w:r>
      <w:r>
        <w:rPr>
          <w:iCs/>
          <w:szCs w:val="22"/>
          <w:lang w:eastAsia="ko-KR"/>
        </w:rPr>
        <w:t xml:space="preserve">take the RAN4 reply into consideration. </w:t>
      </w:r>
    </w:p>
    <w:p w14:paraId="1E03246B" w14:textId="77777777" w:rsidR="00E91ECA" w:rsidRPr="00036043" w:rsidRDefault="00E91ECA" w:rsidP="00E91ECA">
      <w:pPr>
        <w:ind w:left="993" w:hanging="993"/>
        <w:rPr>
          <w:rFonts w:ascii="Arial" w:hAnsi="Arial" w:cs="Arial"/>
        </w:rPr>
      </w:pPr>
    </w:p>
    <w:p w14:paraId="7998E087" w14:textId="77777777" w:rsidR="00E91ECA" w:rsidRPr="007321CD" w:rsidRDefault="00E91ECA" w:rsidP="00E91ECA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</w:t>
      </w:r>
      <w:r>
        <w:rPr>
          <w:rFonts w:ascii="Arial" w:hAnsi="Arial" w:cs="Arial"/>
          <w:b/>
        </w:rPr>
        <w:t>4</w:t>
      </w:r>
      <w:r w:rsidRPr="007321CD">
        <w:rPr>
          <w:rFonts w:ascii="Arial" w:hAnsi="Arial" w:cs="Arial"/>
          <w:b/>
        </w:rPr>
        <w:t xml:space="preserve"> Meetings:</w:t>
      </w:r>
      <w:r w:rsidRPr="007321CD">
        <w:rPr>
          <w:rFonts w:ascii="Arial" w:hAnsi="Arial" w:cs="Arial"/>
          <w:b/>
        </w:rPr>
        <w:tab/>
      </w:r>
    </w:p>
    <w:p w14:paraId="78EA9C11" w14:textId="77777777" w:rsidR="00E91ECA" w:rsidRDefault="00E91ECA" w:rsidP="00E91ECA">
      <w:pPr>
        <w:tabs>
          <w:tab w:val="left" w:pos="5103"/>
        </w:tabs>
        <w:spacing w:beforeLines="50" w:before="156"/>
        <w:ind w:left="2268" w:hanging="2268"/>
        <w:rPr>
          <w:bCs/>
          <w:szCs w:val="22"/>
        </w:rPr>
      </w:pPr>
      <w:r w:rsidRPr="00115C5B">
        <w:rPr>
          <w:bCs/>
          <w:szCs w:val="22"/>
        </w:rPr>
        <w:t>TSG RAN WG</w:t>
      </w:r>
      <w:r>
        <w:rPr>
          <w:bCs/>
          <w:szCs w:val="22"/>
        </w:rPr>
        <w:t>4</w:t>
      </w:r>
      <w:r w:rsidRPr="00115C5B">
        <w:rPr>
          <w:bCs/>
          <w:szCs w:val="22"/>
        </w:rPr>
        <w:t xml:space="preserve"> Meeting #</w:t>
      </w:r>
      <w:r>
        <w:rPr>
          <w:bCs/>
          <w:szCs w:val="22"/>
        </w:rPr>
        <w:t xml:space="preserve">100-e               </w:t>
      </w:r>
      <w:r w:rsidRPr="00115C5B">
        <w:rPr>
          <w:bCs/>
          <w:szCs w:val="22"/>
        </w:rPr>
        <w:t xml:space="preserve"> </w:t>
      </w:r>
      <w:r>
        <w:rPr>
          <w:bCs/>
          <w:szCs w:val="22"/>
        </w:rPr>
        <w:t>16</w:t>
      </w:r>
      <w:r w:rsidRPr="00C00B6E">
        <w:rPr>
          <w:bCs/>
          <w:szCs w:val="22"/>
          <w:vertAlign w:val="superscript"/>
        </w:rPr>
        <w:t>th</w:t>
      </w:r>
      <w:r>
        <w:rPr>
          <w:bCs/>
          <w:szCs w:val="22"/>
          <w:vertAlign w:val="superscript"/>
        </w:rPr>
        <w:t xml:space="preserve"> </w:t>
      </w:r>
      <w:r w:rsidRPr="00115C5B">
        <w:rPr>
          <w:bCs/>
          <w:szCs w:val="22"/>
        </w:rPr>
        <w:t xml:space="preserve">– </w:t>
      </w:r>
      <w:r>
        <w:rPr>
          <w:bCs/>
          <w:szCs w:val="22"/>
        </w:rPr>
        <w:t>27</w:t>
      </w:r>
      <w:r w:rsidRPr="00C00B6E">
        <w:rPr>
          <w:bCs/>
          <w:szCs w:val="22"/>
          <w:vertAlign w:val="superscript"/>
        </w:rPr>
        <w:t>th</w:t>
      </w:r>
      <w:r>
        <w:rPr>
          <w:bCs/>
          <w:szCs w:val="22"/>
        </w:rPr>
        <w:t xml:space="preserve"> Aug.</w:t>
      </w:r>
      <w:r w:rsidRPr="00115C5B">
        <w:rPr>
          <w:bCs/>
          <w:szCs w:val="22"/>
        </w:rPr>
        <w:t>, 202</w:t>
      </w:r>
      <w:r>
        <w:rPr>
          <w:bCs/>
          <w:szCs w:val="22"/>
        </w:rPr>
        <w:t>1</w:t>
      </w:r>
      <w:r w:rsidRPr="00115C5B">
        <w:rPr>
          <w:bCs/>
          <w:szCs w:val="22"/>
        </w:rPr>
        <w:tab/>
      </w:r>
      <w:r>
        <w:rPr>
          <w:bCs/>
          <w:szCs w:val="22"/>
        </w:rPr>
        <w:tab/>
      </w:r>
      <w:r w:rsidRPr="00115C5B">
        <w:rPr>
          <w:bCs/>
          <w:szCs w:val="22"/>
        </w:rPr>
        <w:t>E-meeting</w:t>
      </w:r>
    </w:p>
    <w:p w14:paraId="34CABD6F" w14:textId="77777777" w:rsidR="00E11648" w:rsidRPr="00E11648" w:rsidRDefault="00E11648" w:rsidP="00C1182E">
      <w:pPr>
        <w:rPr>
          <w:lang w:val="en-US"/>
        </w:rPr>
      </w:pPr>
    </w:p>
    <w:sectPr w:rsidR="00E11648" w:rsidRPr="00E116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931A0E" w14:textId="77777777" w:rsidR="00672982" w:rsidRDefault="00672982" w:rsidP="0091672A">
      <w:pPr>
        <w:spacing w:after="0" w:line="240" w:lineRule="auto"/>
      </w:pPr>
      <w:r>
        <w:separator/>
      </w:r>
    </w:p>
  </w:endnote>
  <w:endnote w:type="continuationSeparator" w:id="0">
    <w:p w14:paraId="4969D336" w14:textId="77777777" w:rsidR="00672982" w:rsidRDefault="00672982" w:rsidP="00916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CA2F6A" w14:textId="77777777" w:rsidR="00672982" w:rsidRDefault="00672982" w:rsidP="0091672A">
      <w:pPr>
        <w:spacing w:after="0" w:line="240" w:lineRule="auto"/>
      </w:pPr>
      <w:r>
        <w:separator/>
      </w:r>
    </w:p>
  </w:footnote>
  <w:footnote w:type="continuationSeparator" w:id="0">
    <w:p w14:paraId="7F7290BE" w14:textId="77777777" w:rsidR="00672982" w:rsidRDefault="00672982" w:rsidP="009167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DC2632"/>
    <w:multiLevelType w:val="hybridMultilevel"/>
    <w:tmpl w:val="8512622A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8D93868"/>
    <w:multiLevelType w:val="hybridMultilevel"/>
    <w:tmpl w:val="C44AF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AC6404"/>
    <w:multiLevelType w:val="hybridMultilevel"/>
    <w:tmpl w:val="62EC53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088492E"/>
    <w:multiLevelType w:val="hybridMultilevel"/>
    <w:tmpl w:val="79C62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ECA"/>
    <w:rsid w:val="00060B40"/>
    <w:rsid w:val="000740D5"/>
    <w:rsid w:val="000825C1"/>
    <w:rsid w:val="000C543F"/>
    <w:rsid w:val="00197454"/>
    <w:rsid w:val="00216144"/>
    <w:rsid w:val="00266A88"/>
    <w:rsid w:val="002C58D2"/>
    <w:rsid w:val="002E48E0"/>
    <w:rsid w:val="00307AA6"/>
    <w:rsid w:val="00434C07"/>
    <w:rsid w:val="00436FC2"/>
    <w:rsid w:val="0046406F"/>
    <w:rsid w:val="00486B5C"/>
    <w:rsid w:val="00497071"/>
    <w:rsid w:val="005303C7"/>
    <w:rsid w:val="005A1099"/>
    <w:rsid w:val="005A3E75"/>
    <w:rsid w:val="00623908"/>
    <w:rsid w:val="00672982"/>
    <w:rsid w:val="00684F86"/>
    <w:rsid w:val="006E4BC2"/>
    <w:rsid w:val="00721912"/>
    <w:rsid w:val="00796C60"/>
    <w:rsid w:val="007B772A"/>
    <w:rsid w:val="007D58AB"/>
    <w:rsid w:val="008602B8"/>
    <w:rsid w:val="00865845"/>
    <w:rsid w:val="00882F94"/>
    <w:rsid w:val="00894469"/>
    <w:rsid w:val="008B24C2"/>
    <w:rsid w:val="008C1DC3"/>
    <w:rsid w:val="008D2550"/>
    <w:rsid w:val="00904E96"/>
    <w:rsid w:val="0091672A"/>
    <w:rsid w:val="009220CD"/>
    <w:rsid w:val="0095185F"/>
    <w:rsid w:val="00956C16"/>
    <w:rsid w:val="009E4616"/>
    <w:rsid w:val="00A029FA"/>
    <w:rsid w:val="00A401DE"/>
    <w:rsid w:val="00A60CF7"/>
    <w:rsid w:val="00A761B2"/>
    <w:rsid w:val="00A941EA"/>
    <w:rsid w:val="00A9498D"/>
    <w:rsid w:val="00AB0526"/>
    <w:rsid w:val="00AD0659"/>
    <w:rsid w:val="00B05F46"/>
    <w:rsid w:val="00B42F3F"/>
    <w:rsid w:val="00B60DB6"/>
    <w:rsid w:val="00B625DB"/>
    <w:rsid w:val="00B77FB7"/>
    <w:rsid w:val="00B94F5F"/>
    <w:rsid w:val="00BD5FA5"/>
    <w:rsid w:val="00C1182E"/>
    <w:rsid w:val="00C16F02"/>
    <w:rsid w:val="00C42EE8"/>
    <w:rsid w:val="00CD5050"/>
    <w:rsid w:val="00D179C5"/>
    <w:rsid w:val="00D639AE"/>
    <w:rsid w:val="00E11648"/>
    <w:rsid w:val="00E452E1"/>
    <w:rsid w:val="00E47648"/>
    <w:rsid w:val="00E52EBC"/>
    <w:rsid w:val="00E91ECA"/>
    <w:rsid w:val="00EC4E2D"/>
    <w:rsid w:val="00F00691"/>
    <w:rsid w:val="00F44DB4"/>
    <w:rsid w:val="00FC0A46"/>
    <w:rsid w:val="00FE016E"/>
    <w:rsid w:val="00FE3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B8D029"/>
  <w15:chartTrackingRefBased/>
  <w15:docId w15:val="{E68DDBFE-2C4C-4D14-948D-FA9E83C36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1ECA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eastAsia="SimSun" w:hAnsi="Times New Roman" w:cs="Times New Roman"/>
      <w:kern w:val="0"/>
      <w:sz w:val="22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1EC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E91ECA"/>
    <w:pPr>
      <w:spacing w:before="120" w:after="180" w:line="288" w:lineRule="auto"/>
      <w:outlineLvl w:val="3"/>
    </w:pPr>
    <w:rPr>
      <w:rFonts w:ascii="Arial" w:hAnsi="Arial"/>
      <w:b w:val="0"/>
      <w:bCs w:val="0"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E91ECA"/>
    <w:pPr>
      <w:keepNext/>
      <w:keepLines/>
      <w:spacing w:before="120"/>
      <w:outlineLvl w:val="6"/>
    </w:pPr>
    <w:rPr>
      <w:rFonts w:ascii="Arial" w:hAnsi="Arial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E91ECA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E91ECA"/>
    <w:rPr>
      <w:rFonts w:ascii="Arial" w:eastAsia="SimSun" w:hAnsi="Arial" w:cs="Times New Roman"/>
      <w:kern w:val="0"/>
      <w:sz w:val="22"/>
      <w:szCs w:val="20"/>
      <w:lang w:val="en-GB" w:eastAsia="x-none"/>
    </w:rPr>
  </w:style>
  <w:style w:type="character" w:styleId="Hyperlink">
    <w:name w:val="Hyperlink"/>
    <w:uiPriority w:val="99"/>
    <w:rsid w:val="00E91ECA"/>
    <w:rPr>
      <w:color w:val="0000FF"/>
      <w:u w:val="single"/>
    </w:rPr>
  </w:style>
  <w:style w:type="paragraph" w:customStyle="1" w:styleId="CRCoverPage">
    <w:name w:val="CR Cover Page"/>
    <w:link w:val="CRCoverPageZchn"/>
    <w:rsid w:val="00E91ECA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91ECA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uiPriority w:val="34"/>
    <w:qFormat/>
    <w:rsid w:val="00E91ECA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91ECA"/>
    <w:rPr>
      <w:rFonts w:ascii="Times New Roman" w:eastAsia="SimSun" w:hAnsi="Times New Roman" w:cs="Times New Roman"/>
      <w:b/>
      <w:bCs/>
      <w:kern w:val="0"/>
      <w:sz w:val="32"/>
      <w:szCs w:val="32"/>
      <w:lang w:val="en-GB"/>
    </w:rPr>
  </w:style>
  <w:style w:type="table" w:styleId="TableGrid">
    <w:name w:val="Table Grid"/>
    <w:basedOn w:val="TableNormal"/>
    <w:rsid w:val="00E116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167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91672A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1672A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1672A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C16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C16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61B2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761B2"/>
    <w:rPr>
      <w:rFonts w:ascii="Times New Roman" w:eastAsia="SimSun" w:hAnsi="Times New Roman" w:cs="Times New Roman"/>
      <w:kern w:val="0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61B2"/>
    <w:rPr>
      <w:rFonts w:ascii="Times New Roman" w:eastAsia="SimSun" w:hAnsi="Times New Roman" w:cs="Times New Roman"/>
      <w:b/>
      <w:bCs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- Xutao</dc:creator>
  <cp:keywords/>
  <dc:description/>
  <cp:lastModifiedBy>PM:CR1400</cp:lastModifiedBy>
  <cp:revision>4</cp:revision>
  <dcterms:created xsi:type="dcterms:W3CDTF">2021-05-26T18:10:00Z</dcterms:created>
  <dcterms:modified xsi:type="dcterms:W3CDTF">2021-08-02T15:37:00Z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D:\RAN4\TSGRAN4_99e\Inbox\[235] FeMIMO RRM\LS_235_2nd round_L1L2 centric Inter cell mobility_v01.docx</vt:lpwstr>
  </property>
  <property fmtid="{D5CDD505-2E9C-101B-9397-08002B2CF9AE}" pid="4" name="_2015_ms_pID_725343">
    <vt:lpwstr>(2)sP+gbI2Ntak3rdjMREIEDLwolHps1eeydvlbek78RUF6iXzZED1VmW0G2UmyXkW0e8cH1I7w
or67+aXgOTscoGUomiDB8EeS/nBnzmDsqhdFnBLpY2+Zf/nWVG81dfkOiHQjZeHUaTKnyvNi
hCyKedffWEWRwRkdA/58gAbJalpV2uKLfWSIw6cRwWT584cEo7ox+aubXzIhv+Cnqo9o4gUS
jej2hFRcbiqVRL00Ih</vt:lpwstr>
  </property>
  <property fmtid="{D5CDD505-2E9C-101B-9397-08002B2CF9AE}" pid="5" name="_2015_ms_pID_7253431">
    <vt:lpwstr>JoL3XnlLvwJCc9lcy4b8DSnVjnl8Ol4K6Hvfq2SVIv9OcLIX1lOltH
f20DFFfOC7Ja97dFSJMZGwL283eLY6xrOqGLECTFy7URQxTA+Znj2IUm/BLTTL4ypfKyzWvZ
WG/McarvanR2Qrbp/bAPMazr32VuiCnmSBSkgXzY/FYhA942p05xnqZCjbTRD8uk0WDr74aL
gFG+dc9DGNio29XO</vt:lpwstr>
  </property>
</Properties>
</file>