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proofErr w:type="gramStart"/>
      <w:r>
        <w:rPr>
          <w:rFonts w:cs="Arial"/>
          <w:bCs/>
          <w:sz w:val="22"/>
        </w:rPr>
        <w:t>e-Meeting</w:t>
      </w:r>
      <w:proofErr w:type="gramEnd"/>
      <w:r>
        <w:rPr>
          <w:rFonts w:cs="Arial"/>
          <w:bCs/>
          <w:sz w:val="22"/>
        </w:rPr>
        <w: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 xml:space="preserve">This feature lead (FL) summary (FLS) concerns the following email discussion for the Rel-17 work item (WI) for support of reduced capability (RedCap) NR devices [1]. RAN1 agreements for this WI </w:t>
      </w:r>
      <w:proofErr w:type="gramStart"/>
      <w:r>
        <w:t>are summarized</w:t>
      </w:r>
      <w:proofErr w:type="gramEnd"/>
      <w:r>
        <w:t xml:space="preserve">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 xml:space="preserve">Please note that RAN1 will NOT be making any decision </w:t>
            </w:r>
            <w:proofErr w:type="gramStart"/>
            <w:r>
              <w:rPr>
                <w:rFonts w:eastAsia="Malgun Gothic"/>
                <w:color w:val="FF0000"/>
                <w:u w:val="single"/>
                <w:lang w:val="en-US" w:eastAsia="sv-SE"/>
              </w:rPr>
              <w:t>with regards to</w:t>
            </w:r>
            <w:proofErr w:type="gramEnd"/>
            <w:r>
              <w:rPr>
                <w:rFonts w:eastAsia="Malgun Gothic"/>
                <w:color w:val="FF0000"/>
                <w:u w:val="single"/>
                <w:lang w:val="en-US" w:eastAsia="sv-SE"/>
              </w:rPr>
              <w:t xml:space="preserve">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77777777" w:rsidR="00D07A26" w:rsidRDefault="00ED3CAF">
      <w:pPr>
        <w:spacing w:after="100" w:afterAutospacing="1"/>
        <w:jc w:val="both"/>
        <w:rPr>
          <w:szCs w:val="22"/>
          <w:lang w:val="en-US"/>
        </w:rPr>
      </w:pPr>
      <w:r>
        <w:rPr>
          <w:szCs w:val="22"/>
          <w:lang w:val="en-US"/>
        </w:rPr>
        <w:br/>
        <w:t xml:space="preserve">In this round of the discussion, companies </w:t>
      </w:r>
      <w:proofErr w:type="gramStart"/>
      <w:r>
        <w:rPr>
          <w:szCs w:val="22"/>
          <w:lang w:val="en-US"/>
        </w:rPr>
        <w:t>are invited</w:t>
      </w:r>
      <w:proofErr w:type="gramEnd"/>
      <w:r>
        <w:rPr>
          <w:szCs w:val="22"/>
          <w:lang w:val="en-US"/>
        </w:rPr>
        <w:t xml:space="preserve"> to comment on </w:t>
      </w:r>
      <w:hyperlink r:id="rId10" w:history="1">
        <w:r>
          <w:rPr>
            <w:rStyle w:val="Hyperlink"/>
          </w:rPr>
          <w:t>RedCapParamList-v000.xlsx</w:t>
        </w:r>
      </w:hyperlink>
      <w:r>
        <w:t xml:space="preserve">. 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w:t>
      </w:r>
      <w:proofErr w:type="gramStart"/>
      <w:r>
        <w:rPr>
          <w:rFonts w:ascii="Times New Roman" w:eastAsia="Times New Roman" w:hAnsi="Times New Roman" w:cs="Times New Roman"/>
          <w:sz w:val="20"/>
          <w:szCs w:val="20"/>
          <w:lang w:val="en-US"/>
        </w:rPr>
        <w:t>is uploaded</w:t>
      </w:r>
      <w:proofErr w:type="gramEnd"/>
      <w:r>
        <w:rPr>
          <w:rFonts w:ascii="Times New Roman" w:eastAsia="Times New Roman" w:hAnsi="Times New Roman" w:cs="Times New Roman"/>
          <w:sz w:val="20"/>
          <w:szCs w:val="20"/>
          <w:lang w:val="en-US"/>
        </w:rPr>
        <w:t xml:space="preserve"> in 30 minutes, other companies can ignore the checkout file.</w:t>
      </w:r>
    </w:p>
    <w:p w14:paraId="356CBE4B"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w:t>
      </w:r>
      <w:proofErr w:type="gramStart"/>
      <w:r>
        <w:rPr>
          <w:rFonts w:eastAsia="Times New Roman"/>
          <w:lang w:val="en-US"/>
        </w:rPr>
        <w:t>are invited</w:t>
      </w:r>
      <w:proofErr w:type="gramEnd"/>
      <w:r>
        <w:rPr>
          <w:rFonts w:eastAsia="Times New Roman"/>
          <w:lang w:val="en-US"/>
        </w:rPr>
        <w:t xml:space="preserve"> to enter the contact info into the Annex.</w:t>
      </w:r>
    </w:p>
    <w:p w14:paraId="356CBE4E" w14:textId="77777777" w:rsidR="00D07A26" w:rsidRDefault="00ED3CAF">
      <w:pPr>
        <w:pStyle w:val="Heading1"/>
        <w:ind w:left="1134" w:hanging="1134"/>
      </w:pPr>
      <w:r>
        <w:t>Discussion</w:t>
      </w:r>
    </w:p>
    <w:p w14:paraId="356CBE4F" w14:textId="77777777" w:rsidR="00D07A26" w:rsidRDefault="00ED3CAF">
      <w:pPr>
        <w:jc w:val="both"/>
        <w:rPr>
          <w:b/>
          <w:bCs/>
        </w:rPr>
      </w:pPr>
      <w:r>
        <w:rPr>
          <w:b/>
        </w:rPr>
        <w:t xml:space="preserve">[FL1] Question: Please provide any comments on the draft RRC parameter list </w:t>
      </w:r>
      <w:hyperlink r:id="rId12" w:history="1">
        <w:r>
          <w:rPr>
            <w:rStyle w:val="FollowedHyperlink"/>
          </w:rPr>
          <w:t>RedCapParamList-v000.xlsx</w:t>
        </w:r>
      </w:hyperlink>
      <w:r>
        <w:rPr>
          <w:b/>
        </w:rPr>
        <w:t>.</w:t>
      </w:r>
    </w:p>
    <w:tbl>
      <w:tblPr>
        <w:tblStyle w:val="TableGrid"/>
        <w:tblW w:w="9351" w:type="dxa"/>
        <w:tblLook w:val="04A0" w:firstRow="1" w:lastRow="0" w:firstColumn="1" w:lastColumn="0" w:noHBand="0" w:noVBand="1"/>
      </w:tblPr>
      <w:tblGrid>
        <w:gridCol w:w="1479"/>
        <w:gridCol w:w="7872"/>
      </w:tblGrid>
      <w:tr w:rsidR="00D07A26" w14:paraId="356CBE52" w14:textId="77777777">
        <w:tc>
          <w:tcPr>
            <w:tcW w:w="1479" w:type="dxa"/>
            <w:shd w:val="clear" w:color="auto" w:fill="D9D9D9" w:themeFill="background1" w:themeFillShade="D9"/>
          </w:tcPr>
          <w:p w14:paraId="356CBE50" w14:textId="77777777" w:rsidR="00D07A26" w:rsidRDefault="00ED3CAF">
            <w:pPr>
              <w:rPr>
                <w:b/>
                <w:bCs/>
              </w:rPr>
            </w:pPr>
            <w:r>
              <w:rPr>
                <w:b/>
                <w:bCs/>
              </w:rPr>
              <w:t>Company</w:t>
            </w:r>
          </w:p>
        </w:tc>
        <w:tc>
          <w:tcPr>
            <w:tcW w:w="7872" w:type="dxa"/>
            <w:shd w:val="clear" w:color="auto" w:fill="D9D9D9" w:themeFill="background1" w:themeFillShade="D9"/>
          </w:tcPr>
          <w:p w14:paraId="356CBE51" w14:textId="77777777" w:rsidR="00D07A26" w:rsidRDefault="00ED3CAF">
            <w:pPr>
              <w:rPr>
                <w:b/>
                <w:bCs/>
              </w:rPr>
            </w:pPr>
            <w:r>
              <w:rPr>
                <w:b/>
                <w:bCs/>
              </w:rPr>
              <w:t>Comments</w:t>
            </w:r>
          </w:p>
        </w:tc>
      </w:tr>
      <w:tr w:rsidR="00D07A26" w14:paraId="356CBE59" w14:textId="77777777">
        <w:tc>
          <w:tcPr>
            <w:tcW w:w="1479" w:type="dxa"/>
          </w:tcPr>
          <w:p w14:paraId="356CBE53" w14:textId="77777777" w:rsidR="00D07A26" w:rsidRDefault="00ED3CAF">
            <w:pPr>
              <w:rPr>
                <w:lang w:eastAsia="ko-KR"/>
              </w:rPr>
            </w:pPr>
            <w:r>
              <w:rPr>
                <w:lang w:eastAsia="ko-KR"/>
              </w:rPr>
              <w:t xml:space="preserve">Huawei, </w:t>
            </w:r>
            <w:proofErr w:type="spellStart"/>
            <w:r>
              <w:rPr>
                <w:lang w:eastAsia="ko-KR"/>
              </w:rPr>
              <w:t>HiSilicon</w:t>
            </w:r>
            <w:proofErr w:type="spellEnd"/>
          </w:p>
        </w:tc>
        <w:tc>
          <w:tcPr>
            <w:tcW w:w="7872" w:type="dxa"/>
          </w:tcPr>
          <w:p w14:paraId="356CBE54" w14:textId="77777777" w:rsidR="00D07A26" w:rsidRDefault="00ED3CAF">
            <w:pPr>
              <w:pStyle w:val="ListParagraph"/>
              <w:numPr>
                <w:ilvl w:val="0"/>
                <w:numId w:val="10"/>
              </w:numPr>
              <w:rPr>
                <w:lang w:eastAsia="ko-KR"/>
              </w:rPr>
            </w:pPr>
            <w:r>
              <w:rPr>
                <w:lang w:eastAsia="ko-KR"/>
              </w:rPr>
              <w:t xml:space="preserve">The meaning of square bracket for </w:t>
            </w:r>
            <w:r>
              <w:rPr>
                <w:rFonts w:ascii="Cambria" w:eastAsia="Cambria" w:hAnsi="Cambria"/>
                <w:lang w:val="en-US" w:eastAsia="ko-KR"/>
              </w:rPr>
              <w:t>‘</w:t>
            </w:r>
            <w:r>
              <w:rPr>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Default="00ED3CAF">
            <w:pPr>
              <w:pStyle w:val="ListParagraph"/>
              <w:numPr>
                <w:ilvl w:val="0"/>
                <w:numId w:val="10"/>
              </w:numPr>
              <w:rPr>
                <w:lang w:eastAsia="ko-KR"/>
              </w:rPr>
            </w:pPr>
            <w:r>
              <w:rPr>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Default="00ED3CAF">
            <w:pPr>
              <w:pStyle w:val="ListParagraph"/>
              <w:numPr>
                <w:ilvl w:val="1"/>
                <w:numId w:val="10"/>
              </w:numPr>
              <w:rPr>
                <w:lang w:eastAsia="ko-KR"/>
              </w:rPr>
            </w:pPr>
            <w:r>
              <w:rPr>
                <w:lang w:eastAsia="ko-KR"/>
              </w:rPr>
              <w:t>One example is the ’</w:t>
            </w:r>
            <w:r>
              <w:rPr>
                <w:i/>
                <w:lang w:eastAsia="ko-KR"/>
              </w:rPr>
              <w:t>cqi-Table</w:t>
            </w:r>
            <w:r>
              <w:rPr>
                <w:lang w:eastAsia="ko-KR"/>
              </w:rPr>
              <w:t>’, which in our veiw does not need to be specifically provided and the existing parameter may be reused. Although the agreements indicate that ”</w:t>
            </w:r>
            <w:r>
              <w:t xml:space="preserve"> </w:t>
            </w:r>
            <w:r>
              <w:rPr>
                <w:i/>
                <w:lang w:eastAsia="ko-KR"/>
              </w:rPr>
              <w:t>... “CQI table 2” (Table 5.2.2.1-3 in TS 38.214) are supported by a RedCap UE indicating support of 256QAM for PDSCH</w:t>
            </w:r>
            <w:r>
              <w:rPr>
                <w:lang w:eastAsia="ko-KR"/>
              </w:rPr>
              <w:t>”, it is natually the case as existing specification.</w:t>
            </w:r>
          </w:p>
          <w:p w14:paraId="356CBE57" w14:textId="77777777" w:rsidR="00D07A26" w:rsidRDefault="00ED3CAF">
            <w:pPr>
              <w:pStyle w:val="ListParagraph"/>
              <w:numPr>
                <w:ilvl w:val="1"/>
                <w:numId w:val="10"/>
              </w:numPr>
              <w:rPr>
                <w:lang w:eastAsia="ko-KR"/>
              </w:rPr>
            </w:pPr>
            <w:r>
              <w:rPr>
                <w:lang w:eastAsia="ko-KR"/>
              </w:rPr>
              <w:t xml:space="preserve">Another example is DCI format </w:t>
            </w:r>
            <w:r>
              <w:rPr>
                <w:rFonts w:hint="eastAsia"/>
                <w:lang w:eastAsia="zh-CN"/>
              </w:rPr>
              <w:t>0</w:t>
            </w:r>
            <w:r>
              <w:rPr>
                <w:lang w:eastAsia="zh-CN"/>
              </w:rPr>
              <w:t>_0 and 0_1 is agreed as mandatory, and there is exisiting RRC parameter that can be reused. We may not need to specifically mention this in the spreadsheet, as FL currently does.</w:t>
            </w:r>
          </w:p>
          <w:p w14:paraId="356CBE58" w14:textId="77777777" w:rsidR="00D07A26" w:rsidRDefault="00ED3CAF">
            <w:pPr>
              <w:pStyle w:val="ListParagraph"/>
              <w:numPr>
                <w:ilvl w:val="1"/>
                <w:numId w:val="10"/>
              </w:numPr>
              <w:rPr>
                <w:lang w:eastAsia="ko-KR"/>
              </w:rPr>
            </w:pPr>
            <w:r>
              <w:rPr>
                <w:lang w:eastAsia="zh-CN"/>
              </w:rPr>
              <w:t xml:space="preserve">How to handle those parameters than can be reused from existing parameters may need further discussion in a comprehensive manner. </w:t>
            </w:r>
          </w:p>
        </w:tc>
      </w:tr>
      <w:tr w:rsidR="00D07A26" w14:paraId="356CBE5E" w14:textId="77777777">
        <w:tc>
          <w:tcPr>
            <w:tcW w:w="1479" w:type="dxa"/>
          </w:tcPr>
          <w:p w14:paraId="356CBE5A" w14:textId="77777777" w:rsidR="00D07A26" w:rsidRDefault="00ED3CA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72" w:type="dxa"/>
          </w:tcPr>
          <w:p w14:paraId="356CBE5B" w14:textId="77777777" w:rsidR="00D07A26" w:rsidRDefault="00ED3CAF">
            <w:pPr>
              <w:rPr>
                <w:rFonts w:eastAsia="宋体"/>
                <w:lang w:val="en-US" w:eastAsia="zh-CN"/>
              </w:rPr>
            </w:pPr>
            <w:r>
              <w:rPr>
                <w:rFonts w:eastAsia="宋体" w:hint="eastAsia"/>
                <w:lang w:val="en-US" w:eastAsia="zh-CN"/>
              </w:rPr>
              <w:t xml:space="preserve">In row 4 and column J, if the parameter is not present, we believe it is RedCap UEs use the same initial </w:t>
            </w:r>
            <w:r>
              <w:rPr>
                <w:rFonts w:eastAsia="宋体" w:hint="eastAsia"/>
                <w:b/>
                <w:bCs/>
                <w:color w:val="FF0000"/>
                <w:lang w:val="en-US" w:eastAsia="zh-CN"/>
              </w:rPr>
              <w:t>UL</w:t>
            </w:r>
            <w:r>
              <w:rPr>
                <w:rFonts w:eastAsia="宋体" w:hint="eastAsia"/>
                <w:lang w:val="en-US" w:eastAsia="zh-CN"/>
              </w:rPr>
              <w:t xml:space="preserve"> </w:t>
            </w:r>
            <w:proofErr w:type="gramStart"/>
            <w:r>
              <w:rPr>
                <w:rFonts w:eastAsia="宋体" w:hint="eastAsia"/>
                <w:lang w:val="en-US" w:eastAsia="zh-CN"/>
              </w:rPr>
              <w:t>BWP  as</w:t>
            </w:r>
            <w:proofErr w:type="gramEnd"/>
            <w:r>
              <w:rPr>
                <w:rFonts w:eastAsia="宋体" w:hint="eastAsia"/>
                <w:lang w:val="en-US" w:eastAsia="zh-CN"/>
              </w:rPr>
              <w:t xml:space="preserve"> non-RedCap UEs.</w:t>
            </w:r>
          </w:p>
          <w:p w14:paraId="356CBE5C" w14:textId="77777777" w:rsidR="00D07A26" w:rsidRDefault="00ED3CAF">
            <w:pPr>
              <w:rPr>
                <w:rFonts w:eastAsia="宋体"/>
                <w:lang w:val="en-US" w:eastAsia="zh-CN"/>
              </w:rPr>
            </w:pPr>
            <w:r>
              <w:rPr>
                <w:rFonts w:eastAsia="宋体" w:hint="eastAsia"/>
                <w:lang w:val="en-US" w:eastAsia="zh-CN"/>
              </w:rPr>
              <w:t xml:space="preserve">Additionally, if RedCap-specific initial UL BWP </w:t>
            </w:r>
            <w:proofErr w:type="gramStart"/>
            <w:r>
              <w:rPr>
                <w:rFonts w:eastAsia="宋体" w:hint="eastAsia"/>
                <w:lang w:val="en-US" w:eastAsia="zh-CN"/>
              </w:rPr>
              <w:t>is configured</w:t>
            </w:r>
            <w:proofErr w:type="gramEnd"/>
            <w:r>
              <w:rPr>
                <w:rFonts w:eastAsia="宋体" w:hint="eastAsia"/>
                <w:lang w:val="en-US" w:eastAsia="zh-CN"/>
              </w:rPr>
              <w:t>,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Default="00ED3CAF">
            <w:pPr>
              <w:rPr>
                <w:rFonts w:eastAsia="宋体"/>
                <w:lang w:val="en-US" w:eastAsia="zh-CN"/>
              </w:rPr>
            </w:pPr>
            <w:r>
              <w:rPr>
                <w:rFonts w:eastAsia="宋体" w:hint="eastAsia"/>
                <w:lang w:val="en-US" w:eastAsia="zh-CN"/>
              </w:rPr>
              <w:t>For the row 1, it is worth to mention that [RedCap-specific PRACH configuration] should be separate for 4-step RACH and 2-step RACH.</w:t>
            </w:r>
          </w:p>
        </w:tc>
      </w:tr>
      <w:tr w:rsidR="00D07A26" w14:paraId="356CBE61" w14:textId="77777777">
        <w:tc>
          <w:tcPr>
            <w:tcW w:w="1479" w:type="dxa"/>
          </w:tcPr>
          <w:p w14:paraId="356CBE5F" w14:textId="37282DD7" w:rsidR="00D07A26" w:rsidRDefault="008943CF">
            <w:pPr>
              <w:rPr>
                <w:lang w:eastAsia="ko-KR"/>
              </w:rPr>
            </w:pPr>
            <w:r>
              <w:rPr>
                <w:lang w:eastAsia="ko-KR"/>
              </w:rPr>
              <w:t>Intel</w:t>
            </w:r>
          </w:p>
        </w:tc>
        <w:tc>
          <w:tcPr>
            <w:tcW w:w="7872" w:type="dxa"/>
          </w:tcPr>
          <w:p w14:paraId="3BB42F09" w14:textId="4F456D67" w:rsidR="000156E1" w:rsidRDefault="008943CF">
            <w:pPr>
              <w:rPr>
                <w:lang w:eastAsia="ko-KR"/>
              </w:rPr>
            </w:pPr>
            <w:r>
              <w:rPr>
                <w:lang w:eastAsia="ko-KR"/>
              </w:rPr>
              <w:t>Thanks f</w:t>
            </w:r>
            <w:r w:rsidR="000156E1">
              <w:rPr>
                <w:lang w:eastAsia="ko-KR"/>
              </w:rPr>
              <w:t>or the initial draft!</w:t>
            </w:r>
          </w:p>
          <w:p w14:paraId="3582F61D" w14:textId="2601E0A2" w:rsidR="00930980" w:rsidRDefault="00930980">
            <w:pPr>
              <w:rPr>
                <w:lang w:eastAsia="ko-KR"/>
              </w:rPr>
            </w:pPr>
            <w:r>
              <w:rPr>
                <w:lang w:eastAsia="ko-KR"/>
              </w:rPr>
              <w:t xml:space="preserve">Some </w:t>
            </w:r>
            <w:r w:rsidR="00F5030B">
              <w:rPr>
                <w:lang w:eastAsia="ko-KR"/>
              </w:rPr>
              <w:t>comments listed below:</w:t>
            </w:r>
          </w:p>
          <w:p w14:paraId="125E85F3" w14:textId="77777777" w:rsidR="00D07A26" w:rsidRDefault="000156E1" w:rsidP="000156E1">
            <w:pPr>
              <w:pStyle w:val="ListParagraph"/>
              <w:numPr>
                <w:ilvl w:val="0"/>
                <w:numId w:val="7"/>
              </w:numPr>
              <w:rPr>
                <w:lang w:eastAsia="ko-KR"/>
              </w:rPr>
            </w:pPr>
            <w:r>
              <w:rPr>
                <w:lang w:eastAsia="ko-KR"/>
              </w:rPr>
              <w:t>On the couple of ”Existing parameters” related to 256QAM</w:t>
            </w:r>
            <w:r w:rsidR="00930980">
              <w:rPr>
                <w:lang w:eastAsia="ko-KR"/>
              </w:rPr>
              <w:t xml:space="preserve"> (rows # 6 and 7)</w:t>
            </w:r>
            <w:r>
              <w:rPr>
                <w:lang w:eastAsia="ko-KR"/>
              </w:rPr>
              <w:t xml:space="preserve">, we understand that the reason they are listed here is to convey the message </w:t>
            </w:r>
            <w:r>
              <w:rPr>
                <w:lang w:eastAsia="ko-KR"/>
              </w:rPr>
              <w:lastRenderedPageBreak/>
              <w:t xml:space="preserve">about being subject to UE capability (e.g., can be captured in 331 </w:t>
            </w:r>
            <w:r w:rsidR="00B32127">
              <w:rPr>
                <w:lang w:eastAsia="ko-KR"/>
              </w:rPr>
              <w:t xml:space="preserve">in the corresponding field description). </w:t>
            </w:r>
          </w:p>
          <w:p w14:paraId="78BA63C4" w14:textId="2F008401" w:rsidR="004C4D0B" w:rsidRDefault="002E36E5" w:rsidP="004C4D0B">
            <w:pPr>
              <w:pStyle w:val="ListParagraph"/>
              <w:numPr>
                <w:ilvl w:val="0"/>
                <w:numId w:val="7"/>
              </w:numPr>
              <w:rPr>
                <w:lang w:eastAsia="ko-KR"/>
              </w:rPr>
            </w:pPr>
            <w:r>
              <w:rPr>
                <w:lang w:eastAsia="ko-KR"/>
              </w:rPr>
              <w:t xml:space="preserve">We also agree with the assumption </w:t>
            </w:r>
            <w:r w:rsidR="00653F65">
              <w:rPr>
                <w:lang w:eastAsia="ko-KR"/>
              </w:rPr>
              <w:t xml:space="preserve">that </w:t>
            </w:r>
            <w:r w:rsidR="0073519D">
              <w:rPr>
                <w:lang w:eastAsia="ko-KR"/>
              </w:rPr>
              <w:t>if separate initial UL BWP is configured for RedCap UEs, RACH configuration</w:t>
            </w:r>
            <w:r w:rsidR="00BF1F08">
              <w:rPr>
                <w:lang w:eastAsia="ko-KR"/>
              </w:rPr>
              <w:t xml:space="preserve"> should be</w:t>
            </w:r>
            <w:r w:rsidR="0073519D">
              <w:rPr>
                <w:lang w:eastAsia="ko-KR"/>
              </w:rPr>
              <w:t xml:space="preserve"> provided for the separate initial UL BWP. </w:t>
            </w:r>
            <w:r w:rsidR="00BF1F08">
              <w:rPr>
                <w:lang w:eastAsia="ko-KR"/>
              </w:rPr>
              <w:t>Similarly, we need to add a PUCCH resource</w:t>
            </w:r>
            <w:r w:rsidR="009A457D">
              <w:rPr>
                <w:lang w:eastAsia="ko-KR"/>
              </w:rPr>
              <w:t xml:space="preserve"> configuration </w:t>
            </w:r>
            <w:r w:rsidR="002359B7">
              <w:rPr>
                <w:lang w:eastAsia="ko-KR"/>
              </w:rPr>
              <w:t xml:space="preserve">as well for the separate initial UL BWP. </w:t>
            </w:r>
            <w:r w:rsidR="00115123">
              <w:rPr>
                <w:lang w:eastAsia="ko-KR"/>
              </w:rPr>
              <w:t>In the general case, t</w:t>
            </w:r>
            <w:r w:rsidR="002359B7">
              <w:rPr>
                <w:lang w:eastAsia="ko-KR"/>
              </w:rPr>
              <w:t xml:space="preserve">he enabling/disabling of </w:t>
            </w:r>
            <w:r w:rsidR="00115123">
              <w:rPr>
                <w:lang w:eastAsia="ko-KR"/>
              </w:rPr>
              <w:t xml:space="preserve">FH for PUCCH should apply to the PUCCH resources </w:t>
            </w:r>
            <w:r w:rsidR="00401AD1">
              <w:rPr>
                <w:lang w:eastAsia="ko-KR"/>
              </w:rPr>
              <w:t>(via a ”pucch-ConfigCommon”)</w:t>
            </w:r>
            <w:r w:rsidR="00115123">
              <w:rPr>
                <w:lang w:eastAsia="ko-KR"/>
              </w:rPr>
              <w:t xml:space="preserve">that need to be configured for the separate UL BWP. </w:t>
            </w:r>
          </w:p>
          <w:p w14:paraId="356CBE60" w14:textId="58AF0AE0" w:rsidR="004C4D0B" w:rsidRDefault="004C4D0B" w:rsidP="004C4D0B">
            <w:pPr>
              <w:pStyle w:val="ListParagraph"/>
              <w:rPr>
                <w:lang w:eastAsia="ko-KR"/>
              </w:rPr>
            </w:pPr>
            <w:r>
              <w:rPr>
                <w:lang w:eastAsia="ko-KR"/>
              </w:rPr>
              <w:t xml:space="preserve">For the present, we suggest to at least add a comment </w:t>
            </w:r>
            <w:r w:rsidR="00D7776A">
              <w:rPr>
                <w:lang w:eastAsia="ko-KR"/>
              </w:rPr>
              <w:t>to the following effect:</w:t>
            </w:r>
            <w:r w:rsidR="00D7776A">
              <w:rPr>
                <w:lang w:eastAsia="ko-KR"/>
              </w:rPr>
              <w:br/>
              <w:t xml:space="preserve">- </w:t>
            </w:r>
            <w:r w:rsidR="005E36C8" w:rsidRPr="005E36C8">
              <w:rPr>
                <w:i/>
                <w:iCs/>
                <w:lang w:eastAsia="ko-KR"/>
              </w:rPr>
              <w:t xml:space="preserve">Note: </w:t>
            </w:r>
            <w:r w:rsidR="00D7776A" w:rsidRPr="005E36C8">
              <w:rPr>
                <w:i/>
                <w:iCs/>
                <w:lang w:eastAsia="ko-KR"/>
              </w:rPr>
              <w:t>This parameter may be provided as part of</w:t>
            </w:r>
            <w:r w:rsidR="009C673D" w:rsidRPr="005E36C8">
              <w:rPr>
                <w:i/>
                <w:iCs/>
                <w:lang w:eastAsia="ko-KR"/>
              </w:rPr>
              <w:t xml:space="preserve"> the [pucch-ConfigCommon] configuration for the separate </w:t>
            </w:r>
            <w:r w:rsidR="00336280" w:rsidRPr="005E36C8">
              <w:rPr>
                <w:i/>
                <w:iCs/>
                <w:lang w:eastAsia="ko-KR"/>
              </w:rPr>
              <w:t>initial UL BWP.</w:t>
            </w:r>
          </w:p>
        </w:tc>
      </w:tr>
      <w:tr w:rsidR="00D07A26" w14:paraId="356CBE64" w14:textId="77777777">
        <w:tc>
          <w:tcPr>
            <w:tcW w:w="1479" w:type="dxa"/>
          </w:tcPr>
          <w:p w14:paraId="356CBE62" w14:textId="3E576FDC" w:rsidR="00D07A26" w:rsidRDefault="000E69FE">
            <w:pPr>
              <w:rPr>
                <w:lang w:eastAsia="ko-KR"/>
              </w:rPr>
            </w:pPr>
            <w:r w:rsidRPr="000E69FE">
              <w:lastRenderedPageBreak/>
              <w:t>Spreadtrum</w:t>
            </w:r>
            <w:bookmarkStart w:id="4" w:name="_GoBack"/>
            <w:bookmarkEnd w:id="4"/>
          </w:p>
        </w:tc>
        <w:tc>
          <w:tcPr>
            <w:tcW w:w="7872" w:type="dxa"/>
          </w:tcPr>
          <w:p w14:paraId="22BFFABB" w14:textId="77777777" w:rsidR="000E69FE" w:rsidRDefault="000E69FE" w:rsidP="000E69FE">
            <w:pPr>
              <w:rPr>
                <w:lang w:val="en-US"/>
              </w:rPr>
            </w:pPr>
            <w:r>
              <w:rPr>
                <w:rFonts w:hint="eastAsia"/>
              </w:rPr>
              <w:t xml:space="preserve">For </w:t>
            </w:r>
            <w:r>
              <w:rPr>
                <w:rFonts w:hint="eastAsia"/>
              </w:rPr>
              <w:t>“</w:t>
            </w:r>
            <w:proofErr w:type="spellStart"/>
            <w:r>
              <w:rPr>
                <w:rFonts w:hint="eastAsia"/>
              </w:rPr>
              <w:t>RedCap</w:t>
            </w:r>
            <w:proofErr w:type="spellEnd"/>
            <w:r>
              <w:rPr>
                <w:rFonts w:hint="eastAsia"/>
              </w:rPr>
              <w:t>-specific PRACH configuration</w:t>
            </w:r>
            <w:r>
              <w:rPr>
                <w:rFonts w:hint="eastAsia"/>
              </w:rPr>
              <w:t>”</w:t>
            </w:r>
            <w:r>
              <w:rPr>
                <w:rFonts w:hint="eastAsia"/>
              </w:rPr>
              <w:t xml:space="preserve">, we agree with ZTE that it should be separate for 4-step RACH and 2-step RACH. Since RAN1 has only reached the agreement for 4-step RACH but not 2-step RACH yet, we suggest including </w:t>
            </w:r>
            <w:proofErr w:type="spellStart"/>
            <w:r>
              <w:rPr>
                <w:rFonts w:hint="eastAsia"/>
              </w:rPr>
              <w:t>RedCap</w:t>
            </w:r>
            <w:proofErr w:type="spellEnd"/>
            <w:r>
              <w:rPr>
                <w:rFonts w:hint="eastAsia"/>
              </w:rPr>
              <w:t>-specific PRACH configuration for 4-step RACH only at this stage.</w:t>
            </w:r>
          </w:p>
          <w:p w14:paraId="3A02A5B6" w14:textId="77777777" w:rsidR="000E69FE" w:rsidRDefault="000E69FE" w:rsidP="000E69FE">
            <w:pPr>
              <w:rPr>
                <w:rFonts w:hint="eastAsia"/>
              </w:rPr>
            </w:pPr>
            <w:r>
              <w:rPr>
                <w:rFonts w:hint="eastAsia"/>
              </w:rPr>
              <w:t xml:space="preserve">For </w:t>
            </w:r>
            <w:r>
              <w:rPr>
                <w:rFonts w:hint="eastAsia"/>
              </w:rPr>
              <w:t>“</w:t>
            </w:r>
            <w:proofErr w:type="spellStart"/>
            <w:r>
              <w:rPr>
                <w:rFonts w:hint="eastAsia"/>
              </w:rPr>
              <w:t>RedCap</w:t>
            </w:r>
            <w:proofErr w:type="spellEnd"/>
            <w:r>
              <w:rPr>
                <w:rFonts w:hint="eastAsia"/>
              </w:rPr>
              <w:t>-specific initial DL BWP configuration</w:t>
            </w:r>
            <w:r>
              <w:rPr>
                <w:rFonts w:hint="eastAsia"/>
              </w:rPr>
              <w:t>”</w:t>
            </w:r>
            <w:r>
              <w:rPr>
                <w:rFonts w:hint="eastAsia"/>
              </w:rPr>
              <w:t xml:space="preserve"> and </w:t>
            </w:r>
            <w:r>
              <w:rPr>
                <w:rFonts w:hint="eastAsia"/>
              </w:rPr>
              <w:t>“</w:t>
            </w:r>
            <w:proofErr w:type="spellStart"/>
            <w:r>
              <w:rPr>
                <w:rFonts w:hint="eastAsia"/>
              </w:rPr>
              <w:t>RedCap</w:t>
            </w:r>
            <w:proofErr w:type="spellEnd"/>
            <w:r>
              <w:rPr>
                <w:rFonts w:hint="eastAsia"/>
              </w:rPr>
              <w:t>-specific initial UL BWP configuration</w:t>
            </w:r>
            <w:r>
              <w:rPr>
                <w:rFonts w:hint="eastAsia"/>
              </w:rPr>
              <w:t>”</w:t>
            </w:r>
            <w:r>
              <w:rPr>
                <w:rFonts w:hint="eastAsia"/>
              </w:rPr>
              <w:t>, we are fine for the wording.</w:t>
            </w:r>
          </w:p>
          <w:p w14:paraId="356CBE63" w14:textId="129BFF6D" w:rsidR="00D07A26" w:rsidRDefault="000E69FE" w:rsidP="000E69FE">
            <w:pPr>
              <w:rPr>
                <w:lang w:eastAsia="ko-KR"/>
              </w:rPr>
            </w:pPr>
            <w:r>
              <w:rPr>
                <w:rFonts w:hint="eastAsia"/>
              </w:rPr>
              <w:t xml:space="preserve">For </w:t>
            </w:r>
            <w:r>
              <w:rPr>
                <w:rFonts w:hint="eastAsia"/>
              </w:rPr>
              <w:t>“</w:t>
            </w:r>
            <w:r>
              <w:rPr>
                <w:rFonts w:hint="eastAsia"/>
              </w:rPr>
              <w:t xml:space="preserve">Intra-slot PUCCH frequency hopping within </w:t>
            </w:r>
            <w:proofErr w:type="spellStart"/>
            <w:r>
              <w:rPr>
                <w:rFonts w:hint="eastAsia"/>
              </w:rPr>
              <w:t>RedCap</w:t>
            </w:r>
            <w:proofErr w:type="spellEnd"/>
            <w:r>
              <w:rPr>
                <w:rFonts w:hint="eastAsia"/>
              </w:rPr>
              <w:t>-specific initial UL BWP enabled/disabled</w:t>
            </w:r>
            <w:r>
              <w:rPr>
                <w:rFonts w:hint="eastAsia"/>
              </w:rPr>
              <w:t>”</w:t>
            </w:r>
            <w:r>
              <w:rPr>
                <w:rFonts w:hint="eastAsia"/>
              </w:rPr>
              <w:t>, we are fine for the wording.</w:t>
            </w:r>
          </w:p>
        </w:tc>
      </w:tr>
      <w:tr w:rsidR="00D07A26" w14:paraId="356CBE67" w14:textId="77777777">
        <w:tc>
          <w:tcPr>
            <w:tcW w:w="1479" w:type="dxa"/>
          </w:tcPr>
          <w:p w14:paraId="356CBE65" w14:textId="77777777" w:rsidR="00D07A26" w:rsidRDefault="00D07A26">
            <w:pPr>
              <w:rPr>
                <w:lang w:eastAsia="ko-KR"/>
              </w:rPr>
            </w:pPr>
          </w:p>
        </w:tc>
        <w:tc>
          <w:tcPr>
            <w:tcW w:w="7872" w:type="dxa"/>
          </w:tcPr>
          <w:p w14:paraId="356CBE66" w14:textId="77777777" w:rsidR="00D07A26" w:rsidRDefault="00D07A26">
            <w:pPr>
              <w:rPr>
                <w:lang w:eastAsia="ko-KR"/>
              </w:rPr>
            </w:pPr>
          </w:p>
        </w:tc>
      </w:tr>
      <w:tr w:rsidR="00D07A26" w14:paraId="356CBE6A" w14:textId="77777777">
        <w:tc>
          <w:tcPr>
            <w:tcW w:w="1479" w:type="dxa"/>
          </w:tcPr>
          <w:p w14:paraId="356CBE68" w14:textId="77777777" w:rsidR="00D07A26" w:rsidRDefault="00D07A26">
            <w:pPr>
              <w:rPr>
                <w:lang w:eastAsia="ko-KR"/>
              </w:rPr>
            </w:pPr>
          </w:p>
        </w:tc>
        <w:tc>
          <w:tcPr>
            <w:tcW w:w="7872" w:type="dxa"/>
          </w:tcPr>
          <w:p w14:paraId="356CBE69" w14:textId="77777777" w:rsidR="00D07A26" w:rsidRDefault="00D07A26">
            <w:pPr>
              <w:rPr>
                <w:lang w:eastAsia="ko-KR"/>
              </w:rPr>
            </w:pPr>
          </w:p>
        </w:tc>
      </w:tr>
      <w:tr w:rsidR="00D07A26" w14:paraId="356CBE6D" w14:textId="77777777">
        <w:tc>
          <w:tcPr>
            <w:tcW w:w="1479" w:type="dxa"/>
          </w:tcPr>
          <w:p w14:paraId="356CBE6B" w14:textId="77777777" w:rsidR="00D07A26" w:rsidRDefault="00D07A26">
            <w:pPr>
              <w:rPr>
                <w:lang w:eastAsia="ko-KR"/>
              </w:rPr>
            </w:pPr>
          </w:p>
        </w:tc>
        <w:tc>
          <w:tcPr>
            <w:tcW w:w="7872" w:type="dxa"/>
          </w:tcPr>
          <w:p w14:paraId="356CBE6C" w14:textId="77777777" w:rsidR="00D07A26" w:rsidRDefault="00D07A26">
            <w:pPr>
              <w:rPr>
                <w:lang w:eastAsia="ko-KR"/>
              </w:rPr>
            </w:pPr>
          </w:p>
        </w:tc>
      </w:tr>
      <w:tr w:rsidR="00D07A26" w14:paraId="356CBE70" w14:textId="77777777">
        <w:tc>
          <w:tcPr>
            <w:tcW w:w="1479" w:type="dxa"/>
          </w:tcPr>
          <w:p w14:paraId="356CBE6E" w14:textId="77777777" w:rsidR="00D07A26" w:rsidRDefault="00D07A26">
            <w:pPr>
              <w:rPr>
                <w:lang w:eastAsia="ko-KR"/>
              </w:rPr>
            </w:pPr>
          </w:p>
        </w:tc>
        <w:tc>
          <w:tcPr>
            <w:tcW w:w="7872" w:type="dxa"/>
          </w:tcPr>
          <w:p w14:paraId="356CBE6F" w14:textId="77777777" w:rsidR="00D07A26" w:rsidRDefault="00D07A26">
            <w:pPr>
              <w:rPr>
                <w:lang w:eastAsia="ko-KR"/>
              </w:rPr>
            </w:pPr>
          </w:p>
        </w:tc>
      </w:tr>
      <w:tr w:rsidR="00D07A26" w14:paraId="356CBE73" w14:textId="77777777">
        <w:tc>
          <w:tcPr>
            <w:tcW w:w="1479" w:type="dxa"/>
          </w:tcPr>
          <w:p w14:paraId="356CBE71" w14:textId="77777777" w:rsidR="00D07A26" w:rsidRDefault="00D07A26">
            <w:pPr>
              <w:rPr>
                <w:lang w:eastAsia="ko-KR"/>
              </w:rPr>
            </w:pPr>
          </w:p>
        </w:tc>
        <w:tc>
          <w:tcPr>
            <w:tcW w:w="7872" w:type="dxa"/>
          </w:tcPr>
          <w:p w14:paraId="356CBE72" w14:textId="77777777" w:rsidR="00D07A26" w:rsidRDefault="00D07A26">
            <w:pPr>
              <w:rPr>
                <w:lang w:eastAsia="ko-KR"/>
              </w:rPr>
            </w:pPr>
          </w:p>
        </w:tc>
      </w:tr>
      <w:tr w:rsidR="00D07A26" w14:paraId="356CBE76" w14:textId="77777777">
        <w:tc>
          <w:tcPr>
            <w:tcW w:w="1479" w:type="dxa"/>
          </w:tcPr>
          <w:p w14:paraId="356CBE74" w14:textId="77777777" w:rsidR="00D07A26" w:rsidRDefault="00D07A26">
            <w:pPr>
              <w:rPr>
                <w:lang w:eastAsia="ko-KR"/>
              </w:rPr>
            </w:pPr>
          </w:p>
        </w:tc>
        <w:tc>
          <w:tcPr>
            <w:tcW w:w="7872" w:type="dxa"/>
          </w:tcPr>
          <w:p w14:paraId="356CBE75" w14:textId="77777777" w:rsidR="00D07A26" w:rsidRDefault="00D07A26">
            <w:pPr>
              <w:rPr>
                <w:lang w:eastAsia="ko-KR"/>
              </w:rPr>
            </w:pPr>
          </w:p>
        </w:tc>
      </w:tr>
      <w:tr w:rsidR="00D07A26" w14:paraId="356CBE79" w14:textId="77777777">
        <w:tc>
          <w:tcPr>
            <w:tcW w:w="1479" w:type="dxa"/>
          </w:tcPr>
          <w:p w14:paraId="356CBE77" w14:textId="77777777" w:rsidR="00D07A26" w:rsidRDefault="00D07A26">
            <w:pPr>
              <w:rPr>
                <w:lang w:eastAsia="ko-KR"/>
              </w:rPr>
            </w:pPr>
          </w:p>
        </w:tc>
        <w:tc>
          <w:tcPr>
            <w:tcW w:w="7872" w:type="dxa"/>
          </w:tcPr>
          <w:p w14:paraId="356CBE78" w14:textId="77777777" w:rsidR="00D07A26" w:rsidRDefault="00D07A26">
            <w:pPr>
              <w:rPr>
                <w:lang w:eastAsia="ko-KR"/>
              </w:rPr>
            </w:pPr>
          </w:p>
        </w:tc>
      </w:tr>
      <w:tr w:rsidR="00D07A26" w14:paraId="356CBE7C" w14:textId="77777777">
        <w:tc>
          <w:tcPr>
            <w:tcW w:w="1479" w:type="dxa"/>
          </w:tcPr>
          <w:p w14:paraId="356CBE7A" w14:textId="77777777" w:rsidR="00D07A26" w:rsidRDefault="00D07A26">
            <w:pPr>
              <w:rPr>
                <w:lang w:eastAsia="ko-KR"/>
              </w:rPr>
            </w:pPr>
          </w:p>
        </w:tc>
        <w:tc>
          <w:tcPr>
            <w:tcW w:w="7872" w:type="dxa"/>
          </w:tcPr>
          <w:p w14:paraId="356CBE7B" w14:textId="77777777" w:rsidR="00D07A26" w:rsidRDefault="00D07A26">
            <w:pPr>
              <w:rPr>
                <w:lang w:eastAsia="ko-KR"/>
              </w:rPr>
            </w:pPr>
          </w:p>
        </w:tc>
      </w:tr>
      <w:tr w:rsidR="00D07A26" w14:paraId="356CBE7F" w14:textId="77777777">
        <w:tc>
          <w:tcPr>
            <w:tcW w:w="1479" w:type="dxa"/>
          </w:tcPr>
          <w:p w14:paraId="356CBE7D" w14:textId="77777777" w:rsidR="00D07A26" w:rsidRDefault="00D07A26">
            <w:pPr>
              <w:rPr>
                <w:lang w:eastAsia="ko-KR"/>
              </w:rPr>
            </w:pPr>
          </w:p>
        </w:tc>
        <w:tc>
          <w:tcPr>
            <w:tcW w:w="7872" w:type="dxa"/>
          </w:tcPr>
          <w:p w14:paraId="356CBE7E" w14:textId="77777777" w:rsidR="00D07A26" w:rsidRDefault="00D07A26">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Heading1"/>
        <w:numPr>
          <w:ilvl w:val="0"/>
          <w:numId w:val="0"/>
        </w:numPr>
        <w:ind w:left="432" w:hanging="432"/>
      </w:pPr>
      <w:bookmarkStart w:id="5" w:name="_Hlk41391803"/>
      <w:r>
        <w:t>Annex: Companies’ point of contact</w:t>
      </w:r>
    </w:p>
    <w:p w14:paraId="356CBE82" w14:textId="77777777" w:rsidR="00D07A26" w:rsidRDefault="00ED3CAF">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77777777" w:rsidR="00D07A26" w:rsidRDefault="00D07A26">
            <w:pPr>
              <w:spacing w:after="0"/>
            </w:pPr>
          </w:p>
        </w:tc>
        <w:tc>
          <w:tcPr>
            <w:tcW w:w="2410" w:type="dxa"/>
          </w:tcPr>
          <w:p w14:paraId="356CBE88" w14:textId="77777777" w:rsidR="00D07A26" w:rsidRDefault="00D07A26">
            <w:pPr>
              <w:spacing w:after="0"/>
            </w:pPr>
          </w:p>
        </w:tc>
        <w:tc>
          <w:tcPr>
            <w:tcW w:w="4110" w:type="dxa"/>
          </w:tcPr>
          <w:p w14:paraId="356CBE89" w14:textId="77777777" w:rsidR="00D07A26" w:rsidRDefault="00D07A26">
            <w:pPr>
              <w:spacing w:after="0"/>
            </w:pP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5"/>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0F4E2A">
            <w:pPr>
              <w:rPr>
                <w:color w:val="0000FF"/>
                <w:u w:val="single"/>
              </w:rPr>
            </w:pPr>
            <w:hyperlink r:id="rId13" w:history="1">
              <w:r w:rsidR="00ED3CAF">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0F4E2A">
            <w:pPr>
              <w:rPr>
                <w:color w:val="0000FF"/>
                <w:u w:val="single"/>
              </w:rPr>
            </w:pPr>
            <w:hyperlink r:id="rId14" w:history="1">
              <w:r w:rsidR="00ED3CAF">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28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BE2D"/>
  <w15:docId w15:val="{38D52499-C355-4FC1-9972-8FD999A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2e/Docs/RP-2115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6/ParamList/RedCapParamList-v000.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Docs/R1-2106403.zi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3gpp.org/ftp/tsg_ran/WG1_RL1/TSGR1_106-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8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73C706-AE22-4F3E-B606-B869ED6F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2</cp:revision>
  <dcterms:created xsi:type="dcterms:W3CDTF">2021-09-06T11:07:00Z</dcterms:created>
  <dcterms:modified xsi:type="dcterms:W3CDTF">2021-09-06T11:07:00Z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