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 xml:space="preserve">If a semi-static configured UL transmission overlaps with an SSB, </w:t>
            </w:r>
            <w:proofErr w:type="gramStart"/>
            <w:r>
              <w:t>down-select</w:t>
            </w:r>
            <w:proofErr w:type="gramEnd"/>
            <w:r>
              <w:t xml:space="preserve">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007FDD05"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w:t>
      </w:r>
      <w:proofErr w:type="gramStart"/>
      <w:r>
        <w:rPr>
          <w:b/>
          <w:bCs/>
        </w:rPr>
        <w:t>to</w:t>
      </w:r>
      <w:proofErr w:type="gramEnd"/>
      <w:r>
        <w:rPr>
          <w:b/>
          <w:bCs/>
        </w:rPr>
        <w:t xml:space="preserve">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FCBCEA" w14:textId="77777777" w:rsidR="00E13C80" w:rsidRDefault="00AE374F">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w:t>
            </w:r>
            <w:proofErr w:type="gramStart"/>
            <w:r>
              <w:rPr>
                <w:rFonts w:eastAsia="Yu Mincho"/>
                <w:lang w:eastAsia="ja-JP"/>
              </w:rPr>
              <w:t>down-select</w:t>
            </w:r>
            <w:proofErr w:type="gramEnd"/>
            <w:r>
              <w:rPr>
                <w:rFonts w:eastAsia="Yu Mincho"/>
                <w:lang w:eastAsia="ja-JP"/>
              </w:rPr>
              <w:t xml:space="preserve">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3537F8">
            <w:pPr>
              <w:rPr>
                <w:rFonts w:eastAsia="Yu Mincho"/>
                <w:lang w:eastAsia="ja-JP"/>
              </w:rPr>
            </w:pPr>
            <w:r>
              <w:rPr>
                <w:rFonts w:eastAsia="Yu Mincho"/>
                <w:lang w:eastAsia="ja-JP"/>
              </w:rPr>
              <w:t>Nokia, NSB</w:t>
            </w:r>
          </w:p>
        </w:tc>
        <w:tc>
          <w:tcPr>
            <w:tcW w:w="1372" w:type="dxa"/>
          </w:tcPr>
          <w:p w14:paraId="067D88E3" w14:textId="04F57C98" w:rsidR="00CC5345" w:rsidRDefault="00CC5345" w:rsidP="003537F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3537F8">
            <w:pPr>
              <w:rPr>
                <w:rFonts w:eastAsia="Yu Mincho"/>
                <w:lang w:eastAsia="ja-JP"/>
              </w:rPr>
            </w:pPr>
            <w:r>
              <w:rPr>
                <w:rFonts w:eastAsia="Yu Mincho"/>
                <w:lang w:eastAsia="ja-JP"/>
              </w:rPr>
              <w:t>We are OK with the proposal and prefer Option 1.</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lastRenderedPageBreak/>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BA9E51"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lastRenderedPageBreak/>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lastRenderedPageBreak/>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7F535F3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w:t>
            </w:r>
            <w:r>
              <w:lastRenderedPageBreak/>
              <w:t>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lastRenderedPageBreak/>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lastRenderedPageBreak/>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lastRenderedPageBreak/>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lastRenderedPageBreak/>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lastRenderedPageBreak/>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Therefore, we suggest compromise solution</w:t>
            </w:r>
          </w:p>
          <w:p w14:paraId="13179E63" w14:textId="77777777" w:rsidR="00E13C80" w:rsidRDefault="00AE374F">
            <w:pPr>
              <w:rPr>
                <w:lang w:eastAsia="ko-KR"/>
              </w:rPr>
            </w:pPr>
            <w:r>
              <w:rPr>
                <w:highlight w:val="yellow"/>
                <w:lang w:eastAsia="ko-KR"/>
              </w:rPr>
              <w:lastRenderedPageBreak/>
              <w:t>Proposal-Nordic</w:t>
            </w:r>
          </w:p>
          <w:p w14:paraId="0C23F00B"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lastRenderedPageBreak/>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ko-KR"/>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lastRenderedPageBreak/>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lastRenderedPageBreak/>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lastRenderedPageBreak/>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 xml:space="preserve">In addition, we believe the same logic should be applied in Section 3.2, i.e. </w:t>
            </w:r>
            <w:proofErr w:type="gramStart"/>
            <w:r>
              <w:rPr>
                <w:rFonts w:eastAsiaTheme="minorEastAsia" w:hint="eastAsia"/>
                <w:lang w:eastAsia="zh-CN"/>
              </w:rPr>
              <w:t>a</w:t>
            </w:r>
            <w:proofErr w:type="gramEnd"/>
            <w:r>
              <w:rPr>
                <w:rFonts w:eastAsiaTheme="minorEastAsia" w:hint="eastAsia"/>
                <w:lang w:eastAsia="zh-CN"/>
              </w:rPr>
              <w:t xml:space="preserve">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lastRenderedPageBreak/>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 xml:space="preserve">For Case 8 of valid RO overlapping with PDCCH in Type 0/0A/1/2 CSS set, </w:t>
            </w:r>
            <w:proofErr w:type="gramStart"/>
            <w:r>
              <w:rPr>
                <w:rFonts w:eastAsia="Times New Roman"/>
              </w:rPr>
              <w:t>down-select</w:t>
            </w:r>
            <w:proofErr w:type="gramEnd"/>
            <w:r>
              <w:rPr>
                <w:rFonts w:eastAsia="Times New Roman"/>
              </w:rPr>
              <w:t xml:space="preserve">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lastRenderedPageBreak/>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lastRenderedPageBreak/>
              <w:t>Questions</w:t>
            </w:r>
            <w:r>
              <w:rPr>
                <w:rFonts w:eastAsiaTheme="minorEastAsia"/>
              </w:rPr>
              <w:t xml:space="preserve">: </w:t>
            </w:r>
            <w:r>
              <w:rPr>
                <w:rFonts w:eastAsiaTheme="minorEastAsia"/>
                <w:b/>
                <w:bCs/>
              </w:rPr>
              <w:t>Companies p</w:t>
            </w:r>
            <w:r>
              <w:rPr>
                <w:rFonts w:eastAsiaTheme="minorEastAsia"/>
                <w:b/>
                <w:bCs/>
                <w:lang w:eastAsia="zh-CN"/>
              </w:rPr>
              <w:t xml:space="preserve">lease provide any </w:t>
            </w:r>
            <w:proofErr w:type="gramStart"/>
            <w:r>
              <w:rPr>
                <w:rFonts w:eastAsiaTheme="minorEastAsia"/>
                <w:b/>
                <w:bCs/>
                <w:lang w:eastAsia="zh-CN"/>
              </w:rPr>
              <w:t>c</w:t>
            </w:r>
            <w:r>
              <w:rPr>
                <w:rFonts w:eastAsiaTheme="minorEastAsia" w:hint="eastAsia"/>
                <w:b/>
                <w:bCs/>
                <w:lang w:eastAsia="zh-CN"/>
              </w:rPr>
              <w:t>o</w:t>
            </w:r>
            <w:r>
              <w:rPr>
                <w:rFonts w:eastAsiaTheme="minorEastAsia"/>
                <w:b/>
                <w:bCs/>
                <w:lang w:eastAsia="zh-CN"/>
              </w:rPr>
              <w:t>mments, or</w:t>
            </w:r>
            <w:proofErr w:type="gramEnd"/>
            <w:r>
              <w:rPr>
                <w:rFonts w:eastAsiaTheme="minorEastAsia"/>
                <w:b/>
                <w:bCs/>
                <w:lang w:eastAsia="zh-CN"/>
              </w:rPr>
              <w:t xml:space="preserve">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lastRenderedPageBreak/>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lastRenderedPageBreak/>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w:t>
            </w:r>
            <w:r>
              <w:rPr>
                <w:rFonts w:eastAsia="SimSun" w:hint="eastAsia"/>
                <w:lang w:val="en-US" w:eastAsia="zh-CN"/>
              </w:rPr>
              <w:lastRenderedPageBreak/>
              <w:t>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41EE8FB9" w14:textId="77777777"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lastRenderedPageBreak/>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SimSun"/>
                <w:lang w:val="en-US" w:eastAsia="zh-CN"/>
              </w:rPr>
            </w:pPr>
            <w:r>
              <w:rPr>
                <w:rFonts w:eastAsia="SimSun"/>
                <w:lang w:val="en-US" w:eastAsia="zh-CN"/>
              </w:rPr>
              <w:lastRenderedPageBreak/>
              <w:t xml:space="preserve">Nordic </w:t>
            </w:r>
          </w:p>
        </w:tc>
        <w:tc>
          <w:tcPr>
            <w:tcW w:w="1576" w:type="dxa"/>
            <w:gridSpan w:val="2"/>
          </w:tcPr>
          <w:p w14:paraId="1C3368CE" w14:textId="3BBA79EC" w:rsidR="00311794" w:rsidRDefault="00922E4E">
            <w:pPr>
              <w:tabs>
                <w:tab w:val="left" w:pos="551"/>
              </w:tabs>
              <w:rPr>
                <w:rFonts w:eastAsia="SimSun"/>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3537F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3537F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3537F8">
            <w:pPr>
              <w:rPr>
                <w:rFonts w:eastAsia="Malgun Gothic"/>
                <w:lang w:eastAsia="ko-KR"/>
              </w:rPr>
            </w:pPr>
            <w:r>
              <w:rPr>
                <w:rFonts w:eastAsia="Malgun Gothic"/>
                <w:lang w:eastAsia="ko-KR"/>
              </w:rPr>
              <w:t>OK to fix typo as suggested by Nordic</w:t>
            </w: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lastRenderedPageBreak/>
              <w:t>Option 2</w:t>
            </w:r>
          </w:p>
        </w:tc>
        <w:tc>
          <w:tcPr>
            <w:tcW w:w="3510" w:type="dxa"/>
          </w:tcPr>
          <w:p w14:paraId="210FD3E3" w14:textId="77777777" w:rsidR="00E13C80" w:rsidRDefault="00AE374F">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74067EE"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lastRenderedPageBreak/>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lastRenderedPageBreak/>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w:t>
            </w:r>
            <w:r>
              <w:rPr>
                <w:rFonts w:eastAsiaTheme="minorEastAsia"/>
              </w:rPr>
              <w:lastRenderedPageBreak/>
              <w:t>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lastRenderedPageBreak/>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lastRenderedPageBreak/>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28E670B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w:t>
            </w:r>
            <w:proofErr w:type="gramStart"/>
            <w:r>
              <w:rPr>
                <w:rFonts w:eastAsiaTheme="minorEastAsia"/>
                <w:lang w:eastAsia="zh-CN"/>
              </w:rPr>
              <w:t>Therefore</w:t>
            </w:r>
            <w:proofErr w:type="gramEnd"/>
            <w:r>
              <w:rPr>
                <w:rFonts w:eastAsiaTheme="minorEastAsia"/>
                <w:lang w:eastAsia="zh-CN"/>
              </w:rPr>
              <w:t xml:space="preserv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lastRenderedPageBreak/>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lastRenderedPageBreak/>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w:t>
            </w:r>
            <w:proofErr w:type="gramStart"/>
            <w:r>
              <w:rPr>
                <w:rFonts w:eastAsia="Times New Roman"/>
              </w:rPr>
              <w:t>down-select</w:t>
            </w:r>
            <w:proofErr w:type="gramEnd"/>
            <w:r>
              <w:rPr>
                <w:rFonts w:eastAsia="Times New Roman"/>
              </w:rPr>
              <w:t xml:space="preserve">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5E3878CD"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w:t>
      </w:r>
      <w:proofErr w:type="gramStart"/>
      <w:r>
        <w:t>are</w:t>
      </w:r>
      <w:proofErr w:type="gramEnd"/>
      <w:r>
        <w:t xml:space="preserv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w:t>
            </w:r>
            <w:r>
              <w:lastRenderedPageBreak/>
              <w:t xml:space="preserve">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lastRenderedPageBreak/>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lastRenderedPageBreak/>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lastRenderedPageBreak/>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lastRenderedPageBreak/>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lastRenderedPageBreak/>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8F351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lastRenderedPageBreak/>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lastRenderedPageBreak/>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w:t>
            </w:r>
            <w:r>
              <w:rPr>
                <w:rFonts w:eastAsiaTheme="minorEastAsia"/>
              </w:rPr>
              <w:lastRenderedPageBreak/>
              <w:t xml:space="preserve">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lastRenderedPageBreak/>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4088D5E3"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w:t>
      </w:r>
      <w:r>
        <w:rPr>
          <w:lang w:eastAsia="ja-JP"/>
        </w:rPr>
        <w:lastRenderedPageBreak/>
        <w:t xml:space="preserve">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lastRenderedPageBreak/>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w:t>
            </w:r>
            <w:proofErr w:type="gramStart"/>
            <w:r>
              <w:rPr>
                <w:lang w:eastAsia="ko-KR"/>
              </w:rPr>
              <w:t>to</w:t>
            </w:r>
            <w:proofErr w:type="gramEnd"/>
            <w:r>
              <w:rPr>
                <w:lang w:eastAsia="ko-KR"/>
              </w:rPr>
              <w:t xml:space="preserve">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7777777" w:rsidR="00E13C80" w:rsidRDefault="00AE374F">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7AA7BFB3"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77777777" w:rsidR="00E13C80" w:rsidRDefault="00AE374F">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77777777" w:rsidR="00E13C80" w:rsidRDefault="00AE374F">
            <w:pPr>
              <w:spacing w:before="180"/>
              <w:rPr>
                <w:lang w:val="en-US" w:eastAsia="zh-CN"/>
              </w:rPr>
            </w:pPr>
            <w:r>
              <w:rPr>
                <w:lang w:val="en-US" w:eastAsia="zh-CN"/>
              </w:rPr>
              <w:t>Alt 1, agree with VIVO statement, this means that it is up to gNB to give enough time to UEs</w:t>
            </w:r>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77777777" w:rsidR="00E13C80" w:rsidRDefault="00AE374F">
            <w:pPr>
              <w:spacing w:before="180"/>
              <w:rPr>
                <w:rFonts w:eastAsiaTheme="minorEastAsia"/>
                <w:lang w:eastAsia="zh-CN"/>
              </w:rPr>
            </w:pPr>
            <w:r>
              <w:rPr>
                <w:lang w:val="en-US" w:eastAsia="zh-CN"/>
              </w:rPr>
              <w:t xml:space="preserve">We want to know whether the case is allowed, i.e. there is </w:t>
            </w:r>
            <w:proofErr w:type="gramStart"/>
            <w:r>
              <w:rPr>
                <w:lang w:val="en-US" w:eastAsia="zh-CN"/>
              </w:rPr>
              <w:t>no</w:t>
            </w:r>
            <w:proofErr w:type="gramEnd"/>
            <w:r>
              <w:rPr>
                <w:lang w:val="en-US" w:eastAsia="zh-CN"/>
              </w:rPr>
              <w:t xml:space="preserve"> enough switching time after overlap handling. Alt 1 is to say it is not allowed. Alt 2 and 3 are the contrary. In our view, it is hard for gNB to guarantee the gap after doing the specified overlapping handling rule Case 1/2/3/4/5/8.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lastRenderedPageBreak/>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lastRenderedPageBreak/>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77777777" w:rsidR="00E13C80" w:rsidRDefault="00AE374F">
            <w:pPr>
              <w:rPr>
                <w:rFonts w:eastAsiaTheme="minorEastAsia"/>
                <w:lang w:eastAsia="zh-CN"/>
              </w:rPr>
            </w:pPr>
            <w:r>
              <w:rPr>
                <w:rFonts w:eastAsiaTheme="minorEastAsia"/>
                <w:lang w:eastAsia="zh-CN"/>
              </w:rPr>
              <w:t xml:space="preserve">The companies who supported alt 3/4, would be good to know what is your understanding about existing TDD assumption and what’s new in HD-FDD that makes gNB difficult to avoid the case (i.e.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ko-KR"/>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ko-KR"/>
        </w:rPr>
        <w:lastRenderedPageBreak/>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Definition and Identification of HD-FDD UE</w:t>
      </w:r>
    </w:p>
    <w:p w14:paraId="7B9FEE67"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proofErr w:type="spellStart"/>
            <w:r>
              <w:t>Seunghoon</w:t>
            </w:r>
            <w:proofErr w:type="spellEnd"/>
            <w:r>
              <w:t xml:space="preserve">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8F3513">
            <w:pPr>
              <w:rPr>
                <w:color w:val="0000FF"/>
                <w:u w:val="single"/>
              </w:rPr>
            </w:pPr>
            <w:hyperlink r:id="rId17" w:history="1">
              <w:r w:rsidR="00AE374F">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8F3513">
            <w:pPr>
              <w:rPr>
                <w:color w:val="0000FF"/>
                <w:u w:val="single"/>
              </w:rPr>
            </w:pPr>
            <w:hyperlink r:id="rId18" w:history="1">
              <w:r w:rsidR="00AE374F">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8F3513">
            <w:hyperlink r:id="rId19" w:history="1">
              <w:r w:rsidR="00AE374F">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8F3513">
            <w:hyperlink r:id="rId20" w:history="1">
              <w:r w:rsidR="00AE374F">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8F3513">
            <w:hyperlink r:id="rId21" w:history="1">
              <w:r w:rsidR="00AE374F">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8F3513">
            <w:hyperlink r:id="rId22" w:history="1">
              <w:r w:rsidR="00AE374F">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8F3513">
            <w:hyperlink r:id="rId23" w:history="1">
              <w:r w:rsidR="00AE374F">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proofErr w:type="spellStart"/>
            <w:r>
              <w:rPr>
                <w:lang w:eastAsia="zh-CN"/>
              </w:rPr>
              <w:t>Spreadtrum</w:t>
            </w:r>
            <w:proofErr w:type="spellEnd"/>
            <w:r>
              <w:rPr>
                <w:lang w:eastAsia="zh-CN"/>
              </w:rPr>
              <w:t xml:space="preserve">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lastRenderedPageBreak/>
              <w:t>[8]</w:t>
            </w:r>
          </w:p>
        </w:tc>
        <w:tc>
          <w:tcPr>
            <w:tcW w:w="1456" w:type="dxa"/>
            <w:tcMar>
              <w:top w:w="0" w:type="dxa"/>
              <w:left w:w="70" w:type="dxa"/>
              <w:bottom w:w="0" w:type="dxa"/>
              <w:right w:w="70" w:type="dxa"/>
            </w:tcMar>
          </w:tcPr>
          <w:p w14:paraId="0C5D1308" w14:textId="77777777" w:rsidR="00E13C80" w:rsidRDefault="008F3513">
            <w:hyperlink r:id="rId24" w:history="1">
              <w:r w:rsidR="00AE374F">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 xml:space="preserve">ZTE, </w:t>
            </w:r>
            <w:proofErr w:type="spellStart"/>
            <w:r>
              <w:rPr>
                <w:lang w:eastAsia="zh-CN"/>
              </w:rPr>
              <w:t>Sanechips</w:t>
            </w:r>
            <w:proofErr w:type="spellEnd"/>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8F3513">
            <w:hyperlink r:id="rId25" w:history="1">
              <w:r w:rsidR="00AE374F">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8F3513">
            <w:hyperlink r:id="rId26" w:history="1">
              <w:r w:rsidR="00AE374F">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8F3513">
            <w:hyperlink r:id="rId27" w:history="1">
              <w:r w:rsidR="00AE374F">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8F3513">
            <w:hyperlink r:id="rId28" w:history="1">
              <w:r w:rsidR="00AE374F">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8F3513">
            <w:hyperlink r:id="rId29" w:history="1">
              <w:r w:rsidR="00AE374F">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8F3513">
            <w:hyperlink r:id="rId30" w:history="1">
              <w:r w:rsidR="00AE374F">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8F3513">
            <w:hyperlink r:id="rId31" w:history="1">
              <w:r w:rsidR="00AE374F">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8F3513">
            <w:hyperlink r:id="rId32" w:history="1">
              <w:r w:rsidR="00AE374F">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8F3513">
            <w:hyperlink r:id="rId33" w:history="1">
              <w:r w:rsidR="00AE374F">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8F3513">
            <w:hyperlink r:id="rId34" w:history="1">
              <w:r w:rsidR="00AE374F">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8F3513">
            <w:hyperlink r:id="rId35" w:history="1">
              <w:r w:rsidR="00AE374F">
                <w:rPr>
                  <w:rStyle w:val="Hyperlink"/>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8F3513">
            <w:hyperlink r:id="rId36" w:history="1">
              <w:r w:rsidR="00AE374F">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8F3513">
            <w:hyperlink r:id="rId37" w:history="1">
              <w:r w:rsidR="00AE374F">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proofErr w:type="spellStart"/>
            <w:r>
              <w:rPr>
                <w:lang w:eastAsia="zh-CN"/>
              </w:rPr>
              <w:t>InterDigital</w:t>
            </w:r>
            <w:proofErr w:type="spellEnd"/>
            <w:r>
              <w:rPr>
                <w:lang w:eastAsia="zh-CN"/>
              </w:rPr>
              <w:t>,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8F3513">
            <w:hyperlink r:id="rId38" w:history="1">
              <w:r w:rsidR="00AE374F">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8F3513">
            <w:hyperlink r:id="rId39" w:history="1">
              <w:r w:rsidR="00AE374F">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8F3513">
            <w:hyperlink r:id="rId40" w:history="1">
              <w:r w:rsidR="00AE374F">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8F3513">
            <w:hyperlink r:id="rId41" w:history="1">
              <w:r w:rsidR="00AE374F">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proofErr w:type="spellStart"/>
            <w:r>
              <w:rPr>
                <w:lang w:eastAsia="zh-CN"/>
              </w:rPr>
              <w:t>ASUSTeK</w:t>
            </w:r>
            <w:proofErr w:type="spellEnd"/>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8F3513">
            <w:hyperlink r:id="rId42" w:history="1">
              <w:r w:rsidR="00AE374F">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8F3513">
            <w:hyperlink r:id="rId43" w:history="1">
              <w:r w:rsidR="00AE374F">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2092"/>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Documents\3GPP%20documents\RAN1\TSGR1_106-e\Docs\R1-2107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20" Type="http://schemas.openxmlformats.org/officeDocument/2006/relationships/hyperlink" Target="file:///D:\Documents\3GPP%20documents\RAN1\TSGR1_106-e\Docs\R1-2106565.zip" TargetMode="External"/><Relationship Id="rId41"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26219</Words>
  <Characters>149453</Characters>
  <Application>Microsoft Office Word</Application>
  <DocSecurity>0</DocSecurity>
  <Lines>1245</Lines>
  <Paragraphs>350</Paragraphs>
  <ScaleCrop>false</ScaleCrop>
  <Company/>
  <LinksUpToDate>false</LinksUpToDate>
  <CharactersWithSpaces>175322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11</cp:revision>
  <cp:lastPrinted>2021-08-16T05:13:00Z</cp:lastPrinted>
  <dcterms:created xsi:type="dcterms:W3CDTF">2021-08-23T18:30:00Z</dcterms:created>
  <dcterms:modified xsi:type="dcterms:W3CDTF">2021-08-23T19:13:00Z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