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58A2" w14:textId="0E9441B5" w:rsidR="00471232" w:rsidRDefault="00673893">
      <w:pPr>
        <w:pStyle w:val="Header"/>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Heading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ListParagraph"/>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ListParagraph"/>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ListParagraph"/>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ListParagraph"/>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ListParagraph"/>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Heading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Strong"/>
                <w:highlight w:val="green"/>
              </w:rPr>
              <w:t>Agreement</w:t>
            </w:r>
            <w:r>
              <w:rPr>
                <w:rStyle w:val="Strong"/>
              </w:rPr>
              <w:t>:</w:t>
            </w:r>
          </w:p>
          <w:p w14:paraId="1582EE37" w14:textId="77777777" w:rsidR="00471232" w:rsidRDefault="00673893">
            <w:pPr>
              <w:numPr>
                <w:ilvl w:val="0"/>
                <w:numId w:val="18"/>
              </w:numPr>
              <w:spacing w:after="0"/>
              <w:rPr>
                <w:rFonts w:eastAsia="Times New Roman"/>
                <w:b/>
                <w:bCs/>
              </w:rPr>
            </w:pPr>
            <w:r>
              <w:rPr>
                <w:rStyle w:val="Strong"/>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ListParagraph"/>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ListParagraph"/>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ListParagraph"/>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ListParagraph"/>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ListParagraph"/>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TableGrid"/>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ListParagraph"/>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ListParagraph"/>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ListParagraph"/>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ListParagraph"/>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ListParagraph"/>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ListParagraph"/>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ListParagraph"/>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TableGrid"/>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095150A1" w:rsidR="001945D6" w:rsidRDefault="001945D6" w:rsidP="00B43A8A">
            <w:pPr>
              <w:rPr>
                <w:rFonts w:eastAsiaTheme="minorEastAsia"/>
                <w:lang w:eastAsia="zh-CN"/>
              </w:rPr>
            </w:pPr>
          </w:p>
        </w:tc>
        <w:tc>
          <w:tcPr>
            <w:tcW w:w="1936" w:type="dxa"/>
          </w:tcPr>
          <w:p w14:paraId="331E1A6F" w14:textId="77777777" w:rsidR="001945D6" w:rsidRDefault="001945D6" w:rsidP="00B43A8A">
            <w:pPr>
              <w:tabs>
                <w:tab w:val="left" w:pos="551"/>
              </w:tabs>
              <w:spacing w:after="0"/>
              <w:rPr>
                <w:lang w:eastAsia="ko-KR"/>
              </w:rPr>
            </w:pPr>
          </w:p>
        </w:tc>
        <w:tc>
          <w:tcPr>
            <w:tcW w:w="6216" w:type="dxa"/>
          </w:tcPr>
          <w:p w14:paraId="176A2E68" w14:textId="1D9E83D3" w:rsidR="001945D6" w:rsidRDefault="001945D6" w:rsidP="00B43A8A"/>
        </w:tc>
      </w:tr>
      <w:tr w:rsidR="001945D6" w14:paraId="54AF5129" w14:textId="77777777" w:rsidTr="00B43A8A">
        <w:tc>
          <w:tcPr>
            <w:tcW w:w="1479" w:type="dxa"/>
          </w:tcPr>
          <w:p w14:paraId="40D7A984" w14:textId="176E9B87" w:rsidR="001945D6" w:rsidRDefault="001945D6" w:rsidP="00B43A8A">
            <w:pPr>
              <w:rPr>
                <w:lang w:eastAsia="ko-KR"/>
              </w:rPr>
            </w:pPr>
          </w:p>
        </w:tc>
        <w:tc>
          <w:tcPr>
            <w:tcW w:w="1936" w:type="dxa"/>
          </w:tcPr>
          <w:p w14:paraId="2C8F16E7" w14:textId="77777777" w:rsidR="001945D6" w:rsidRDefault="001945D6" w:rsidP="00B43A8A">
            <w:pPr>
              <w:tabs>
                <w:tab w:val="left" w:pos="551"/>
              </w:tabs>
              <w:spacing w:after="0"/>
              <w:rPr>
                <w:lang w:eastAsia="ko-KR"/>
              </w:rPr>
            </w:pPr>
          </w:p>
        </w:tc>
        <w:tc>
          <w:tcPr>
            <w:tcW w:w="6216" w:type="dxa"/>
          </w:tcPr>
          <w:p w14:paraId="0FBCAFC2" w14:textId="64C967C3" w:rsidR="001945D6" w:rsidRDefault="001945D6" w:rsidP="00B43A8A">
            <w:pPr>
              <w:rPr>
                <w:lang w:eastAsia="ko-KR"/>
              </w:rPr>
            </w:pPr>
          </w:p>
        </w:tc>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Heading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lastRenderedPageBreak/>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 xml:space="preserve">it is mandatory with capability signalling to support at least 4 MIMO layers in the bands </w:t>
      </w:r>
      <w:r>
        <w:rPr>
          <w:rFonts w:eastAsia="SimSun"/>
          <w:sz w:val="21"/>
          <w:szCs w:val="21"/>
          <w:lang w:eastAsia="zh-CN"/>
        </w:rPr>
        <w:lastRenderedPageBreak/>
        <w:t>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ListParagraph"/>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ListParagraph"/>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lastRenderedPageBreak/>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5"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Heading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Heading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4749A881" w14:textId="77777777" w:rsidR="00471232" w:rsidRDefault="00822643">
      <w:pPr>
        <w:pStyle w:val="ListParagraph"/>
        <w:numPr>
          <w:ilvl w:val="0"/>
          <w:numId w:val="26"/>
        </w:numPr>
        <w:ind w:left="418" w:hanging="418"/>
        <w:contextualSpacing w:val="0"/>
        <w:rPr>
          <w:lang w:val="en-US" w:eastAsia="zh-CN"/>
        </w:rPr>
      </w:pPr>
      <w:hyperlink r:id="rId12" w:history="1">
        <w:r w:rsidR="00673893">
          <w:rPr>
            <w:rStyle w:val="Hyperlink"/>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822643">
      <w:pPr>
        <w:pStyle w:val="ListParagraph"/>
        <w:numPr>
          <w:ilvl w:val="0"/>
          <w:numId w:val="26"/>
        </w:numPr>
        <w:ind w:left="418" w:hanging="418"/>
        <w:contextualSpacing w:val="0"/>
        <w:rPr>
          <w:lang w:val="en-US" w:eastAsia="zh-CN"/>
        </w:rPr>
      </w:pPr>
      <w:hyperlink r:id="rId13" w:history="1">
        <w:r w:rsidR="00673893">
          <w:rPr>
            <w:rStyle w:val="Hyperlink"/>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822643">
      <w:pPr>
        <w:pStyle w:val="ListParagraph"/>
        <w:numPr>
          <w:ilvl w:val="0"/>
          <w:numId w:val="26"/>
        </w:numPr>
        <w:ind w:left="418" w:hanging="418"/>
        <w:contextualSpacing w:val="0"/>
        <w:rPr>
          <w:lang w:val="en-US" w:eastAsia="zh-CN"/>
        </w:rPr>
      </w:pPr>
      <w:hyperlink r:id="rId14" w:history="1">
        <w:r w:rsidR="00673893">
          <w:rPr>
            <w:rStyle w:val="Hyperlink"/>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822643">
      <w:pPr>
        <w:pStyle w:val="ListParagraph"/>
        <w:numPr>
          <w:ilvl w:val="0"/>
          <w:numId w:val="26"/>
        </w:numPr>
        <w:ind w:left="418" w:hanging="418"/>
        <w:contextualSpacing w:val="0"/>
        <w:rPr>
          <w:lang w:val="en-US" w:eastAsia="zh-CN"/>
        </w:rPr>
      </w:pPr>
      <w:hyperlink r:id="rId15" w:history="1">
        <w:r w:rsidR="00673893">
          <w:rPr>
            <w:rStyle w:val="Hyperlink"/>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822643">
      <w:pPr>
        <w:pStyle w:val="ListParagraph"/>
        <w:numPr>
          <w:ilvl w:val="0"/>
          <w:numId w:val="26"/>
        </w:numPr>
        <w:ind w:left="418" w:hanging="418"/>
        <w:contextualSpacing w:val="0"/>
        <w:rPr>
          <w:lang w:val="en-US" w:eastAsia="zh-CN"/>
        </w:rPr>
      </w:pPr>
      <w:hyperlink r:id="rId16" w:history="1">
        <w:r w:rsidR="00673893">
          <w:rPr>
            <w:rStyle w:val="Hyperlink"/>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822643">
      <w:pPr>
        <w:pStyle w:val="ListParagraph"/>
        <w:numPr>
          <w:ilvl w:val="0"/>
          <w:numId w:val="26"/>
        </w:numPr>
        <w:ind w:left="418" w:hanging="418"/>
        <w:contextualSpacing w:val="0"/>
        <w:rPr>
          <w:lang w:val="en-US" w:eastAsia="zh-CN"/>
        </w:rPr>
      </w:pPr>
      <w:hyperlink r:id="rId17" w:history="1">
        <w:r w:rsidR="00673893">
          <w:rPr>
            <w:rStyle w:val="Hyperlink"/>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822643">
      <w:pPr>
        <w:pStyle w:val="ListParagraph"/>
        <w:numPr>
          <w:ilvl w:val="0"/>
          <w:numId w:val="26"/>
        </w:numPr>
        <w:ind w:left="418" w:hanging="418"/>
        <w:contextualSpacing w:val="0"/>
        <w:rPr>
          <w:lang w:val="en-US" w:eastAsia="zh-CN"/>
        </w:rPr>
      </w:pPr>
      <w:hyperlink r:id="rId18" w:history="1">
        <w:r w:rsidR="00673893">
          <w:rPr>
            <w:rStyle w:val="Hyperlink"/>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822643">
      <w:pPr>
        <w:pStyle w:val="ListParagraph"/>
        <w:numPr>
          <w:ilvl w:val="0"/>
          <w:numId w:val="26"/>
        </w:numPr>
        <w:ind w:left="418" w:hanging="418"/>
        <w:contextualSpacing w:val="0"/>
        <w:rPr>
          <w:lang w:val="en-US" w:eastAsia="zh-CN"/>
        </w:rPr>
      </w:pPr>
      <w:hyperlink r:id="rId19" w:history="1">
        <w:r w:rsidR="00673893">
          <w:rPr>
            <w:rStyle w:val="Hyperlink"/>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822643">
      <w:pPr>
        <w:pStyle w:val="ListParagraph"/>
        <w:numPr>
          <w:ilvl w:val="0"/>
          <w:numId w:val="26"/>
        </w:numPr>
        <w:ind w:left="418" w:hanging="418"/>
        <w:contextualSpacing w:val="0"/>
        <w:rPr>
          <w:lang w:val="en-US" w:eastAsia="zh-CN"/>
        </w:rPr>
      </w:pPr>
      <w:hyperlink r:id="rId20" w:history="1">
        <w:r w:rsidR="00673893">
          <w:rPr>
            <w:rStyle w:val="Hyperlink"/>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822643">
      <w:pPr>
        <w:pStyle w:val="ListParagraph"/>
        <w:numPr>
          <w:ilvl w:val="0"/>
          <w:numId w:val="26"/>
        </w:numPr>
        <w:ind w:left="418" w:hanging="418"/>
        <w:contextualSpacing w:val="0"/>
        <w:rPr>
          <w:lang w:val="en-US" w:eastAsia="zh-CN"/>
        </w:rPr>
      </w:pPr>
      <w:hyperlink r:id="rId21" w:history="1">
        <w:r w:rsidR="00673893">
          <w:rPr>
            <w:rStyle w:val="Hyperlink"/>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822643">
      <w:pPr>
        <w:pStyle w:val="ListParagraph"/>
        <w:numPr>
          <w:ilvl w:val="0"/>
          <w:numId w:val="26"/>
        </w:numPr>
        <w:ind w:left="418" w:hanging="418"/>
        <w:contextualSpacing w:val="0"/>
        <w:rPr>
          <w:lang w:val="en-US" w:eastAsia="zh-CN"/>
        </w:rPr>
      </w:pPr>
      <w:hyperlink r:id="rId22" w:history="1">
        <w:r w:rsidR="00673893">
          <w:rPr>
            <w:rStyle w:val="Hyperlink"/>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822643">
      <w:pPr>
        <w:pStyle w:val="ListParagraph"/>
        <w:numPr>
          <w:ilvl w:val="0"/>
          <w:numId w:val="26"/>
        </w:numPr>
        <w:ind w:left="418" w:hanging="418"/>
        <w:contextualSpacing w:val="0"/>
        <w:rPr>
          <w:lang w:val="en-US" w:eastAsia="zh-CN"/>
        </w:rPr>
      </w:pPr>
      <w:hyperlink r:id="rId23" w:history="1">
        <w:r w:rsidR="00673893">
          <w:rPr>
            <w:rStyle w:val="Hyperlink"/>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822643">
      <w:pPr>
        <w:pStyle w:val="ListParagraph"/>
        <w:numPr>
          <w:ilvl w:val="0"/>
          <w:numId w:val="26"/>
        </w:numPr>
        <w:ind w:left="418" w:hanging="418"/>
        <w:contextualSpacing w:val="0"/>
        <w:rPr>
          <w:lang w:val="en-US" w:eastAsia="zh-CN"/>
        </w:rPr>
      </w:pPr>
      <w:hyperlink r:id="rId24" w:history="1">
        <w:r w:rsidR="00673893">
          <w:rPr>
            <w:rStyle w:val="Hyperlink"/>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822643">
      <w:pPr>
        <w:pStyle w:val="ListParagraph"/>
        <w:numPr>
          <w:ilvl w:val="0"/>
          <w:numId w:val="26"/>
        </w:numPr>
        <w:ind w:left="418" w:hanging="418"/>
        <w:contextualSpacing w:val="0"/>
        <w:rPr>
          <w:lang w:val="en-US" w:eastAsia="zh-CN"/>
        </w:rPr>
      </w:pPr>
      <w:hyperlink r:id="rId25" w:history="1">
        <w:r w:rsidR="00673893">
          <w:rPr>
            <w:rStyle w:val="Hyperlink"/>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822643">
      <w:pPr>
        <w:pStyle w:val="ListParagraph"/>
        <w:numPr>
          <w:ilvl w:val="0"/>
          <w:numId w:val="26"/>
        </w:numPr>
        <w:ind w:left="418" w:hanging="418"/>
        <w:contextualSpacing w:val="0"/>
        <w:rPr>
          <w:lang w:val="en-US" w:eastAsia="zh-CN"/>
        </w:rPr>
      </w:pPr>
      <w:hyperlink r:id="rId26" w:history="1">
        <w:r w:rsidR="00673893">
          <w:rPr>
            <w:rStyle w:val="Hyperlink"/>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822643">
      <w:pPr>
        <w:pStyle w:val="ListParagraph"/>
        <w:numPr>
          <w:ilvl w:val="0"/>
          <w:numId w:val="26"/>
        </w:numPr>
        <w:ind w:left="418" w:hanging="418"/>
        <w:contextualSpacing w:val="0"/>
        <w:rPr>
          <w:lang w:val="en-US" w:eastAsia="zh-CN"/>
        </w:rPr>
      </w:pPr>
      <w:hyperlink r:id="rId27" w:history="1">
        <w:r w:rsidR="00673893">
          <w:rPr>
            <w:rStyle w:val="Hyperlink"/>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822643">
      <w:pPr>
        <w:pStyle w:val="ListParagraph"/>
        <w:numPr>
          <w:ilvl w:val="0"/>
          <w:numId w:val="26"/>
        </w:numPr>
        <w:ind w:left="418" w:hanging="418"/>
        <w:contextualSpacing w:val="0"/>
        <w:rPr>
          <w:lang w:val="en-US" w:eastAsia="zh-CN"/>
        </w:rPr>
      </w:pPr>
      <w:hyperlink r:id="rId28" w:history="1">
        <w:r w:rsidR="00673893">
          <w:rPr>
            <w:rStyle w:val="Hyperlink"/>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822643">
      <w:pPr>
        <w:pStyle w:val="ListParagraph"/>
        <w:numPr>
          <w:ilvl w:val="0"/>
          <w:numId w:val="26"/>
        </w:numPr>
        <w:ind w:left="418" w:hanging="418"/>
        <w:contextualSpacing w:val="0"/>
        <w:rPr>
          <w:lang w:val="en-US" w:eastAsia="zh-CN"/>
        </w:rPr>
      </w:pPr>
      <w:hyperlink r:id="rId29" w:history="1">
        <w:r w:rsidR="00673893">
          <w:rPr>
            <w:rStyle w:val="Hyperlink"/>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822643">
      <w:pPr>
        <w:pStyle w:val="ListParagraph"/>
        <w:numPr>
          <w:ilvl w:val="0"/>
          <w:numId w:val="26"/>
        </w:numPr>
        <w:ind w:left="418" w:hanging="418"/>
        <w:contextualSpacing w:val="0"/>
        <w:rPr>
          <w:lang w:val="en-US" w:eastAsia="zh-CN"/>
        </w:rPr>
      </w:pPr>
      <w:hyperlink r:id="rId30" w:history="1">
        <w:r w:rsidR="00673893">
          <w:rPr>
            <w:rStyle w:val="Hyperlink"/>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20"/>
  </w:num>
  <w:num w:numId="7">
    <w:abstractNumId w:val="3"/>
  </w:num>
  <w:num w:numId="8">
    <w:abstractNumId w:val="10"/>
  </w:num>
  <w:num w:numId="9">
    <w:abstractNumId w:val="24"/>
  </w:num>
  <w:num w:numId="10">
    <w:abstractNumId w:val="5"/>
  </w:num>
  <w:num w:numId="11">
    <w:abstractNumId w:val="22"/>
  </w:num>
  <w:num w:numId="12">
    <w:abstractNumId w:val="4"/>
  </w:num>
  <w:num w:numId="13">
    <w:abstractNumId w:val="17"/>
  </w:num>
  <w:num w:numId="14">
    <w:abstractNumId w:val="25"/>
  </w:num>
  <w:num w:numId="15">
    <w:abstractNumId w:val="19"/>
  </w:num>
  <w:num w:numId="16">
    <w:abstractNumId w:val="14"/>
  </w:num>
  <w:num w:numId="17">
    <w:abstractNumId w:val="9"/>
  </w:num>
  <w:num w:numId="18">
    <w:abstractNumId w:val="21"/>
  </w:num>
  <w:num w:numId="19">
    <w:abstractNumId w:val="8"/>
  </w:num>
  <w:num w:numId="20">
    <w:abstractNumId w:val="26"/>
  </w:num>
  <w:num w:numId="21">
    <w:abstractNumId w:val="11"/>
  </w:num>
  <w:num w:numId="22">
    <w:abstractNumId w:val="13"/>
  </w:num>
  <w:num w:numId="23">
    <w:abstractNumId w:val="7"/>
  </w:num>
  <w:num w:numId="24">
    <w:abstractNumId w:val="2"/>
  </w:num>
  <w:num w:numId="25">
    <w:abstractNumId w:val="6"/>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098EEBB-6A8E-4FFB-9884-88C4B8C1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8201</Words>
  <Characters>46747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14</cp:revision>
  <dcterms:created xsi:type="dcterms:W3CDTF">2021-08-18T01:07:00Z</dcterms:created>
  <dcterms:modified xsi:type="dcterms:W3CDTF">2021-08-19T01:28:00Z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