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ko-KR"/>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ko-KR"/>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ListParagraph"/>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r>
              <w:rPr>
                <w:rFonts w:eastAsia="SimSun"/>
                <w:lang w:val="en-US" w:eastAsia="zh-CN"/>
              </w:rPr>
              <w:t xml:space="preserve">Thanks FL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ko-KR"/>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t it finish 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ListParagraph"/>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ListParagraph"/>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ListParagraph"/>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ListParagraph"/>
              <w:rPr>
                <w:lang w:val="en-US" w:eastAsia="ko-KR"/>
              </w:rPr>
            </w:pPr>
          </w:p>
          <w:p w14:paraId="337FFF69" w14:textId="29C00E50" w:rsidR="00D6289E" w:rsidRDefault="00D6289E" w:rsidP="00D6289E">
            <w:pPr>
              <w:pStyle w:val="ListParagraph"/>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ListParagraph"/>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ListParagraph"/>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552897">
            <w:pPr>
              <w:pStyle w:val="ListParagraph"/>
              <w:numPr>
                <w:ilvl w:val="0"/>
                <w:numId w:val="92"/>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552897">
            <w:pPr>
              <w:pStyle w:val="ListParagraph"/>
              <w:numPr>
                <w:ilvl w:val="0"/>
                <w:numId w:val="92"/>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ListParagraph"/>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ListParagraph"/>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ListParagraph"/>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ListParagraph"/>
              <w:rPr>
                <w:lang w:val="en-US" w:eastAsia="ko-KR"/>
              </w:rPr>
            </w:pPr>
          </w:p>
          <w:p w14:paraId="019DE330" w14:textId="77777777" w:rsidR="008A09E0" w:rsidRDefault="008A09E0" w:rsidP="008A09E0">
            <w:pPr>
              <w:pStyle w:val="ListParagraph"/>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ListParagraph"/>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ListParagraph"/>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t xml:space="preserve">Nordic </w:t>
            </w:r>
          </w:p>
        </w:tc>
        <w:tc>
          <w:tcPr>
            <w:tcW w:w="8275" w:type="dxa"/>
          </w:tcPr>
          <w:p w14:paraId="1D79DDBC" w14:textId="77777777" w:rsidR="005E63E3" w:rsidRDefault="005E63E3" w:rsidP="005E63E3">
            <w:pPr>
              <w:pStyle w:val="ListParagraph"/>
              <w:numPr>
                <w:ilvl w:val="0"/>
                <w:numId w:val="93"/>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5E63E3">
            <w:pPr>
              <w:pStyle w:val="ListParagraph"/>
              <w:numPr>
                <w:ilvl w:val="0"/>
                <w:numId w:val="93"/>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087E15">
            <w:pPr>
              <w:pStyle w:val="ListParagraph"/>
              <w:numPr>
                <w:ilvl w:val="0"/>
                <w:numId w:val="94"/>
              </w:numPr>
              <w:rPr>
                <w:lang w:val="en-US" w:eastAsia="ko-KR"/>
              </w:rPr>
            </w:pPr>
            <w:r>
              <w:rPr>
                <w:lang w:val="en-US" w:eastAsia="ko-KR"/>
              </w:rPr>
              <w:t xml:space="preserve">Does not have to, it should </w:t>
            </w:r>
            <w:r>
              <w:rPr>
                <w:lang w:val="en-US" w:eastAsia="ko-KR"/>
              </w:rPr>
              <w:t>contain</w:t>
            </w:r>
            <w:r>
              <w:rPr>
                <w:lang w:val="en-US" w:eastAsia="ko-KR"/>
              </w:rPr>
              <w:t xml:space="preserve"> pdcch-ConfigCommon</w:t>
            </w:r>
          </w:p>
          <w:p w14:paraId="4446A81D" w14:textId="77777777" w:rsidR="00087E15" w:rsidRDefault="00087E15" w:rsidP="00087E15">
            <w:pPr>
              <w:rPr>
                <w:lang w:val="en-US" w:eastAsia="ko-KR"/>
              </w:rPr>
            </w:pP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8F739C">
            <w:pPr>
              <w:pStyle w:val="ListParagraph"/>
              <w:numPr>
                <w:ilvl w:val="0"/>
                <w:numId w:val="91"/>
              </w:numPr>
              <w:rPr>
                <w:szCs w:val="22"/>
                <w:lang w:val="en-US" w:eastAsia="ko-KR"/>
              </w:rPr>
            </w:pPr>
            <w:r>
              <w:rPr>
                <w:szCs w:val="22"/>
                <w:lang w:val="en-US" w:eastAsia="ko-KR"/>
              </w:rPr>
              <w:t>CORESET0 and SIB1 may or may not be included</w:t>
            </w:r>
          </w:p>
          <w:p w14:paraId="5E7F9F62" w14:textId="158C7B45" w:rsidR="001842AE" w:rsidRDefault="001842AE" w:rsidP="008F739C">
            <w:pPr>
              <w:pStyle w:val="ListParagraph"/>
              <w:numPr>
                <w:ilvl w:val="0"/>
                <w:numId w:val="91"/>
              </w:numPr>
              <w:rPr>
                <w:szCs w:val="22"/>
                <w:lang w:val="en-US" w:eastAsia="ko-KR"/>
              </w:rPr>
            </w:pPr>
            <w:r>
              <w:rPr>
                <w:szCs w:val="22"/>
                <w:lang w:val="en-US" w:eastAsia="ko-KR"/>
              </w:rPr>
              <w:t>SSB and periodical TRS should be included</w:t>
            </w:r>
          </w:p>
          <w:p w14:paraId="49888614" w14:textId="7286FC6E" w:rsidR="001842AE" w:rsidRDefault="001842AE" w:rsidP="008F739C">
            <w:pPr>
              <w:pStyle w:val="ListParagraph"/>
              <w:numPr>
                <w:ilvl w:val="0"/>
                <w:numId w:val="91"/>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8F739C">
            <w:pPr>
              <w:pStyle w:val="ListParagraph"/>
              <w:numPr>
                <w:ilvl w:val="0"/>
                <w:numId w:val="91"/>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8F739C">
            <w:pPr>
              <w:pStyle w:val="ListParagraph"/>
              <w:numPr>
                <w:ilvl w:val="0"/>
                <w:numId w:val="91"/>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ListParagraph"/>
              <w:spacing w:after="0" w:line="240" w:lineRule="auto"/>
              <w:contextualSpacing w:val="0"/>
              <w:jc w:val="both"/>
              <w:rPr>
                <w:szCs w:val="22"/>
              </w:rPr>
            </w:pPr>
          </w:p>
          <w:p w14:paraId="00E95E9E" w14:textId="4684B871" w:rsidR="008F739C" w:rsidRPr="008F739C" w:rsidRDefault="008F739C" w:rsidP="008F739C">
            <w:pPr>
              <w:pStyle w:val="ListParagraph"/>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8F739C">
            <w:pPr>
              <w:pStyle w:val="ListParagraph"/>
              <w:numPr>
                <w:ilvl w:val="1"/>
                <w:numId w:val="91"/>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ListParagraph"/>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t xml:space="preserve">Nordic </w:t>
            </w:r>
          </w:p>
        </w:tc>
        <w:tc>
          <w:tcPr>
            <w:tcW w:w="8275" w:type="dxa"/>
          </w:tcPr>
          <w:p w14:paraId="56C558F0" w14:textId="71FF515A" w:rsidR="00832D48" w:rsidRDefault="00832D48" w:rsidP="00832D48">
            <w:pPr>
              <w:pStyle w:val="ListParagraph"/>
              <w:numPr>
                <w:ilvl w:val="0"/>
                <w:numId w:val="95"/>
              </w:numPr>
              <w:rPr>
                <w:lang w:val="en-US" w:eastAsia="ko-KR"/>
              </w:rPr>
            </w:pPr>
            <w:r>
              <w:rPr>
                <w:lang w:val="en-US" w:eastAsia="ko-KR"/>
              </w:rPr>
              <w:t>CORESET#0 by MIB is not necessary, but having separate CORESET#0 and/or CommonCORESET +   TYPE0/0A/TYPE1/TYPE2 SS sets configured by pdcch-ConfigCommon is must on Pcell as per RAN2 specification, otherwise UE does not receive paging/RAR/SIB</w:t>
            </w:r>
            <w:r>
              <w:rPr>
                <w:lang w:val="en-US" w:eastAsia="ko-KR"/>
              </w:rPr>
              <w:t>s</w:t>
            </w:r>
            <w:r>
              <w:rPr>
                <w:lang w:val="en-US" w:eastAsia="ko-KR"/>
              </w:rPr>
              <w:t xml:space="preserve"> in this BWP. This is how NR works. </w:t>
            </w:r>
          </w:p>
          <w:p w14:paraId="6BF1D11E" w14:textId="77777777" w:rsidR="00832D48" w:rsidRDefault="00832D48" w:rsidP="00832D48">
            <w:pPr>
              <w:pStyle w:val="ListParagraph"/>
              <w:numPr>
                <w:ilvl w:val="0"/>
                <w:numId w:val="95"/>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832D48">
            <w:pPr>
              <w:pStyle w:val="ListParagraph"/>
              <w:numPr>
                <w:ilvl w:val="0"/>
                <w:numId w:val="95"/>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832D48">
            <w:pPr>
              <w:pStyle w:val="ListParagraph"/>
              <w:numPr>
                <w:ilvl w:val="0"/>
                <w:numId w:val="95"/>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ko-KR"/>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ko-KR"/>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ko-KR"/>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7644E9">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7644E9">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7644E9">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7644E9">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7644E9">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7644E9">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7644E9">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7644E9">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7644E9">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7644E9">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7644E9">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7644E9">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7644E9">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7644E9">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7644E9">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7644E9">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7644E9">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7644E9">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7644E9">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7644E9">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t>[21]</w:t>
            </w:r>
          </w:p>
        </w:tc>
        <w:tc>
          <w:tcPr>
            <w:tcW w:w="1456" w:type="dxa"/>
            <w:tcMar>
              <w:top w:w="0" w:type="dxa"/>
              <w:left w:w="70" w:type="dxa"/>
              <w:bottom w:w="0" w:type="dxa"/>
              <w:right w:w="70" w:type="dxa"/>
            </w:tcMar>
          </w:tcPr>
          <w:p w14:paraId="795D1A4D" w14:textId="77777777" w:rsidR="00C6295E" w:rsidRDefault="007644E9">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7644E9">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7644E9">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7644E9">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7644E9">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7644E9">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7644E9">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7644E9">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7644E9">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7644E9">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7644E9">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7644E9">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7644E9">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7644E9">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7644E9">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7644E9">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7644E9">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7644E9">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7644E9">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7644E9">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7644E9">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7644E9">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7644E9">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7644E9">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7644E9"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7644E9"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D0334" w14:textId="77777777" w:rsidR="007644E9" w:rsidRDefault="007644E9" w:rsidP="0046414F">
      <w:pPr>
        <w:spacing w:after="0" w:line="240" w:lineRule="auto"/>
      </w:pPr>
      <w:r>
        <w:separator/>
      </w:r>
    </w:p>
  </w:endnote>
  <w:endnote w:type="continuationSeparator" w:id="0">
    <w:p w14:paraId="7171855E" w14:textId="77777777" w:rsidR="007644E9" w:rsidRDefault="007644E9"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P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3AC8" w14:textId="77777777" w:rsidR="007644E9" w:rsidRDefault="007644E9" w:rsidP="0046414F">
      <w:pPr>
        <w:spacing w:after="0" w:line="240" w:lineRule="auto"/>
      </w:pPr>
      <w:r>
        <w:separator/>
      </w:r>
    </w:p>
  </w:footnote>
  <w:footnote w:type="continuationSeparator" w:id="0">
    <w:p w14:paraId="22A507FE" w14:textId="77777777" w:rsidR="007644E9" w:rsidRDefault="007644E9"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0"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1509D6"/>
    <w:multiLevelType w:val="hybridMultilevel"/>
    <w:tmpl w:val="BE8EE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27"/>
  </w:num>
  <w:num w:numId="5">
    <w:abstractNumId w:val="40"/>
    <w:lvlOverride w:ilvl="0">
      <w:startOverride w:val="1"/>
    </w:lvlOverride>
  </w:num>
  <w:num w:numId="6">
    <w:abstractNumId w:val="41"/>
  </w:num>
  <w:num w:numId="7">
    <w:abstractNumId w:val="56"/>
  </w:num>
  <w:num w:numId="8">
    <w:abstractNumId w:val="18"/>
  </w:num>
  <w:num w:numId="9">
    <w:abstractNumId w:val="23"/>
  </w:num>
  <w:num w:numId="10">
    <w:abstractNumId w:val="63"/>
  </w:num>
  <w:num w:numId="11">
    <w:abstractNumId w:val="65"/>
  </w:num>
  <w:num w:numId="12">
    <w:abstractNumId w:val="20"/>
  </w:num>
  <w:num w:numId="13">
    <w:abstractNumId w:val="68"/>
  </w:num>
  <w:num w:numId="14">
    <w:abstractNumId w:val="39"/>
  </w:num>
  <w:num w:numId="15">
    <w:abstractNumId w:val="49"/>
  </w:num>
  <w:num w:numId="16">
    <w:abstractNumId w:val="45"/>
  </w:num>
  <w:num w:numId="17">
    <w:abstractNumId w:val="36"/>
  </w:num>
  <w:num w:numId="18">
    <w:abstractNumId w:val="57"/>
  </w:num>
  <w:num w:numId="19">
    <w:abstractNumId w:val="70"/>
  </w:num>
  <w:num w:numId="20">
    <w:abstractNumId w:val="9"/>
  </w:num>
  <w:num w:numId="21">
    <w:abstractNumId w:val="14"/>
  </w:num>
  <w:num w:numId="22">
    <w:abstractNumId w:val="25"/>
  </w:num>
  <w:num w:numId="23">
    <w:abstractNumId w:val="35"/>
  </w:num>
  <w:num w:numId="24">
    <w:abstractNumId w:val="54"/>
  </w:num>
  <w:num w:numId="25">
    <w:abstractNumId w:val="46"/>
  </w:num>
  <w:num w:numId="26">
    <w:abstractNumId w:val="15"/>
  </w:num>
  <w:num w:numId="27">
    <w:abstractNumId w:val="62"/>
  </w:num>
  <w:num w:numId="28">
    <w:abstractNumId w:val="52"/>
  </w:num>
  <w:num w:numId="29">
    <w:abstractNumId w:val="78"/>
  </w:num>
  <w:num w:numId="30">
    <w:abstractNumId w:val="42"/>
  </w:num>
  <w:num w:numId="31">
    <w:abstractNumId w:val="66"/>
  </w:num>
  <w:num w:numId="32">
    <w:abstractNumId w:val="72"/>
  </w:num>
  <w:num w:numId="33">
    <w:abstractNumId w:val="7"/>
  </w:num>
  <w:num w:numId="34">
    <w:abstractNumId w:val="29"/>
  </w:num>
  <w:num w:numId="35">
    <w:abstractNumId w:val="81"/>
  </w:num>
  <w:num w:numId="36">
    <w:abstractNumId w:val="61"/>
  </w:num>
  <w:num w:numId="37">
    <w:abstractNumId w:val="74"/>
  </w:num>
  <w:num w:numId="38">
    <w:abstractNumId w:val="69"/>
  </w:num>
  <w:num w:numId="39">
    <w:abstractNumId w:val="53"/>
  </w:num>
  <w:num w:numId="40">
    <w:abstractNumId w:val="4"/>
  </w:num>
  <w:num w:numId="41">
    <w:abstractNumId w:val="12"/>
  </w:num>
  <w:num w:numId="42">
    <w:abstractNumId w:val="33"/>
  </w:num>
  <w:num w:numId="43">
    <w:abstractNumId w:val="11"/>
  </w:num>
  <w:num w:numId="44">
    <w:abstractNumId w:val="30"/>
  </w:num>
  <w:num w:numId="45">
    <w:abstractNumId w:val="59"/>
  </w:num>
  <w:num w:numId="46">
    <w:abstractNumId w:val="19"/>
  </w:num>
  <w:num w:numId="47">
    <w:abstractNumId w:val="32"/>
  </w:num>
  <w:num w:numId="48">
    <w:abstractNumId w:val="73"/>
  </w:num>
  <w:num w:numId="49">
    <w:abstractNumId w:val="79"/>
  </w:num>
  <w:num w:numId="50">
    <w:abstractNumId w:val="26"/>
  </w:num>
  <w:num w:numId="51">
    <w:abstractNumId w:val="76"/>
  </w:num>
  <w:num w:numId="52">
    <w:abstractNumId w:val="48"/>
  </w:num>
  <w:num w:numId="53">
    <w:abstractNumId w:val="71"/>
  </w:num>
  <w:num w:numId="54">
    <w:abstractNumId w:val="47"/>
  </w:num>
  <w:num w:numId="55">
    <w:abstractNumId w:val="17"/>
  </w:num>
  <w:num w:numId="56">
    <w:abstractNumId w:val="82"/>
  </w:num>
  <w:num w:numId="57">
    <w:abstractNumId w:val="75"/>
  </w:num>
  <w:num w:numId="58">
    <w:abstractNumId w:val="77"/>
  </w:num>
  <w:num w:numId="59">
    <w:abstractNumId w:val="22"/>
  </w:num>
  <w:num w:numId="60">
    <w:abstractNumId w:val="58"/>
  </w:num>
  <w:num w:numId="61">
    <w:abstractNumId w:val="64"/>
  </w:num>
  <w:num w:numId="62">
    <w:abstractNumId w:val="10"/>
  </w:num>
  <w:num w:numId="63">
    <w:abstractNumId w:val="31"/>
  </w:num>
  <w:num w:numId="64">
    <w:abstractNumId w:val="80"/>
  </w:num>
  <w:num w:numId="65">
    <w:abstractNumId w:val="8"/>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67"/>
  </w:num>
  <w:num w:numId="69">
    <w:abstractNumId w:val="50"/>
  </w:num>
  <w:num w:numId="70">
    <w:abstractNumId w:val="39"/>
  </w:num>
  <w:num w:numId="71">
    <w:abstractNumId w:val="49"/>
  </w:num>
  <w:num w:numId="72">
    <w:abstractNumId w:val="45"/>
  </w:num>
  <w:num w:numId="73">
    <w:abstractNumId w:val="36"/>
  </w:num>
  <w:num w:numId="74">
    <w:abstractNumId w:val="57"/>
  </w:num>
  <w:num w:numId="75">
    <w:abstractNumId w:val="70"/>
  </w:num>
  <w:num w:numId="76">
    <w:abstractNumId w:val="9"/>
  </w:num>
  <w:num w:numId="77">
    <w:abstractNumId w:val="14"/>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4"/>
  </w:num>
  <w:num w:numId="81">
    <w:abstractNumId w:val="46"/>
  </w:num>
  <w:num w:numId="82">
    <w:abstractNumId w:val="38"/>
  </w:num>
  <w:num w:numId="83">
    <w:abstractNumId w:val="44"/>
  </w:num>
  <w:num w:numId="84">
    <w:abstractNumId w:val="34"/>
  </w:num>
  <w:num w:numId="85">
    <w:abstractNumId w:val="51"/>
  </w:num>
  <w:num w:numId="86">
    <w:abstractNumId w:val="43"/>
  </w:num>
  <w:num w:numId="87">
    <w:abstractNumId w:val="24"/>
  </w:num>
  <w:num w:numId="88">
    <w:abstractNumId w:val="16"/>
  </w:num>
  <w:num w:numId="89">
    <w:abstractNumId w:val="2"/>
  </w:num>
  <w:num w:numId="90">
    <w:abstractNumId w:val="37"/>
  </w:num>
  <w:num w:numId="91">
    <w:abstractNumId w:val="3"/>
  </w:num>
  <w:num w:numId="92">
    <w:abstractNumId w:val="55"/>
  </w:num>
  <w:num w:numId="93">
    <w:abstractNumId w:val="60"/>
  </w:num>
  <w:num w:numId="94">
    <w:abstractNumId w:val="5"/>
  </w:num>
  <w:num w:numId="95">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SimSun" w:eastAsia="SimSun"/>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styleId="UnresolvedMention">
    <w:name w:val="Unresolved Mention"/>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664B2-8B1C-49B9-BEE9-E79B2814D1A6}">
  <ds:schemaRefs>
    <ds:schemaRef ds:uri="http://schemas.openxmlformats.org/officeDocument/2006/bibliography"/>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28514</Words>
  <Characters>230968</Characters>
  <Application>Microsoft Office Word</Application>
  <DocSecurity>0</DocSecurity>
  <Lines>1924</Lines>
  <Paragraphs>517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258965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11</cp:revision>
  <dcterms:created xsi:type="dcterms:W3CDTF">2021-08-24T19:19:00Z</dcterms:created>
  <dcterms:modified xsi:type="dcterms:W3CDTF">2021-08-24T20:46:00Z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