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C6099">
            <w:rPr>
              <w:rStyle w:val="PlaceholderText"/>
            </w:rPr>
            <w:t>[Status]</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EA24A57" w14:textId="77777777" w:rsidR="00014D5E" w:rsidRDefault="00534F9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ko-KR"/>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4.65pt;height:14.65pt;mso-width-percent:0;mso-height-percent:0;mso-width-percent:0;mso-height-percent:0" o:ole="">
                  <v:imagedata r:id="rId14" o:title=""/>
                </v:shape>
                <o:OLEObject Type="Embed" ProgID="Equation.3" ShapeID="_x0000_i1047" DrawAspect="Content" ObjectID="_1691284238"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46" type="#_x0000_t75" alt="" style="width:14.65pt;height:14.65pt;mso-width-percent:0;mso-height-percent:0;mso-width-percent:0;mso-height-percent:0" o:ole="">
                  <v:imagedata r:id="rId14" o:title=""/>
                </v:shape>
                <o:OLEObject Type="Embed" ProgID="Equation.3" ShapeID="_x0000_i1046" DrawAspect="Content" ObjectID="_1691284239"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45" type="#_x0000_t75" alt="" style="width:14.65pt;height:14.65pt;mso-width-percent:0;mso-height-percent:0;mso-width-percent:0;mso-height-percent:0" o:ole="">
                  <v:imagedata r:id="rId14" o:title=""/>
                </v:shape>
                <o:OLEObject Type="Embed" ProgID="Equation.3" ShapeID="_x0000_i1045" DrawAspect="Content" ObjectID="_1691284240"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44" type="#_x0000_t75" alt="" style="width:14.65pt;height:14.65pt;mso-width-percent:0;mso-height-percent:0;mso-width-percent:0;mso-height-percent:0" o:ole="">
                  <v:imagedata r:id="rId14" o:title=""/>
                </v:shape>
                <o:OLEObject Type="Embed" ProgID="Equation.3" ShapeID="_x0000_i1044" DrawAspect="Content" ObjectID="_1691284241"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43" type="#_x0000_t75" alt="" style="width:14.65pt;height:14.65pt;mso-width-percent:0;mso-height-percent:0;mso-width-percent:0;mso-height-percent:0" o:ole="">
                  <v:imagedata r:id="rId14" o:title=""/>
                </v:shape>
                <o:OLEObject Type="Embed" ProgID="Equation.3" ShapeID="_x0000_i1043" DrawAspect="Content" ObjectID="_1691284242"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42" type="#_x0000_t75" alt="" style="width:14.65pt;height:14.65pt;mso-width-percent:0;mso-height-percent:0;mso-width-percent:0;mso-height-percent:0" o:ole="">
                  <v:imagedata r:id="rId14" o:title=""/>
                </v:shape>
                <o:OLEObject Type="Embed" ProgID="Equation.3" ShapeID="_x0000_i1042" DrawAspect="Content" ObjectID="_1691284243"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41" type="#_x0000_t75" alt="" style="width:14.65pt;height:14.65pt;mso-width-percent:0;mso-height-percent:0;mso-width-percent:0;mso-height-percent:0" o:ole="">
                  <v:imagedata r:id="rId14" o:title=""/>
                </v:shape>
                <o:OLEObject Type="Embed" ProgID="Equation.3" ShapeID="_x0000_i1041" DrawAspect="Content" ObjectID="_1691284244"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40" type="#_x0000_t75" alt="" style="width:14.65pt;height:14.65pt;mso-width-percent:0;mso-height-percent:0;mso-width-percent:0;mso-height-percent:0" o:ole="">
                  <v:imagedata r:id="rId14" o:title=""/>
                </v:shape>
                <o:OLEObject Type="Embed" ProgID="Equation.3" ShapeID="_x0000_i1040" DrawAspect="Content" ObjectID="_1691284245"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9" type="#_x0000_t75" alt="" style="width:14.65pt;height:14.65pt;mso-width-percent:0;mso-height-percent:0;mso-width-percent:0;mso-height-percent:0" o:ole="">
                  <v:imagedata r:id="rId14" o:title=""/>
                </v:shape>
                <o:OLEObject Type="Embed" ProgID="Equation.3" ShapeID="_x0000_i1039" DrawAspect="Content" ObjectID="_1691284246"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8" type="#_x0000_t75" alt="" style="width:192.4pt;height:17.5pt;mso-width-percent:0;mso-height-percent:0;mso-width-percent:0;mso-height-percent:0" o:ole="">
                  <v:imagedata r:id="rId25" o:title=""/>
                </v:shape>
                <o:OLEObject Type="Embed" ProgID="Equation.DSMT4" ShapeID="_x0000_i1038" DrawAspect="Content" ObjectID="_1691284247"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7" type="#_x0000_t75" alt="" style="width:14.65pt;height:14.65pt;mso-width-percent:0;mso-height-percent:0;mso-width-percent:0;mso-height-percent:0" o:ole="">
                        <v:imagedata r:id="rId14" o:title=""/>
                      </v:shape>
                      <o:OLEObject Type="Embed" ProgID="Equation.3" ShapeID="_x0000_i1037" DrawAspect="Content" ObjectID="_1691284248"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65pt;height:14.65pt;mso-width-percent:0;mso-height-percent:0;mso-width-percent:0;mso-height-percent:0" o:ole="">
                        <v:imagedata r:id="rId14" o:title=""/>
                      </v:shape>
                      <o:OLEObject Type="Embed" ProgID="Equation.3" ShapeID="_x0000_i1036" DrawAspect="Content" ObjectID="_1691284249"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5" type="#_x0000_t75" alt="" style="width:14.65pt;height:14.65pt;mso-width-percent:0;mso-height-percent:0;mso-width-percent:0;mso-height-percent:0" o:ole="">
                        <v:imagedata r:id="rId14" o:title=""/>
                      </v:shape>
                      <o:OLEObject Type="Embed" ProgID="Equation.3" ShapeID="_x0000_i1035" DrawAspect="Content" ObjectID="_1691284250"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ko-KR"/>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4" type="#_x0000_t75" alt="" style="width:14.65pt;height:14.65pt;mso-width-percent:0;mso-height-percent:0;mso-width-percent:0;mso-height-percent:0" o:ole="">
                  <v:imagedata r:id="rId14" o:title=""/>
                </v:shape>
                <o:OLEObject Type="Embed" ProgID="Equation.3" ShapeID="_x0000_i1034" DrawAspect="Content" ObjectID="_1691284251"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3" type="#_x0000_t75" alt="" style="width:14.65pt;height:14.65pt;mso-width-percent:0;mso-height-percent:0;mso-width-percent:0;mso-height-percent:0" o:ole="">
                  <v:imagedata r:id="rId14" o:title=""/>
                </v:shape>
                <o:OLEObject Type="Embed" ProgID="Equation.3" ShapeID="_x0000_i1033" DrawAspect="Content" ObjectID="_1691284252"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32" type="#_x0000_t75" alt="" style="width:14.65pt;height:14.65pt;mso-width-percent:0;mso-height-percent:0;mso-width-percent:0;mso-height-percent:0" o:ole="">
                  <v:imagedata r:id="rId14" o:title=""/>
                </v:shape>
                <o:OLEObject Type="Embed" ProgID="Equation.3" ShapeID="_x0000_i1032" DrawAspect="Content" ObjectID="_1691284253"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31" type="#_x0000_t75" alt="" style="width:14.65pt;height:14.65pt;mso-width-percent:0;mso-height-percent:0;mso-width-percent:0;mso-height-percent:0" o:ole="">
                  <v:imagedata r:id="rId14" o:title=""/>
                </v:shape>
                <o:OLEObject Type="Embed" ProgID="Equation.3" ShapeID="_x0000_i1031" DrawAspect="Content" ObjectID="_1691284254"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30" type="#_x0000_t75" alt="" style="width:14.65pt;height:14.65pt;mso-width-percent:0;mso-height-percent:0;mso-width-percent:0;mso-height-percent:0" o:ole="">
                  <v:imagedata r:id="rId14" o:title=""/>
                </v:shape>
                <o:OLEObject Type="Embed" ProgID="Equation.3" ShapeID="_x0000_i1030" DrawAspect="Content" ObjectID="_1691284255"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29" type="#_x0000_t75" alt="" style="width:14.65pt;height:14.65pt;mso-width-percent:0;mso-height-percent:0;mso-width-percent:0;mso-height-percent:0" o:ole="">
                  <v:imagedata r:id="rId14" o:title=""/>
                </v:shape>
                <o:OLEObject Type="Embed" ProgID="Equation.3" ShapeID="_x0000_i1029" DrawAspect="Content" ObjectID="_1691284256"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28" type="#_x0000_t75" alt="" style="width:14.65pt;height:14.65pt;mso-width-percent:0;mso-height-percent:0;mso-width-percent:0;mso-height-percent:0" o:ole="">
                  <v:imagedata r:id="rId14" o:title=""/>
                </v:shape>
                <o:OLEObject Type="Embed" ProgID="Equation.3" ShapeID="_x0000_i1028" DrawAspect="Content" ObjectID="_1691284257"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27" type="#_x0000_t75" alt="" style="width:14.65pt;height:14.65pt;mso-width-percent:0;mso-height-percent:0;mso-width-percent:0;mso-height-percent:0" o:ole="">
                  <v:imagedata r:id="rId14" o:title=""/>
                </v:shape>
                <o:OLEObject Type="Embed" ProgID="Equation.3" ShapeID="_x0000_i1027" DrawAspect="Content" ObjectID="_1691284258"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26" type="#_x0000_t75" alt="" style="width:14.65pt;height:14.65pt;mso-width-percent:0;mso-height-percent:0;mso-width-percent:0;mso-height-percent:0" o:ole="">
                  <v:imagedata r:id="rId14" o:title=""/>
                </v:shape>
                <o:OLEObject Type="Embed" ProgID="Equation.3" ShapeID="_x0000_i1026" DrawAspect="Content" ObjectID="_1691284259"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2-2b.Alt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25" type="#_x0000_t75" alt="" style="width:14.65pt;height:14.65pt;mso-width-percent:0;mso-height-percent:0;mso-width-percent:0;mso-height-percent:0" o:ole="">
                  <v:imagedata r:id="rId40" o:title=""/>
                </v:shape>
                <o:OLEObject Type="Embed" ProgID="Equation.DSMT4" ShapeID="_x0000_i1025" DrawAspect="Content" ObjectID="_1691284260"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bl>
    <w:p w14:paraId="10A62EA4" w14:textId="77777777" w:rsidR="00014D5E" w:rsidRDefault="00014D5E"/>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AD03F9">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w:t>
                  </w:r>
                  <w:r>
                    <w:rPr>
                      <w:rFonts w:asciiTheme="minorHAnsi" w:hAnsiTheme="minorHAnsi" w:cstheme="minorHAnsi"/>
                      <w:sz w:val="16"/>
                      <w:szCs w:val="16"/>
                      <w:lang w:val="en-GB"/>
                    </w:rPr>
                    <w:lastRenderedPageBreak/>
                    <w:t>de-ICI (K_PTRS=2).</w:t>
                  </w:r>
                </w:p>
              </w:tc>
            </w:tr>
          </w:tbl>
          <w:p w14:paraId="202DCA0B" w14:textId="77777777" w:rsidR="00014D5E" w:rsidRDefault="00534F9E">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014D5E" w14:paraId="1229B7D1" w14:textId="77777777">
        <w:trPr>
          <w:trHeight w:val="339"/>
        </w:trPr>
        <w:tc>
          <w:tcPr>
            <w:tcW w:w="1871" w:type="dxa"/>
          </w:tcPr>
          <w:p w14:paraId="4AB8FE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601FE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58DB6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@Huawei</w:t>
            </w:r>
          </w:p>
          <w:p w14:paraId="28933E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3BF96A5" w14:textId="77777777" w:rsidR="00014D5E" w:rsidRDefault="00534F9E">
            <w:r>
              <w:rPr>
                <w:noProof/>
                <w:lang w:eastAsia="ko-KR"/>
              </w:rPr>
              <w:drawing>
                <wp:inline distT="0" distB="0" distL="0" distR="0" wp14:anchorId="1DED5628" wp14:editId="350EF7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ko-KR"/>
              </w:rPr>
              <w:drawing>
                <wp:inline distT="0" distB="0" distL="0" distR="0" wp14:anchorId="1A3F8136" wp14:editId="114CA94C">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5802F455" w14:textId="77777777" w:rsidR="00014D5E" w:rsidRDefault="00534F9E">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04644A28" w14:textId="77777777" w:rsidR="00014D5E" w:rsidRDefault="00014D5E"/>
          <w:p w14:paraId="167D9BE1" w14:textId="77777777" w:rsidR="00014D5E" w:rsidRDefault="00014D5E"/>
          <w:p w14:paraId="6BD1B4D1" w14:textId="77777777" w:rsidR="00014D5E" w:rsidRDefault="00534F9E">
            <w:r>
              <w:rPr>
                <w:noProof/>
                <w:lang w:eastAsia="ko-KR"/>
              </w:rPr>
              <w:drawing>
                <wp:inline distT="0" distB="0" distL="0" distR="0" wp14:anchorId="45077052" wp14:editId="496CDDF8">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ko-KR"/>
              </w:rPr>
              <w:drawing>
                <wp:inline distT="0" distB="0" distL="0" distR="0" wp14:anchorId="708C474F" wp14:editId="5098A832">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712AAF6" w14:textId="77777777" w:rsidR="00014D5E" w:rsidRDefault="00534F9E">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52359514" w14:textId="77777777" w:rsidR="00014D5E" w:rsidRDefault="00014D5E">
            <w:pPr>
              <w:pStyle w:val="BodyText"/>
              <w:spacing w:after="0"/>
              <w:rPr>
                <w:rFonts w:ascii="Times New Roman" w:hAnsi="Times New Roman"/>
                <w:szCs w:val="20"/>
                <w:lang w:eastAsia="zh-CN"/>
              </w:rPr>
            </w:pPr>
          </w:p>
          <w:p w14:paraId="6CA507D0" w14:textId="77777777" w:rsidR="00014D5E" w:rsidRDefault="00014D5E">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AD03F9">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AD03F9">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AD03F9">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AD03F9">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ko-KR"/>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ko-KR"/>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Instead, it gets the performance similar to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bookmarkEnd w:id="61"/>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Pr>
                <w:rFonts w:ascii="Times New Roman" w:hAnsi="Times New Roman"/>
                <w:szCs w:val="20"/>
                <w:lang w:eastAsia="zh-CN"/>
              </w:rPr>
              <w:t>built</w:t>
            </w:r>
            <w:proofErr w:type="spellEnd"/>
            <w:proofErr w:type="gram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lastRenderedPageBreak/>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0AA7DB23" w14:textId="77777777" w:rsidTr="00AA0783">
        <w:trPr>
          <w:gridAfter w:val="1"/>
          <w:wAfter w:w="7" w:type="dxa"/>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AA0783">
        <w:trPr>
          <w:gridAfter w:val="1"/>
          <w:wAfter w:w="7" w:type="dxa"/>
          <w:trHeight w:val="339"/>
        </w:trPr>
        <w:tc>
          <w:tcPr>
            <w:tcW w:w="1870"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C220B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C220B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bl>
    <w:p w14:paraId="3ED78005" w14:textId="77777777"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5767FF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45FFB9A4" w14:textId="77777777" w:rsidR="00014D5E" w:rsidRDefault="00534F9E">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2503BBBD" w14:textId="77777777" w:rsidR="00014D5E" w:rsidRDefault="00534F9E">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4CE30BF" w14:textId="77777777" w:rsidR="00014D5E" w:rsidRDefault="00534F9E">
            <w:pPr>
              <w:pStyle w:val="Caption"/>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lastRenderedPageBreak/>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w:t>
            </w:r>
            <w:r>
              <w:rPr>
                <w:rFonts w:asciiTheme="minorHAnsi" w:hAnsiTheme="minorHAnsi" w:cstheme="minorHAnsi"/>
                <w:szCs w:val="20"/>
                <w:lang w:eastAsia="zh-CN"/>
              </w:rPr>
              <w:lastRenderedPageBreak/>
              <w:t>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Caption"/>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5E041595" w14:textId="77777777" w:rsidR="00014D5E" w:rsidRDefault="00534F9E">
            <w:pPr>
              <w:pStyle w:val="Caption"/>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5DBCD410" w14:textId="77777777" w:rsidR="00014D5E" w:rsidRDefault="00534F9E">
            <w:pPr>
              <w:pStyle w:val="Caption"/>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29B1C996" w14:textId="77777777" w:rsidR="00014D5E" w:rsidRDefault="00534F9E">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C220BE">
        <w:trPr>
          <w:trHeight w:val="339"/>
        </w:trPr>
        <w:tc>
          <w:tcPr>
            <w:tcW w:w="1871" w:type="dxa"/>
          </w:tcPr>
          <w:p w14:paraId="30993BBE" w14:textId="77777777" w:rsidR="00AA0783" w:rsidRDefault="00AA0783" w:rsidP="00C220B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C220B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C220BE">
        <w:trPr>
          <w:trHeight w:val="339"/>
        </w:trPr>
        <w:tc>
          <w:tcPr>
            <w:tcW w:w="1871" w:type="dxa"/>
          </w:tcPr>
          <w:p w14:paraId="6FE30770" w14:textId="6412D831" w:rsidR="00954015" w:rsidRDefault="00954015" w:rsidP="00C220B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C220B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lastRenderedPageBreak/>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lastRenderedPageBreak/>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lastRenderedPageBreak/>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lastRenderedPageBreak/>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off  for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lastRenderedPageBreak/>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Regarding the concern on duplicated discussion, we think joint CE for DMRS for 60GHz is different from Rel-17 coverage enhancement, because different TBs and different SLIVs for multi-</w:t>
            </w:r>
            <w:r>
              <w:rPr>
                <w:rFonts w:ascii="Times New Roman" w:hAnsi="Times New Roman"/>
                <w:szCs w:val="20"/>
                <w:lang w:eastAsia="zh-CN"/>
              </w:rPr>
              <w:lastRenderedPageBreak/>
              <w:t xml:space="preserve">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1" w:name="_Hlk79416436"/>
            <w:r>
              <w:rPr>
                <w:noProof/>
                <w:lang w:eastAsia="ko-KR"/>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w:t>
            </w:r>
            <w:r>
              <w:rPr>
                <w:rFonts w:ascii="Times New Roman" w:hAnsi="Times New Roman"/>
                <w:szCs w:val="20"/>
                <w:lang w:eastAsia="zh-CN"/>
              </w:rPr>
              <w:lastRenderedPageBreak/>
              <w:t>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AD03F9">
      <w:pPr>
        <w:pStyle w:val="ListParagraph"/>
        <w:numPr>
          <w:ilvl w:val="0"/>
          <w:numId w:val="52"/>
        </w:numPr>
        <w:ind w:left="360"/>
        <w:rPr>
          <w:rFonts w:asciiTheme="minorHAnsi" w:hAnsiTheme="minorHAnsi" w:cstheme="minorHAnsi"/>
          <w:sz w:val="20"/>
          <w:szCs w:val="20"/>
        </w:rPr>
      </w:pPr>
      <w:hyperlink r:id="rId53"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AD03F9">
      <w:pPr>
        <w:pStyle w:val="ListParagraph"/>
        <w:numPr>
          <w:ilvl w:val="0"/>
          <w:numId w:val="52"/>
        </w:numPr>
        <w:ind w:left="360"/>
        <w:rPr>
          <w:rFonts w:asciiTheme="minorHAnsi" w:hAnsiTheme="minorHAnsi" w:cstheme="minorHAnsi"/>
          <w:sz w:val="20"/>
          <w:szCs w:val="20"/>
        </w:rPr>
      </w:pPr>
      <w:hyperlink r:id="rId54"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AD03F9">
      <w:pPr>
        <w:pStyle w:val="ListParagraph"/>
        <w:numPr>
          <w:ilvl w:val="0"/>
          <w:numId w:val="52"/>
        </w:numPr>
        <w:ind w:left="360"/>
        <w:rPr>
          <w:rFonts w:asciiTheme="minorHAnsi" w:hAnsiTheme="minorHAnsi" w:cstheme="minorHAnsi"/>
          <w:sz w:val="20"/>
          <w:szCs w:val="20"/>
        </w:rPr>
      </w:pPr>
      <w:hyperlink r:id="rId55"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AD03F9">
      <w:pPr>
        <w:pStyle w:val="ListParagraph"/>
        <w:numPr>
          <w:ilvl w:val="0"/>
          <w:numId w:val="52"/>
        </w:numPr>
        <w:ind w:left="360"/>
        <w:rPr>
          <w:rFonts w:asciiTheme="minorHAnsi" w:hAnsiTheme="minorHAnsi" w:cstheme="minorHAnsi"/>
          <w:sz w:val="20"/>
          <w:szCs w:val="20"/>
        </w:rPr>
      </w:pPr>
      <w:hyperlink r:id="rId56"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AD03F9">
      <w:pPr>
        <w:pStyle w:val="ListParagraph"/>
        <w:numPr>
          <w:ilvl w:val="0"/>
          <w:numId w:val="52"/>
        </w:numPr>
        <w:ind w:left="360"/>
        <w:rPr>
          <w:rFonts w:asciiTheme="minorHAnsi" w:hAnsiTheme="minorHAnsi" w:cstheme="minorHAnsi"/>
          <w:sz w:val="20"/>
          <w:szCs w:val="20"/>
        </w:rPr>
      </w:pPr>
      <w:hyperlink r:id="rId57"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AD03F9">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AD03F9">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AD03F9">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AD03F9">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AD03F9">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AD03F9">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AD03F9">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AD03F9">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AD03F9">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AD03F9">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AD03F9">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AD03F9">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AD03F9">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AD03F9">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AD03F9">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AD03F9">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AD03F9">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AD03F9">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AD03F9">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AD03F9">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AD03F9">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AD03F9">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AD03F9">
      <w:pPr>
        <w:pStyle w:val="ListParagraph"/>
        <w:numPr>
          <w:ilvl w:val="0"/>
          <w:numId w:val="52"/>
        </w:numPr>
        <w:ind w:left="360"/>
        <w:rPr>
          <w:rFonts w:asciiTheme="minorHAnsi" w:hAnsiTheme="minorHAnsi" w:cstheme="minorHAnsi"/>
          <w:sz w:val="20"/>
          <w:szCs w:val="20"/>
        </w:rPr>
      </w:pPr>
      <w:hyperlink r:id="rId80"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1"/>
      <w:footerReference w:type="even" r:id="rId82"/>
      <w:footerReference w:type="default" r:id="rId8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CB71" w14:textId="77777777" w:rsidR="00AD03F9" w:rsidRDefault="00AD03F9">
      <w:pPr>
        <w:spacing w:after="0" w:line="240" w:lineRule="auto"/>
      </w:pPr>
      <w:r>
        <w:separator/>
      </w:r>
    </w:p>
  </w:endnote>
  <w:endnote w:type="continuationSeparator" w:id="0">
    <w:p w14:paraId="5BEDAE4C" w14:textId="77777777" w:rsidR="00AD03F9" w:rsidRDefault="00AD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95A5" w14:textId="77777777" w:rsidR="00193F26" w:rsidRDefault="00193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193F26" w:rsidRDefault="00193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92F4" w14:textId="77777777" w:rsidR="00193F26" w:rsidRDefault="00193F26">
    <w:pPr>
      <w:pStyle w:val="Footer"/>
      <w:ind w:right="360"/>
    </w:pPr>
    <w:r>
      <w:rPr>
        <w:rStyle w:val="PageNumber"/>
      </w:rPr>
      <w:fldChar w:fldCharType="begin"/>
    </w:r>
    <w:r>
      <w:rPr>
        <w:rStyle w:val="PageNumber"/>
      </w:rPr>
      <w:instrText xml:space="preserve"> PAGE </w:instrText>
    </w:r>
    <w:r>
      <w:rPr>
        <w:rStyle w:val="PageNumber"/>
      </w:rPr>
      <w:fldChar w:fldCharType="separate"/>
    </w:r>
    <w:r w:rsidR="00AA0783">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0783">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322C" w14:textId="77777777" w:rsidR="00AD03F9" w:rsidRDefault="00AD03F9">
      <w:pPr>
        <w:spacing w:after="0" w:line="240" w:lineRule="auto"/>
      </w:pPr>
      <w:r>
        <w:separator/>
      </w:r>
    </w:p>
  </w:footnote>
  <w:footnote w:type="continuationSeparator" w:id="0">
    <w:p w14:paraId="2F7B1E91" w14:textId="77777777" w:rsidR="00AD03F9" w:rsidRDefault="00AD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D43" w14:textId="77777777" w:rsidR="00193F26" w:rsidRDefault="00193F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media/image10.jpeg"/><Relationship Id="rId63" Type="http://schemas.openxmlformats.org/officeDocument/2006/relationships/hyperlink" Target="https://www.3gpp.org/ftp/tsg_ran/WG1_RL1/TSGR1_106-e/Docs/R1-2107033.zip" TargetMode="External"/><Relationship Id="rId68" Type="http://schemas.openxmlformats.org/officeDocument/2006/relationships/hyperlink" Target="https://www.3gpp.org/ftp/tsg_ran/WG1_RL1/TSGR1_106-e/Docs/R1-2107154.zip" TargetMode="External"/><Relationship Id="rId84"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446.zip" TargetMode="External"/><Relationship Id="rId58" Type="http://schemas.openxmlformats.org/officeDocument/2006/relationships/hyperlink" Target="https://www.3gpp.org/ftp/tsg_ran/WG1_RL1/TSGR1_106-e/Docs/R1-2106799.zip" TargetMode="External"/><Relationship Id="rId74" Type="http://schemas.openxmlformats.org/officeDocument/2006/relationships/hyperlink" Target="https://www.3gpp.org/ftp/tsg_ran/WG1_RL1/TSGR1_106-e/Docs/R1-2107730.zip" TargetMode="External"/><Relationship Id="rId79" Type="http://schemas.openxmlformats.org/officeDocument/2006/relationships/hyperlink" Target="https://www.3gpp.org/ftp/tsg_ran/WG1_RL1/TSGR1_106-e/Docs/R1-2108017.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695.zip" TargetMode="External"/><Relationship Id="rId64" Type="http://schemas.openxmlformats.org/officeDocument/2006/relationships/hyperlink" Target="https://www.3gpp.org/ftp/tsg_ran/WG1_RL1/TSGR1_106-e/Docs/R1-2107039.zip" TargetMode="External"/><Relationship Id="rId69" Type="http://schemas.openxmlformats.org/officeDocument/2006/relationships/hyperlink" Target="https://www.3gpp.org/ftp/tsg_ran/WG1_RL1/TSGR1_106-e/Docs/R1-2107241.zip" TargetMode="External"/><Relationship Id="rId77" Type="http://schemas.openxmlformats.org/officeDocument/2006/relationships/hyperlink" Target="https://www.3gpp.org/ftp/tsg_ran/WG1_RL1/TSGR1_106-e/Docs/R1-2107915.zip" TargetMode="External"/><Relationship Id="rId8" Type="http://schemas.openxmlformats.org/officeDocument/2006/relationships/styles" Target="styles.xml"/><Relationship Id="rId51" Type="http://schemas.openxmlformats.org/officeDocument/2006/relationships/image" Target="media/image12.png"/><Relationship Id="rId72" Type="http://schemas.openxmlformats.org/officeDocument/2006/relationships/hyperlink" Target="https://www.3gpp.org/ftp/tsg_ran/WG1_RL1/TSGR1_106-e/Docs/R1-2107512.zip" TargetMode="External"/><Relationship Id="rId80" Type="http://schemas.openxmlformats.org/officeDocument/2006/relationships/hyperlink" Target="https://www.3gpp.org/ftp/tsg_ran/WG1_RL1/TSGR1_106-e/Docs/R1-2108150.zip"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cid:image003.jpg@01D793A0.CF28B180" TargetMode="External"/><Relationship Id="rId59" Type="http://schemas.openxmlformats.org/officeDocument/2006/relationships/hyperlink" Target="https://www.3gpp.org/ftp/tsg_ran/WG1_RL1/TSGR1_106-e/Docs/R1-2106835.zip" TargetMode="External"/><Relationship Id="rId67" Type="http://schemas.openxmlformats.org/officeDocument/2006/relationships/hyperlink" Target="https://www.3gpp.org/ftp/tsg_ran/WG1_RL1/TSGR1_106-e/Docs/R1-2107108.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69.zip" TargetMode="External"/><Relationship Id="rId62" Type="http://schemas.openxmlformats.org/officeDocument/2006/relationships/hyperlink" Target="https://www.3gpp.org/ftp/tsg_ran/WG1_RL1/TSGR1_106-e/Docs/R1-2107004.zip" TargetMode="External"/><Relationship Id="rId70" Type="http://schemas.openxmlformats.org/officeDocument/2006/relationships/hyperlink" Target="https://www.3gpp.org/ftp/tsg_ran/WG1_RL1/TSGR1_106-e/Docs/R1-2107334.zip" TargetMode="External"/><Relationship Id="rId75" Type="http://schemas.openxmlformats.org/officeDocument/2006/relationships/hyperlink" Target="https://www.3gpp.org/ftp/tsg_ran/WG1_RL1/TSGR1_106-e/Docs/R1-2107829.zip"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1.png"/><Relationship Id="rId57" Type="http://schemas.openxmlformats.org/officeDocument/2006/relationships/hyperlink" Target="https://www.3gpp.org/ftp/tsg_ran/WG1_RL1/TSGR1_106-e/Docs/R1-2106770.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image" Target="cid:image013.png@01D79813.E6BD86A0" TargetMode="External"/><Relationship Id="rId60" Type="http://schemas.openxmlformats.org/officeDocument/2006/relationships/hyperlink" Target="https://www.3gpp.org/ftp/tsg_ran/WG1_RL1/TSGR1_106-e/Docs/R1-2106877.zip" TargetMode="External"/><Relationship Id="rId65" Type="http://schemas.openxmlformats.org/officeDocument/2006/relationships/hyperlink" Target="https://www.3gpp.org/ftp/tsg_ran/WG1_RL1/TSGR1_106-e/Docs/R1-2107054.zip" TargetMode="External"/><Relationship Id="rId73" Type="http://schemas.openxmlformats.org/officeDocument/2006/relationships/hyperlink" Target="https://www.3gpp.org/ftp/tsg_ran/WG1_RL1/TSGR1_106-e/Docs/R1-2107581.zip" TargetMode="External"/><Relationship Id="rId78" Type="http://schemas.openxmlformats.org/officeDocument/2006/relationships/hyperlink" Target="https://www.3gpp.org/ftp/tsg_ran/WG1_RL1/TSGR1_106-e/Docs/R1-2108010.zip"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12.png@01D79813.E6BD86A0" TargetMode="External"/><Relationship Id="rId55" Type="http://schemas.openxmlformats.org/officeDocument/2006/relationships/hyperlink" Target="https://www.3gpp.org/ftp/tsg_ran/WG1_RL1/TSGR1_106-e/Docs/R1-2106583.zip" TargetMode="External"/><Relationship Id="rId76" Type="http://schemas.openxmlformats.org/officeDocument/2006/relationships/hyperlink" Target="https://www.3gpp.org/ftp/tsg_ran/WG1_RL1/TSGR1_106-e/Docs/R1-2107849.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439.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media/image9.png"/><Relationship Id="rId66" Type="http://schemas.openxmlformats.org/officeDocument/2006/relationships/hyperlink" Target="https://www.3gpp.org/ftp/tsg_ran/WG1_RL1/TSGR1_106-e/Docs/R1-2107100.zip" TargetMode="External"/><Relationship Id="rId61" Type="http://schemas.openxmlformats.org/officeDocument/2006/relationships/hyperlink" Target="https://www.3gpp.org/ftp/tsg_ran/WG1_RL1/TSGR1_106-e/Docs/R1-2106960.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91FC58-C46A-483A-BA01-5EB5C9BFCF36}">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BC02EC-0BEA-4ABF-9FB7-150899FD08BB}">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93</Pages>
  <Words>35924</Words>
  <Characters>204768</Characters>
  <Application>Microsoft Office Word</Application>
  <DocSecurity>0</DocSecurity>
  <Lines>1706</Lines>
  <Paragraphs>480</Paragraphs>
  <ScaleCrop>false</ScaleCrop>
  <HeadingPairs>
    <vt:vector size="2" baseType="variant">
      <vt:variant>
        <vt:lpstr>Titre</vt:lpstr>
      </vt:variant>
      <vt:variant>
        <vt:i4>1</vt:i4>
      </vt:variant>
    </vt:vector>
  </HeadingPairs>
  <TitlesOfParts>
    <vt:vector size="1" baseType="lpstr">
      <vt:lpstr>Discussion summary #3 of [106-e-NR-52-71GHz-05]</vt:lpstr>
    </vt:vector>
  </TitlesOfParts>
  <Company>Intel</Company>
  <LinksUpToDate>false</LinksUpToDate>
  <CharactersWithSpaces>240212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Kome Oteri</cp:lastModifiedBy>
  <cp:revision>2</cp:revision>
  <cp:lastPrinted>2011-11-09T07:49:00Z</cp:lastPrinted>
  <dcterms:created xsi:type="dcterms:W3CDTF">2021-08-24T11:02:00Z</dcterms:created>
  <dcterms:modified xsi:type="dcterms:W3CDTF">2021-08-24T11:02:00Z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