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2pt;mso-width-percent:0;mso-height-percent:0;mso-width-percent:0;mso-height-percent:0" o:ole="">
            <v:imagedata r:id="rId14" o:title=""/>
          </v:shape>
          <o:OLEObject Type="Embed" ProgID="Visio.Drawing.11" ShapeID="_x0000_i1025" DrawAspect="Content" ObjectID="_1691341855"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2pt" o:ole="">
                  <v:imagedata r:id="rId16" o:title=""/>
                </v:shape>
                <o:OLEObject Type="Embed" ProgID="Visio.Drawing.11" ShapeID="_x0000_i1026" DrawAspect="Content" ObjectID="_1691341856"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03461A" w14:paraId="712D5DAD" w14:textId="77777777" w:rsidTr="0028095A">
        <w:trPr>
          <w:trHeight w:val="398"/>
          <w:jc w:val="center"/>
        </w:trPr>
        <w:tc>
          <w:tcPr>
            <w:tcW w:w="2547" w:type="dxa"/>
            <w:shd w:val="clear" w:color="auto" w:fill="auto"/>
            <w:vAlign w:val="center"/>
          </w:tcPr>
          <w:p w14:paraId="1B4807EF" w14:textId="494ADFCE" w:rsidR="0003461A" w:rsidRPr="00DB61B9" w:rsidRDefault="0003461A" w:rsidP="0003461A">
            <w:pPr>
              <w:snapToGrid w:val="0"/>
              <w:spacing w:after="0"/>
              <w:rPr>
                <w:lang w:eastAsia="zh-CN"/>
              </w:rPr>
            </w:pPr>
            <w:r>
              <w:rPr>
                <w:lang w:eastAsia="zh-CN"/>
              </w:rPr>
              <w:t>Ericsson</w:t>
            </w:r>
          </w:p>
        </w:tc>
        <w:tc>
          <w:tcPr>
            <w:tcW w:w="8080" w:type="dxa"/>
            <w:vAlign w:val="center"/>
          </w:tcPr>
          <w:p w14:paraId="01D20599" w14:textId="5878AF76" w:rsidR="0003461A" w:rsidRPr="00267C65" w:rsidRDefault="0003461A" w:rsidP="0003461A">
            <w:pPr>
              <w:spacing w:beforeLines="50" w:before="120" w:afterLines="50" w:after="120"/>
            </w:pPr>
            <w:r>
              <w:t>Agree</w:t>
            </w:r>
          </w:p>
        </w:tc>
      </w:tr>
      <w:tr w:rsidR="00A52AE1" w14:paraId="45E94EFC" w14:textId="77777777" w:rsidTr="0028095A">
        <w:trPr>
          <w:trHeight w:val="398"/>
          <w:jc w:val="center"/>
        </w:trPr>
        <w:tc>
          <w:tcPr>
            <w:tcW w:w="2547" w:type="dxa"/>
            <w:shd w:val="clear" w:color="auto" w:fill="auto"/>
            <w:vAlign w:val="center"/>
          </w:tcPr>
          <w:p w14:paraId="746F9E4C" w14:textId="796D3FE8" w:rsidR="00A52AE1"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6F39B019" w:rsidR="00A52AE1" w:rsidRPr="00D73F4B" w:rsidRDefault="00A52AE1" w:rsidP="00A52AE1">
            <w:pPr>
              <w:rPr>
                <w:bCs/>
                <w:i/>
              </w:rPr>
            </w:pPr>
            <w:r w:rsidRPr="00B752B3">
              <w:rPr>
                <w:rFonts w:eastAsiaTheme="minorEastAsia" w:hint="eastAsia"/>
                <w:lang w:eastAsia="zh-CN"/>
              </w:rPr>
              <w:t>F</w:t>
            </w:r>
            <w:r w:rsidRPr="00B752B3">
              <w:rPr>
                <w:rFonts w:eastAsiaTheme="minorEastAsia"/>
                <w:lang w:eastAsia="zh-CN"/>
              </w:rPr>
              <w:t>ine with the proposal.</w:t>
            </w:r>
          </w:p>
        </w:tc>
      </w:tr>
      <w:tr w:rsidR="00A52AE1" w14:paraId="6D5D48B2" w14:textId="77777777" w:rsidTr="0028095A">
        <w:trPr>
          <w:trHeight w:val="398"/>
          <w:jc w:val="center"/>
        </w:trPr>
        <w:tc>
          <w:tcPr>
            <w:tcW w:w="2547" w:type="dxa"/>
            <w:shd w:val="clear" w:color="auto" w:fill="auto"/>
            <w:vAlign w:val="center"/>
          </w:tcPr>
          <w:p w14:paraId="2287E7D9" w14:textId="1BD6754F" w:rsidR="00A52AE1" w:rsidRDefault="00F2589E" w:rsidP="00A52AE1">
            <w:pPr>
              <w:snapToGrid w:val="0"/>
              <w:spacing w:after="0"/>
              <w:rPr>
                <w:lang w:eastAsia="zh-CN"/>
              </w:rPr>
            </w:pPr>
            <w:r>
              <w:rPr>
                <w:lang w:eastAsia="zh-CN"/>
              </w:rPr>
              <w:t>Nokia, NSB</w:t>
            </w:r>
          </w:p>
        </w:tc>
        <w:tc>
          <w:tcPr>
            <w:tcW w:w="8080" w:type="dxa"/>
            <w:vAlign w:val="center"/>
          </w:tcPr>
          <w:p w14:paraId="3FC30113" w14:textId="08F34B32" w:rsidR="00F2589E" w:rsidRDefault="00F2589E" w:rsidP="00F2589E">
            <w:pPr>
              <w:rPr>
                <w:bCs/>
                <w:iCs/>
              </w:rPr>
            </w:pPr>
            <w:r w:rsidRPr="00F2589E">
              <w:rPr>
                <w:bCs/>
                <w:iCs/>
              </w:rPr>
              <w:t xml:space="preserve">From us, </w:t>
            </w:r>
            <w:r>
              <w:rPr>
                <w:bCs/>
                <w:iCs/>
              </w:rPr>
              <w:t xml:space="preserve">we agree there should be discussion on </w:t>
            </w:r>
            <w:proofErr w:type="spellStart"/>
            <w:r>
              <w:rPr>
                <w:bCs/>
                <w:iCs/>
              </w:rPr>
              <w:t>defomotopm</w:t>
            </w:r>
            <w:proofErr w:type="spellEnd"/>
            <w:r>
              <w:rPr>
                <w:bCs/>
                <w:iCs/>
              </w:rPr>
              <w:t xml:space="preserve"> pf validity timer and how to process when it </w:t>
            </w:r>
            <w:proofErr w:type="gramStart"/>
            <w:r>
              <w:rPr>
                <w:bCs/>
                <w:iCs/>
              </w:rPr>
              <w:t>expire</w:t>
            </w:r>
            <w:proofErr w:type="gramEnd"/>
            <w:r>
              <w:rPr>
                <w:bCs/>
                <w:iCs/>
              </w:rPr>
              <w:t>.</w:t>
            </w:r>
          </w:p>
          <w:p w14:paraId="02734547" w14:textId="1B969FA7" w:rsidR="00F2589E" w:rsidRPr="00F2589E" w:rsidRDefault="00F2589E" w:rsidP="00F2589E">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1B355670" w:rsidR="00A52AE1" w:rsidRPr="00D73F4B" w:rsidRDefault="00F2589E" w:rsidP="00F2589E">
            <w:pPr>
              <w:rPr>
                <w:bCs/>
                <w:i/>
              </w:rPr>
            </w:pPr>
            <w:r w:rsidRPr="00F2589E">
              <w:rPr>
                <w:bCs/>
                <w:iCs/>
              </w:rPr>
              <w:t>We do not see any progress if we have this agreement. Is it a motivation to define a sporadic short transmission in specification?</w:t>
            </w:r>
          </w:p>
        </w:tc>
      </w:tr>
      <w:tr w:rsidR="00A52AE1" w14:paraId="3AEA1A24" w14:textId="77777777" w:rsidTr="0028095A">
        <w:trPr>
          <w:trHeight w:val="398"/>
          <w:jc w:val="center"/>
        </w:trPr>
        <w:tc>
          <w:tcPr>
            <w:tcW w:w="2547" w:type="dxa"/>
            <w:shd w:val="clear" w:color="auto" w:fill="auto"/>
            <w:vAlign w:val="center"/>
          </w:tcPr>
          <w:p w14:paraId="2EBAC7AE" w14:textId="1CF54C3E" w:rsidR="00A52AE1" w:rsidRDefault="00A52AE1" w:rsidP="00A52AE1">
            <w:pPr>
              <w:snapToGrid w:val="0"/>
              <w:spacing w:after="0"/>
              <w:rPr>
                <w:lang w:eastAsia="zh-CN"/>
              </w:rPr>
            </w:pPr>
          </w:p>
        </w:tc>
        <w:tc>
          <w:tcPr>
            <w:tcW w:w="8080" w:type="dxa"/>
            <w:vAlign w:val="center"/>
          </w:tcPr>
          <w:p w14:paraId="4CE9A84B" w14:textId="55439699" w:rsidR="00A52AE1" w:rsidRPr="00D73F4B" w:rsidRDefault="00A52AE1" w:rsidP="00A52AE1">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lastRenderedPageBreak/>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lastRenderedPageBreak/>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lastRenderedPageBreak/>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r>
              <w:rPr>
                <w:rFonts w:eastAsiaTheme="minorEastAsia"/>
                <w:lang w:eastAsia="zh-CN"/>
              </w:rPr>
              <w:lastRenderedPageBreak/>
              <w:t>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lastRenderedPageBreak/>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lastRenderedPageBreak/>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B405E" w14:paraId="6BD0E89C" w14:textId="77777777" w:rsidTr="0028095A">
        <w:trPr>
          <w:trHeight w:val="398"/>
          <w:jc w:val="center"/>
        </w:trPr>
        <w:tc>
          <w:tcPr>
            <w:tcW w:w="2547" w:type="dxa"/>
            <w:shd w:val="clear" w:color="auto" w:fill="auto"/>
            <w:vAlign w:val="center"/>
          </w:tcPr>
          <w:p w14:paraId="70EEB175" w14:textId="54309489" w:rsidR="003B405E" w:rsidRPr="00881635" w:rsidRDefault="003B405E" w:rsidP="003B405E">
            <w:pPr>
              <w:snapToGrid w:val="0"/>
              <w:spacing w:after="0"/>
              <w:rPr>
                <w:lang w:eastAsia="zh-CN"/>
              </w:rPr>
            </w:pPr>
            <w:r>
              <w:rPr>
                <w:rFonts w:eastAsiaTheme="minorEastAsia"/>
                <w:lang w:val="en-US" w:eastAsia="zh-CN"/>
              </w:rPr>
              <w:t>SONY</w:t>
            </w:r>
          </w:p>
        </w:tc>
        <w:tc>
          <w:tcPr>
            <w:tcW w:w="8080" w:type="dxa"/>
            <w:vAlign w:val="center"/>
          </w:tcPr>
          <w:p w14:paraId="39A5ACF9" w14:textId="77777777" w:rsidR="003B405E" w:rsidRDefault="003B405E" w:rsidP="003B405E">
            <w:pPr>
              <w:spacing w:before="120"/>
              <w:rPr>
                <w:lang w:val="en-US"/>
              </w:rPr>
            </w:pPr>
            <w:r>
              <w:rPr>
                <w:lang w:val="en-US"/>
              </w:rPr>
              <w:t>3.4-1: OK</w:t>
            </w:r>
          </w:p>
          <w:p w14:paraId="23E98EB2" w14:textId="77777777" w:rsidR="003B405E" w:rsidRDefault="003B405E" w:rsidP="003B405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214177B" w14:textId="77777777" w:rsidR="003B405E" w:rsidRDefault="003B405E" w:rsidP="003B405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67D5BB33" w14:textId="77777777" w:rsidR="003B405E" w:rsidRDefault="003B405E" w:rsidP="003B405E">
            <w:pPr>
              <w:spacing w:before="120"/>
              <w:rPr>
                <w:lang w:val="en-US"/>
              </w:rPr>
            </w:pPr>
          </w:p>
          <w:p w14:paraId="101AB651" w14:textId="0D7B747D" w:rsidR="003B405E" w:rsidRPr="00881635" w:rsidRDefault="003B405E" w:rsidP="003B405E">
            <w:pPr>
              <w:spacing w:beforeLines="50" w:before="120" w:afterLines="50" w:after="120"/>
            </w:pPr>
            <w:r>
              <w:rPr>
                <w:lang w:val="en-US"/>
              </w:rPr>
              <w:t>3.4-3. Why would the UE declare RLF if it were able to read SIB / common TA parameters while in RRC_CONNECTED? We think this proposal needs further consideration.</w:t>
            </w:r>
          </w:p>
        </w:tc>
      </w:tr>
      <w:tr w:rsidR="0003461A" w14:paraId="421DDA9A" w14:textId="77777777" w:rsidTr="0028095A">
        <w:trPr>
          <w:trHeight w:val="398"/>
          <w:jc w:val="center"/>
        </w:trPr>
        <w:tc>
          <w:tcPr>
            <w:tcW w:w="2547" w:type="dxa"/>
            <w:shd w:val="clear" w:color="auto" w:fill="auto"/>
            <w:vAlign w:val="center"/>
          </w:tcPr>
          <w:p w14:paraId="4878A8CD" w14:textId="3D5F2DA4" w:rsidR="0003461A" w:rsidRPr="001B4D5B" w:rsidRDefault="0003461A" w:rsidP="0003461A">
            <w:pPr>
              <w:snapToGrid w:val="0"/>
              <w:spacing w:after="0"/>
              <w:rPr>
                <w:color w:val="C00000"/>
                <w:lang w:eastAsia="zh-CN"/>
              </w:rPr>
            </w:pPr>
            <w:r>
              <w:rPr>
                <w:lang w:eastAsia="zh-CN"/>
              </w:rPr>
              <w:t>Ericsson</w:t>
            </w:r>
          </w:p>
        </w:tc>
        <w:tc>
          <w:tcPr>
            <w:tcW w:w="8080" w:type="dxa"/>
            <w:vAlign w:val="center"/>
          </w:tcPr>
          <w:p w14:paraId="0766B137" w14:textId="77777777" w:rsidR="0003461A" w:rsidRPr="000D1EE6" w:rsidRDefault="0003461A" w:rsidP="0003461A">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09A94D25" w14:textId="77777777" w:rsidR="0003461A" w:rsidRPr="000D1EE6" w:rsidRDefault="0003461A" w:rsidP="0003461A">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57F08B53" w14:textId="3F0146D4" w:rsidR="0003461A" w:rsidRPr="001B4D5B" w:rsidRDefault="0003461A" w:rsidP="0003461A">
            <w:pPr>
              <w:rPr>
                <w:iCs/>
                <w:color w:val="C00000"/>
                <w:lang w:val="en-US" w:eastAsia="zh-CN"/>
              </w:rPr>
            </w:pPr>
            <w:r w:rsidRPr="000D1EE6">
              <w:rPr>
                <w:rFonts w:eastAsiaTheme="minorEastAsia"/>
                <w:bCs/>
                <w:iCs/>
                <w:lang w:eastAsia="zh-CN"/>
              </w:rPr>
              <w:t>Second Round Proposal – Section 3.4-3: Agree.</w:t>
            </w:r>
          </w:p>
        </w:tc>
      </w:tr>
      <w:tr w:rsidR="00A52AE1" w:rsidRPr="009D7E5C" w14:paraId="7E303835" w14:textId="77777777" w:rsidTr="0028095A">
        <w:trPr>
          <w:trHeight w:val="398"/>
          <w:jc w:val="center"/>
        </w:trPr>
        <w:tc>
          <w:tcPr>
            <w:tcW w:w="2547" w:type="dxa"/>
            <w:shd w:val="clear" w:color="auto" w:fill="auto"/>
            <w:vAlign w:val="center"/>
          </w:tcPr>
          <w:p w14:paraId="0E580B8F" w14:textId="3B910F6A"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2C0169C" w14:textId="47092B27" w:rsidR="00A52AE1" w:rsidRPr="009D7E5C" w:rsidRDefault="00A52AE1" w:rsidP="00A52AE1">
            <w:pPr>
              <w:pStyle w:val="BodyText"/>
              <w:rPr>
                <w:i/>
              </w:rPr>
            </w:pPr>
            <w:r>
              <w:rPr>
                <w:rFonts w:eastAsiaTheme="minorEastAsia" w:hint="eastAsia"/>
                <w:lang w:eastAsia="zh-CN"/>
              </w:rPr>
              <w:t>A</w:t>
            </w:r>
            <w:r>
              <w:rPr>
                <w:rFonts w:eastAsiaTheme="minorEastAsia"/>
                <w:lang w:eastAsia="zh-CN"/>
              </w:rPr>
              <w:t>gree.</w:t>
            </w:r>
          </w:p>
        </w:tc>
      </w:tr>
      <w:tr w:rsidR="00F021D2" w14:paraId="24122D17" w14:textId="77777777" w:rsidTr="0028095A">
        <w:trPr>
          <w:trHeight w:val="398"/>
          <w:jc w:val="center"/>
        </w:trPr>
        <w:tc>
          <w:tcPr>
            <w:tcW w:w="2547" w:type="dxa"/>
            <w:shd w:val="clear" w:color="auto" w:fill="auto"/>
            <w:vAlign w:val="center"/>
          </w:tcPr>
          <w:p w14:paraId="1AE94BC8" w14:textId="72B06660" w:rsidR="00F021D2" w:rsidRPr="009D7E5C" w:rsidRDefault="00F021D2" w:rsidP="00F021D2">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030CFB52" w14:textId="74547412" w:rsidR="00F021D2" w:rsidRPr="009D7E5C" w:rsidRDefault="00F021D2" w:rsidP="00F021D2">
            <w:pPr>
              <w:pStyle w:val="BodyText"/>
              <w:rPr>
                <w:i/>
              </w:rPr>
            </w:pPr>
            <w:r>
              <w:rPr>
                <w:rFonts w:eastAsiaTheme="minorEastAsia"/>
                <w:lang w:eastAsia="zh-CN"/>
              </w:rPr>
              <w:t xml:space="preserve">Agree with the proposals. As for the FFS, we prefer one single </w:t>
            </w:r>
            <w:proofErr w:type="spellStart"/>
            <w:r>
              <w:rPr>
                <w:rFonts w:eastAsiaTheme="minorEastAsia"/>
                <w:lang w:eastAsia="zh-CN"/>
              </w:rPr>
              <w:t>validty</w:t>
            </w:r>
            <w:proofErr w:type="spellEnd"/>
            <w:r>
              <w:rPr>
                <w:rFonts w:eastAsiaTheme="minorEastAsia"/>
                <w:lang w:eastAsia="zh-CN"/>
              </w:rPr>
              <w:t xml:space="preserve">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F021D2" w14:paraId="10E32375" w14:textId="77777777" w:rsidTr="0028095A">
        <w:trPr>
          <w:trHeight w:val="398"/>
          <w:jc w:val="center"/>
        </w:trPr>
        <w:tc>
          <w:tcPr>
            <w:tcW w:w="2547" w:type="dxa"/>
            <w:shd w:val="clear" w:color="auto" w:fill="auto"/>
            <w:vAlign w:val="center"/>
          </w:tcPr>
          <w:p w14:paraId="68589CF4" w14:textId="4E9433BD" w:rsidR="00F021D2" w:rsidRPr="00DB61B9" w:rsidRDefault="00F2589E" w:rsidP="00F021D2">
            <w:pPr>
              <w:snapToGrid w:val="0"/>
              <w:spacing w:after="0"/>
              <w:rPr>
                <w:lang w:eastAsia="zh-CN"/>
              </w:rPr>
            </w:pPr>
            <w:r>
              <w:rPr>
                <w:rFonts w:eastAsiaTheme="minorEastAsia"/>
                <w:lang w:eastAsia="zh-CN"/>
              </w:rPr>
              <w:t>Nokia, NSB</w:t>
            </w:r>
          </w:p>
        </w:tc>
        <w:tc>
          <w:tcPr>
            <w:tcW w:w="8080" w:type="dxa"/>
            <w:vAlign w:val="center"/>
          </w:tcPr>
          <w:p w14:paraId="4CE514B5" w14:textId="77777777" w:rsidR="00F2589E" w:rsidRDefault="00F2589E" w:rsidP="00F2589E">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0B5849BC" w14:textId="77777777" w:rsidR="00F2589E" w:rsidRDefault="00F2589E" w:rsidP="00F2589E">
            <w:r>
              <w:t xml:space="preserve">Sync between Network and UE whether UE has valid ephemeris/common TA is needed. It is UE who knows when it has correctly received </w:t>
            </w:r>
            <w:proofErr w:type="gramStart"/>
            <w:r>
              <w:t>these valid information</w:t>
            </w:r>
            <w:proofErr w:type="gramEnd"/>
            <w:r>
              <w:t xml:space="preserve"> from SIB and start the validity timer, then network should also start the validity timer.</w:t>
            </w:r>
          </w:p>
          <w:p w14:paraId="55116CF0" w14:textId="77777777" w:rsidR="00F2589E" w:rsidRDefault="00F2589E" w:rsidP="00F2589E">
            <w:r>
              <w:lastRenderedPageBreak/>
              <w:t xml:space="preserve">In RRC_IDLE mode, even when UE start or restart the validity timer, as no UL, network does not know and there is no alignment between UE and network. In this case, we think UE start validity timer in IDLE mode is not needed. When UE need to </w:t>
            </w:r>
            <w:proofErr w:type="spellStart"/>
            <w:r>
              <w:t>changed</w:t>
            </w:r>
            <w:proofErr w:type="spellEnd"/>
            <w:r>
              <w:t xml:space="preserve"> to CONNECTED mode, UE should receive the ephemeris/common TA, when they are valid, then UE start the validity timer and report network when the validity timer start in the following UL transmission, e.g. in procedure of RRC connection.  </w:t>
            </w:r>
          </w:p>
          <w:p w14:paraId="188D2382" w14:textId="77777777" w:rsidR="00F2589E" w:rsidRDefault="00F2589E" w:rsidP="00F2589E">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xml:space="preserve">, we suggest </w:t>
            </w:r>
            <w:proofErr w:type="gramStart"/>
            <w:r>
              <w:t>to modify</w:t>
            </w:r>
            <w:proofErr w:type="gramEnd"/>
            <w:r>
              <w:t xml:space="preserve">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2A8A2611" w14:textId="77777777" w:rsidR="00F021D2" w:rsidRPr="00267C65" w:rsidRDefault="00F021D2" w:rsidP="00F021D2">
            <w:pPr>
              <w:spacing w:beforeLines="50" w:before="120" w:afterLines="50" w:after="120"/>
            </w:pPr>
          </w:p>
        </w:tc>
      </w:tr>
      <w:tr w:rsidR="00F021D2" w14:paraId="61AB22DD" w14:textId="77777777" w:rsidTr="0028095A">
        <w:trPr>
          <w:trHeight w:val="398"/>
          <w:jc w:val="center"/>
        </w:trPr>
        <w:tc>
          <w:tcPr>
            <w:tcW w:w="2547" w:type="dxa"/>
            <w:shd w:val="clear" w:color="auto" w:fill="auto"/>
            <w:vAlign w:val="center"/>
          </w:tcPr>
          <w:p w14:paraId="74D40BB4" w14:textId="77777777" w:rsidR="00F021D2" w:rsidRDefault="00F021D2" w:rsidP="00F021D2">
            <w:pPr>
              <w:snapToGrid w:val="0"/>
              <w:spacing w:after="0"/>
              <w:rPr>
                <w:lang w:eastAsia="zh-CN"/>
              </w:rPr>
            </w:pPr>
          </w:p>
        </w:tc>
        <w:tc>
          <w:tcPr>
            <w:tcW w:w="8080" w:type="dxa"/>
            <w:vAlign w:val="center"/>
          </w:tcPr>
          <w:p w14:paraId="05D1EE2F" w14:textId="77777777" w:rsidR="00F021D2" w:rsidRPr="00D73F4B" w:rsidRDefault="00F021D2" w:rsidP="00F021D2">
            <w:pPr>
              <w:rPr>
                <w:bCs/>
                <w:i/>
              </w:rPr>
            </w:pPr>
          </w:p>
        </w:tc>
      </w:tr>
      <w:tr w:rsidR="00F021D2" w14:paraId="61707A93" w14:textId="77777777" w:rsidTr="0028095A">
        <w:trPr>
          <w:trHeight w:val="398"/>
          <w:jc w:val="center"/>
        </w:trPr>
        <w:tc>
          <w:tcPr>
            <w:tcW w:w="2547" w:type="dxa"/>
            <w:shd w:val="clear" w:color="auto" w:fill="auto"/>
            <w:vAlign w:val="center"/>
          </w:tcPr>
          <w:p w14:paraId="7D657569" w14:textId="77777777" w:rsidR="00F021D2" w:rsidRDefault="00F021D2" w:rsidP="00F021D2">
            <w:pPr>
              <w:snapToGrid w:val="0"/>
              <w:spacing w:after="0"/>
              <w:rPr>
                <w:lang w:eastAsia="zh-CN"/>
              </w:rPr>
            </w:pPr>
          </w:p>
        </w:tc>
        <w:tc>
          <w:tcPr>
            <w:tcW w:w="8080" w:type="dxa"/>
            <w:vAlign w:val="center"/>
          </w:tcPr>
          <w:p w14:paraId="38564A63" w14:textId="77777777" w:rsidR="00F021D2" w:rsidRPr="00D73F4B" w:rsidRDefault="00F021D2" w:rsidP="00F021D2">
            <w:pPr>
              <w:rPr>
                <w:bCs/>
                <w:i/>
              </w:rPr>
            </w:pPr>
          </w:p>
        </w:tc>
      </w:tr>
      <w:tr w:rsidR="00F021D2" w14:paraId="05A9E5C5" w14:textId="77777777" w:rsidTr="0028095A">
        <w:trPr>
          <w:trHeight w:val="398"/>
          <w:jc w:val="center"/>
        </w:trPr>
        <w:tc>
          <w:tcPr>
            <w:tcW w:w="2547" w:type="dxa"/>
            <w:shd w:val="clear" w:color="auto" w:fill="auto"/>
            <w:vAlign w:val="center"/>
          </w:tcPr>
          <w:p w14:paraId="331B459A" w14:textId="77777777" w:rsidR="00F021D2" w:rsidRDefault="00F021D2" w:rsidP="00F021D2">
            <w:pPr>
              <w:snapToGrid w:val="0"/>
              <w:spacing w:after="0"/>
              <w:rPr>
                <w:lang w:eastAsia="zh-CN"/>
              </w:rPr>
            </w:pPr>
          </w:p>
        </w:tc>
        <w:tc>
          <w:tcPr>
            <w:tcW w:w="8080" w:type="dxa"/>
            <w:vAlign w:val="center"/>
          </w:tcPr>
          <w:p w14:paraId="3849E383" w14:textId="77777777" w:rsidR="00F021D2" w:rsidRPr="00D73F4B" w:rsidRDefault="00F021D2" w:rsidP="00F021D2">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AA5CD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AA5CD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AA5CD7"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lastRenderedPageBreak/>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lastRenderedPageBreak/>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AA5CD7"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AA5CD7"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AA5CD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AA5CD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AA5CD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AA5CD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AA5CD7"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AA5CD7"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41892"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AA5CD7"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41893"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lastRenderedPageBreak/>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2247"/>
              <w:gridCol w:w="2675"/>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pt;height:15.8pt" o:ole="">
                        <v:imagedata r:id="rId61" o:title=""/>
                      </v:shape>
                      <o:OLEObject Type="Embed" ProgID="Equation.3" ShapeID="_x0000_i1029" DrawAspect="Content" ObjectID="_1691341857"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5pt;height:16.2pt" o:ole="">
                        <v:imagedata r:id="rId63" o:title=""/>
                      </v:shape>
                      <o:OLEObject Type="Embed" ProgID="Equation.3" ShapeID="_x0000_i1030" DrawAspect="Content" ObjectID="_1691341858"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4pt;height:15.8pt" o:ole="">
                        <v:imagedata r:id="rId65" o:title=""/>
                      </v:shape>
                      <o:OLEObject Type="Embed" ProgID="Equation.3" ShapeID="_x0000_i1031" DrawAspect="Content" ObjectID="_1691341859"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15pt;height:15.8pt" o:ole="">
                        <v:imagedata r:id="rId67" o:title=""/>
                      </v:shape>
                      <o:OLEObject Type="Embed" ProgID="Equation.3" ShapeID="_x0000_i1032" DrawAspect="Content" ObjectID="_1691341860"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15pt;height:15.8pt" o:ole="">
                        <v:imagedata r:id="rId69" o:title=""/>
                      </v:shape>
                      <o:OLEObject Type="Embed" ProgID="Equation.3" ShapeID="_x0000_i1033" DrawAspect="Content" ObjectID="_1691341861"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15pt;height:15.8pt" o:ole="">
                        <v:imagedata r:id="rId71" o:title=""/>
                      </v:shape>
                      <o:OLEObject Type="Embed" ProgID="Equation.3" ShapeID="_x0000_i1034" DrawAspect="Content" ObjectID="_1691341862"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4pt;height:15.8pt" o:ole="">
                        <v:imagedata r:id="rId73" o:title=""/>
                      </v:shape>
                      <o:OLEObject Type="Embed" ProgID="Equation.3" ShapeID="_x0000_i1035" DrawAspect="Content" ObjectID="_1691341863"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05pt;height:15.8pt" o:ole="">
                        <v:imagedata r:id="rId75" o:title=""/>
                      </v:shape>
                      <o:OLEObject Type="Embed" ProgID="Equation.3" ShapeID="_x0000_i1036" DrawAspect="Content" ObjectID="_1691341864"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15pt;height:15.8pt" o:ole="">
                        <v:imagedata r:id="rId77" o:title=""/>
                      </v:shape>
                      <o:OLEObject Type="Embed" ProgID="Equation.3" ShapeID="_x0000_i1037" DrawAspect="Content" ObjectID="_1691341865"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05pt;height:15.8pt" o:ole="">
                        <v:imagedata r:id="rId79" o:title=""/>
                      </v:shape>
                      <o:OLEObject Type="Embed" ProgID="Equation.3" ShapeID="_x0000_i1038" DrawAspect="Content" ObjectID="_1691341866"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5pt;height:15.8pt" o:ole="">
                        <v:imagedata r:id="rId81" o:title=""/>
                      </v:shape>
                      <o:OLEObject Type="Embed" ProgID="Equation.3" ShapeID="_x0000_i1039" DrawAspect="Content" ObjectID="_1691341867"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4pt;height:15.8pt" o:ole="">
                        <v:imagedata r:id="rId83" o:title=""/>
                      </v:shape>
                      <o:OLEObject Type="Embed" ProgID="Equation.3" ShapeID="_x0000_i1040" DrawAspect="Content" ObjectID="_1691341868"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4pt;height:15.8pt" o:ole="">
                        <v:imagedata r:id="rId85" o:title=""/>
                      </v:shape>
                      <o:OLEObject Type="Embed" ProgID="Equation.3" ShapeID="_x0000_i1041" DrawAspect="Content" ObjectID="_1691341869" r:id="rId86"/>
                    </w:object>
                  </w:r>
                  <w:r>
                    <w:t xml:space="preserve">and </w:t>
                  </w:r>
                  <w:r w:rsidRPr="005B11E1">
                    <w:rPr>
                      <w:position w:val="-10"/>
                    </w:rPr>
                    <w:object w:dxaOrig="720" w:dyaOrig="300" w14:anchorId="3FD11485">
                      <v:shape id="_x0000_i1042" type="#_x0000_t75" style="width:36.4pt;height:15.8pt" o:ole="">
                        <v:imagedata r:id="rId87" o:title=""/>
                      </v:shape>
                      <o:OLEObject Type="Embed" ProgID="Equation.3" ShapeID="_x0000_i1042" DrawAspect="Content" ObjectID="_1691341870"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AA5CD7"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9.05pt;height:19.8pt" o:ole="">
                  <v:imagedata r:id="rId89" o:title=""/>
                </v:shape>
                <o:OLEObject Type="Embed" ProgID="Equation.3" ShapeID="_x0000_i1043" DrawAspect="Content" ObjectID="_1691341871"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35pt;height:16.2pt" o:ole="">
                  <v:imagedata r:id="rId91" o:title=""/>
                </v:shape>
                <o:OLEObject Type="Embed" ProgID="Equation.3" ShapeID="_x0000_i1044" DrawAspect="Content" ObjectID="_1691341872"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35pt;height:16.2pt" o:ole="">
                  <v:imagedata r:id="rId91" o:title=""/>
                </v:shape>
                <o:OLEObject Type="Embed" ProgID="Equation.3" ShapeID="_x0000_i1045" DrawAspect="Content" ObjectID="_1691341873" r:id="rId93"/>
              </w:object>
            </w:r>
            <w:r w:rsidRPr="006B193F">
              <w:rPr>
                <w:b/>
                <w:color w:val="0070C0"/>
              </w:rPr>
              <w:t xml:space="preserve"> and </w:t>
            </w:r>
            <w:r w:rsidRPr="006B193F">
              <w:rPr>
                <w:b/>
                <w:color w:val="0070C0"/>
                <w:position w:val="-14"/>
              </w:rPr>
              <w:object w:dxaOrig="540" w:dyaOrig="380" w14:anchorId="7CCDB8E4">
                <v:shape id="_x0000_i1046" type="#_x0000_t75" style="width:27.7pt;height:19.8pt" o:ole="">
                  <v:imagedata r:id="rId94" o:title=""/>
                </v:shape>
                <o:OLEObject Type="Embed" ProgID="Equation.3" ShapeID="_x0000_i1046" DrawAspect="Content" ObjectID="_1691341874"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35pt;height:16.2pt" o:ole="">
                        <v:imagedata r:id="rId96" o:title=""/>
                      </v:shape>
                      <o:OLEObject Type="Embed" ProgID="Equation.3" ShapeID="_x0000_i1047" DrawAspect="Content" ObjectID="_1691341875"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55pt;height:16.2pt" o:ole="">
                        <v:imagedata r:id="rId98" o:title=""/>
                      </v:shape>
                      <o:OLEObject Type="Embed" ProgID="Equation.3" ShapeID="_x0000_i1048" DrawAspect="Content" ObjectID="_1691341876"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pt;height:19.8pt" o:ole="">
                        <v:imagedata r:id="rId100" o:title=""/>
                      </v:shape>
                      <o:OLEObject Type="Embed" ProgID="Equation.3" ShapeID="_x0000_i1049" DrawAspect="Content" ObjectID="_1691341877"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55pt;height:15.8pt" o:ole="">
                  <v:imagedata r:id="rId102" o:title=""/>
                </v:shape>
                <o:OLEObject Type="Embed" ProgID="Equation.3" ShapeID="_x0000_i1050" DrawAspect="Content" ObjectID="_1691341878" r:id="rId103"/>
              </w:object>
            </w:r>
            <w:r w:rsidRPr="006B193F">
              <w:rPr>
                <w:color w:val="0070C0"/>
              </w:rPr>
              <w:t xml:space="preserve">slots, the </w:t>
            </w:r>
            <w:r w:rsidRPr="006B193F">
              <w:rPr>
                <w:color w:val="0070C0"/>
                <w:position w:val="-10"/>
              </w:rPr>
              <w:object w:dxaOrig="499" w:dyaOrig="300" w14:anchorId="2244B2A6">
                <v:shape id="_x0000_i1051" type="#_x0000_t75" style="width:24.55pt;height:15.8pt" o:ole="">
                  <v:imagedata r:id="rId104" o:title=""/>
                </v:shape>
                <o:OLEObject Type="Embed" ProgID="Equation.3" ShapeID="_x0000_i1051" DrawAspect="Content" ObjectID="_1691341879"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2pt" o:ole="">
                  <v:imagedata r:id="rId106" o:title=""/>
                </v:shape>
                <o:OLEObject Type="Embed" ProgID="Equation.3" ShapeID="_x0000_i1052" DrawAspect="Content" ObjectID="_1691341880"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8pt;height:15.8pt" o:ole="">
                  <v:imagedata r:id="rId108" o:title=""/>
                </v:shape>
                <o:OLEObject Type="Embed" ProgID="Equation.3" ShapeID="_x0000_i1053" DrawAspect="Content" ObjectID="_1691341881" r:id="rId109"/>
              </w:object>
            </w:r>
            <w:r w:rsidRPr="006B193F">
              <w:rPr>
                <w:color w:val="0070C0"/>
              </w:rPr>
              <w:t xml:space="preserve"> to the following slot, where</w:t>
            </w:r>
          </w:p>
          <w:p w14:paraId="51138469" w14:textId="77777777" w:rsidR="006B193F" w:rsidRPr="006B193F" w:rsidRDefault="00AA5CD7"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8pt;height:31.25pt" o:ole="">
                  <v:imagedata r:id="rId110" o:title=""/>
                </v:shape>
                <o:OLEObject Type="Embed" ProgID="Equation.3" ShapeID="_x0000_i1054" DrawAspect="Content" ObjectID="_1691341882"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pt;height:19.8pt" o:ole="">
                  <v:imagedata r:id="rId112" o:title=""/>
                </v:shape>
                <o:OLEObject Type="Embed" ProgID="Equation.3" ShapeID="_x0000_i1055" DrawAspect="Content" ObjectID="_1691341883"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5pt;height:16.2pt" o:ole="">
                  <v:imagedata r:id="rId114" o:title=""/>
                </v:shape>
                <o:OLEObject Type="Embed" ProgID="Equation.3" ShapeID="_x0000_i1056" DrawAspect="Content" ObjectID="_1691341884"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pt;height:19.8pt" o:ole="">
                  <v:imagedata r:id="rId112" o:title=""/>
                </v:shape>
                <o:OLEObject Type="Embed" ProgID="Equation.3" ShapeID="_x0000_i1057" DrawAspect="Content" ObjectID="_1691341885" r:id="rId116"/>
              </w:object>
            </w:r>
            <w:r w:rsidRPr="006B193F">
              <w:rPr>
                <w:b/>
                <w:color w:val="0070C0"/>
              </w:rPr>
              <w:t xml:space="preserve"> and </w:t>
            </w:r>
            <w:r w:rsidRPr="006B193F">
              <w:rPr>
                <w:b/>
                <w:color w:val="0070C0"/>
                <w:position w:val="-10"/>
              </w:rPr>
              <w:object w:dxaOrig="440" w:dyaOrig="340" w14:anchorId="7F32B35D">
                <v:shape id="_x0000_i1058" type="#_x0000_t75" style="width:21.35pt;height:16.2pt" o:ole="">
                  <v:imagedata r:id="rId114" o:title=""/>
                </v:shape>
                <o:OLEObject Type="Embed" ProgID="Equation.3" ShapeID="_x0000_i1058" DrawAspect="Content" ObjectID="_1691341886"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8pt;height:19.8pt" o:ole="">
                  <v:imagedata r:id="rId118" o:title=""/>
                </v:shape>
                <o:OLEObject Type="Embed" ProgID="Equation.3" ShapeID="_x0000_i1059" DrawAspect="Content" ObjectID="_1691341887"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35pt;height:16.2pt" o:ole="">
                        <v:imagedata r:id="rId120" o:title=""/>
                      </v:shape>
                      <o:OLEObject Type="Embed" ProgID="Equation.3" ShapeID="_x0000_i1060" DrawAspect="Content" ObjectID="_1691341888"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pt;height:19.8pt" o:ole="">
                        <v:imagedata r:id="rId112" o:title=""/>
                      </v:shape>
                      <o:OLEObject Type="Embed" ProgID="Equation.3" ShapeID="_x0000_i1061" DrawAspect="Content" ObjectID="_1691341889"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6"/>
              <w:gridCol w:w="1337"/>
              <w:gridCol w:w="664"/>
              <w:gridCol w:w="847"/>
              <w:gridCol w:w="848"/>
              <w:gridCol w:w="737"/>
              <w:gridCol w:w="1580"/>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35pt;height:16.2pt" o:ole="">
                        <v:imagedata r:id="rId128" o:title=""/>
                      </v:shape>
                      <o:OLEObject Type="Embed" ProgID="Equation.DSMT4" ShapeID="_x0000_i1062" DrawAspect="Content" ObjectID="_1691341890"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lastRenderedPageBreak/>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lastRenderedPageBreak/>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lastRenderedPageBreak/>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lastRenderedPageBreak/>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7pt;height:14.65pt" o:ole="">
                                  <v:imagedata r:id="rId102" o:title=""/>
                                </v:shape>
                                <o:OLEObject Type="Embed" ProgID="Equation.3" ShapeID="_x0000_i1064" DrawAspect="Content" ObjectID="_1691341894"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w:t>
                            </w:r>
                            <w:proofErr w:type="spellStart"/>
                            <w:r w:rsidRPr="00237FE4">
                              <w:rPr>
                                <w:i/>
                                <w:iCs/>
                                <w:lang w:eastAsia="zh-CN"/>
                              </w:rPr>
                              <w:t>ConfigSIB</w:t>
                            </w:r>
                            <w:proofErr w:type="spellEnd"/>
                            <w:r w:rsidRPr="00237FE4">
                              <w:rPr>
                                <w:i/>
                                <w:iCs/>
                                <w:lang w:eastAsia="zh-CN"/>
                              </w:rPr>
                              <w:t>-NB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proofErr w:type="spellStart"/>
                            <w:r w:rsidRPr="00237FE4">
                              <w:rPr>
                                <w:i/>
                                <w:lang w:eastAsia="zh-CN"/>
                              </w:rPr>
                              <w:t>nprach-ParametersList</w:t>
                            </w:r>
                            <w:proofErr w:type="spellEnd"/>
                            <w:r w:rsidRPr="00237FE4">
                              <w:rPr>
                                <w:lang w:eastAsia="zh-CN"/>
                              </w:rPr>
                              <w:t xml:space="preserve"> and if the UE indicates </w:t>
                            </w:r>
                            <w:proofErr w:type="spellStart"/>
                            <w:r w:rsidRPr="00237FE4">
                              <w:rPr>
                                <w:i/>
                              </w:rPr>
                              <w:t>multiCarrier</w:t>
                            </w:r>
                            <w:proofErr w:type="spellEnd"/>
                            <w:r w:rsidRPr="00237FE4">
                              <w:rPr>
                                <w:i/>
                              </w:rPr>
                              <w:t>-NPRACH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1pt;height:14.65pt" o:ole="">
                                  <v:imagedata r:id="rId132" o:title=""/>
                                </v:shape>
                                <o:OLEObject Type="Embed" ProgID="Equation.3" ShapeID="_x0000_i1066" DrawAspect="Content" ObjectID="_1691341895"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7pt;height:14.65pt" o:ole="">
                                  <v:imagedata r:id="rId102" o:title=""/>
                                </v:shape>
                                <o:OLEObject Type="Embed" ProgID="Equation.3" ShapeID="_x0000_i1068" DrawAspect="Content" ObjectID="_1691341896" r:id="rId13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0" type="#_x0000_t75" style="width:27.7pt;height:14.65pt" o:ole="">
                                  <v:imagedata r:id="rId102" o:title=""/>
                                </v:shape>
                                <o:OLEObject Type="Embed" ProgID="Equation.3" ShapeID="_x0000_i1070" DrawAspect="Content" ObjectID="_1691341897"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35pt;height:14.65pt" o:ole="">
                                  <v:imagedata r:id="rId136" o:title=""/>
                                </v:shape>
                                <o:OLEObject Type="Embed" ProgID="Equation.3" ShapeID="_x0000_i1072" DrawAspect="Content" ObjectID="_1691341898"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7pt;height:14.65pt" o:ole="">
                                  <v:imagedata r:id="rId102" o:title=""/>
                                </v:shape>
                                <o:OLEObject Type="Embed" ProgID="Equation.3" ShapeID="_x0000_i1074" DrawAspect="Content" ObjectID="_1691341899"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7pt;height:14.65pt" o:ole="">
                                  <v:imagedata r:id="rId102" o:title=""/>
                                </v:shape>
                                <o:OLEObject Type="Embed" ProgID="Equation.3" ShapeID="_x0000_i1076" DrawAspect="Content" ObjectID="_1691341900"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w:t>
      </w:r>
      <w:r w:rsidRPr="00F50116">
        <w:rPr>
          <w:rFonts w:eastAsia="Times New Roman"/>
          <w:b/>
          <w:bCs/>
          <w:i/>
          <w:iCs/>
          <w:color w:val="000000"/>
        </w:rPr>
        <w:lastRenderedPageBreak/>
        <w:t xml:space="preserve">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03461A" w14:paraId="46F0660B" w14:textId="77777777" w:rsidTr="0028095A">
        <w:trPr>
          <w:trHeight w:val="398"/>
          <w:jc w:val="center"/>
        </w:trPr>
        <w:tc>
          <w:tcPr>
            <w:tcW w:w="2547" w:type="dxa"/>
            <w:shd w:val="clear" w:color="auto" w:fill="auto"/>
            <w:vAlign w:val="center"/>
          </w:tcPr>
          <w:p w14:paraId="20BA29E9" w14:textId="4D91B95D" w:rsidR="0003461A" w:rsidRPr="001B4D5B" w:rsidRDefault="0003461A" w:rsidP="0003461A">
            <w:pPr>
              <w:snapToGrid w:val="0"/>
              <w:spacing w:after="0"/>
              <w:rPr>
                <w:color w:val="C00000"/>
                <w:lang w:eastAsia="zh-CN"/>
              </w:rPr>
            </w:pPr>
            <w:r w:rsidRPr="000D1EE6">
              <w:rPr>
                <w:lang w:eastAsia="zh-CN"/>
              </w:rPr>
              <w:t>Ericsson</w:t>
            </w:r>
          </w:p>
        </w:tc>
        <w:tc>
          <w:tcPr>
            <w:tcW w:w="8080" w:type="dxa"/>
            <w:vAlign w:val="center"/>
          </w:tcPr>
          <w:p w14:paraId="6A80F57B" w14:textId="77777777" w:rsidR="0003461A" w:rsidRPr="000D1EE6" w:rsidRDefault="0003461A" w:rsidP="0003461A">
            <w:pPr>
              <w:spacing w:beforeLines="50" w:before="120" w:afterLines="50" w:after="120"/>
            </w:pPr>
            <w:r w:rsidRPr="000D1EE6">
              <w:t>Second Round Proposal – Section 4.4-1: Agree.</w:t>
            </w:r>
          </w:p>
          <w:p w14:paraId="70566192" w14:textId="77777777" w:rsidR="0003461A" w:rsidRPr="000D1EE6" w:rsidRDefault="0003461A" w:rsidP="0003461A">
            <w:pPr>
              <w:spacing w:beforeLines="50" w:before="120" w:afterLines="50" w:after="120"/>
            </w:pPr>
            <w:r w:rsidRPr="000D1EE6">
              <w:t>Second Round Proposal – Section 4.4-2:</w:t>
            </w:r>
          </w:p>
          <w:p w14:paraId="3CEA21D7" w14:textId="77777777" w:rsidR="0003461A" w:rsidRPr="000D1EE6" w:rsidRDefault="0003461A" w:rsidP="0003461A">
            <w:pPr>
              <w:spacing w:beforeLines="50" w:before="120" w:afterLines="50" w:after="120"/>
            </w:pPr>
            <w:r w:rsidRPr="000D1EE6">
              <w:t>Q1: Agree</w:t>
            </w:r>
          </w:p>
          <w:p w14:paraId="7D20FC0F" w14:textId="77777777" w:rsidR="0003461A" w:rsidRPr="000D1EE6" w:rsidRDefault="0003461A" w:rsidP="0003461A">
            <w:pPr>
              <w:spacing w:beforeLines="50" w:before="120" w:afterLines="50" w:after="120"/>
            </w:pPr>
            <w:r w:rsidRPr="000D1EE6">
              <w:t xml:space="preserve">Q2: The values do not match the agreed “repetition unit” of </w:t>
            </w:r>
            <w:proofErr w:type="spellStart"/>
            <w:r w:rsidRPr="000D1EE6">
              <w:t>eMTC</w:t>
            </w:r>
            <w:proofErr w:type="spellEnd"/>
            <w:r w:rsidRPr="000D1EE6">
              <w:t xml:space="preserve"> PRACH format 3, which is 3 </w:t>
            </w:r>
            <w:proofErr w:type="spellStart"/>
            <w:r w:rsidRPr="000D1EE6">
              <w:t>ms</w:t>
            </w:r>
            <w:proofErr w:type="spellEnd"/>
            <w:r w:rsidRPr="000D1EE6">
              <w:t>. Is the intention that the values apply to PUSCH only?</w:t>
            </w:r>
          </w:p>
          <w:p w14:paraId="20E687B1" w14:textId="7572CC2C" w:rsidR="0003461A" w:rsidRPr="001B4D5B" w:rsidRDefault="0003461A" w:rsidP="0003461A">
            <w:pPr>
              <w:rPr>
                <w:iCs/>
                <w:color w:val="C00000"/>
                <w:lang w:val="en-US" w:eastAsia="zh-CN"/>
              </w:rPr>
            </w:pPr>
            <w:r w:rsidRPr="000D1EE6">
              <w:t>Q</w:t>
            </w:r>
            <w:proofErr w:type="gramStart"/>
            <w:r w:rsidRPr="000D1EE6">
              <w:t>3:Agree</w:t>
            </w:r>
            <w:proofErr w:type="gramEnd"/>
            <w:r w:rsidRPr="000D1EE6">
              <w:t>.</w:t>
            </w:r>
          </w:p>
        </w:tc>
      </w:tr>
      <w:tr w:rsidR="00A52AE1" w:rsidRPr="009D7E5C" w14:paraId="2AFA2584" w14:textId="77777777" w:rsidTr="0028095A">
        <w:trPr>
          <w:trHeight w:val="398"/>
          <w:jc w:val="center"/>
        </w:trPr>
        <w:tc>
          <w:tcPr>
            <w:tcW w:w="2547" w:type="dxa"/>
            <w:shd w:val="clear" w:color="auto" w:fill="auto"/>
            <w:vAlign w:val="center"/>
          </w:tcPr>
          <w:p w14:paraId="0F879E8C" w14:textId="56359082"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0DA1F93" w14:textId="5FF5B8FF" w:rsidR="00A52AE1" w:rsidRPr="009D7E5C" w:rsidRDefault="00A52AE1" w:rsidP="00A52AE1">
            <w:pPr>
              <w:pStyle w:val="BodyText"/>
              <w:rPr>
                <w:i/>
              </w:rPr>
            </w:pPr>
            <w:r>
              <w:rPr>
                <w:rFonts w:eastAsiaTheme="minorEastAsia" w:hint="eastAsia"/>
                <w:lang w:eastAsia="zh-CN"/>
              </w:rPr>
              <w:t>A</w:t>
            </w:r>
            <w:r>
              <w:rPr>
                <w:rFonts w:eastAsiaTheme="minorEastAsia"/>
                <w:lang w:eastAsia="zh-CN"/>
              </w:rPr>
              <w:t>gree</w:t>
            </w:r>
          </w:p>
        </w:tc>
      </w:tr>
      <w:tr w:rsidR="00F021D2" w14:paraId="188BB443" w14:textId="77777777" w:rsidTr="0028095A">
        <w:trPr>
          <w:trHeight w:val="398"/>
          <w:jc w:val="center"/>
        </w:trPr>
        <w:tc>
          <w:tcPr>
            <w:tcW w:w="2547" w:type="dxa"/>
            <w:shd w:val="clear" w:color="auto" w:fill="auto"/>
            <w:vAlign w:val="center"/>
          </w:tcPr>
          <w:p w14:paraId="597E0DFF" w14:textId="1FCCD8F6" w:rsidR="00F021D2" w:rsidRPr="009D7E5C" w:rsidRDefault="00F021D2" w:rsidP="00F021D2">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10AC1C2D" w14:textId="77777777" w:rsidR="00F021D2" w:rsidRDefault="00F021D2" w:rsidP="00F021D2">
            <w:pPr>
              <w:pStyle w:val="BodyText"/>
              <w:spacing w:after="0"/>
              <w:rPr>
                <w:rFonts w:eastAsiaTheme="minorEastAsia"/>
                <w:lang w:eastAsia="zh-CN"/>
              </w:rPr>
            </w:pPr>
            <w:r>
              <w:rPr>
                <w:rFonts w:eastAsiaTheme="minorEastAsia"/>
                <w:lang w:eastAsia="zh-CN"/>
              </w:rPr>
              <w:t>For 4.4-1, we agree.</w:t>
            </w:r>
          </w:p>
          <w:p w14:paraId="35C1B6C7" w14:textId="77777777" w:rsidR="00F021D2" w:rsidRDefault="00F021D2" w:rsidP="00F021D2">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638DAE42" w14:textId="77777777" w:rsidR="00F021D2" w:rsidRDefault="00F021D2" w:rsidP="00F021D2">
            <w:pPr>
              <w:pStyle w:val="BodyText"/>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4D62FC22" w14:textId="77777777" w:rsidR="00F021D2" w:rsidRDefault="00F021D2" w:rsidP="00F021D2">
            <w:pPr>
              <w:pStyle w:val="BodyText"/>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55E24FBD" w:rsidR="00F021D2" w:rsidRPr="009D7E5C" w:rsidRDefault="00F021D2" w:rsidP="00F021D2">
            <w:pPr>
              <w:pStyle w:val="BodyText"/>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w:t>
            </w:r>
            <w:proofErr w:type="gramStart"/>
            <w:r>
              <w:rPr>
                <w:rFonts w:eastAsiaTheme="minorEastAsia"/>
                <w:lang w:eastAsia="zh-CN"/>
              </w:rPr>
              <w:t>segment  duration</w:t>
            </w:r>
            <w:proofErr w:type="gramEnd"/>
            <w:r>
              <w:rPr>
                <w:rFonts w:eastAsiaTheme="minorEastAsia"/>
                <w:lang w:eastAsia="zh-CN"/>
              </w:rPr>
              <w:t xml:space="preserve">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for example, more gaps or more flexible configuration.</w:t>
            </w:r>
            <w:r w:rsidR="00172D3E">
              <w:rPr>
                <w:rFonts w:eastAsiaTheme="minorEastAsia"/>
                <w:lang w:eastAsia="zh-CN"/>
              </w:rPr>
              <w:t xml:space="preserve"> So, we suggest </w:t>
            </w:r>
            <w:proofErr w:type="gramStart"/>
            <w:r w:rsidR="00172D3E">
              <w:rPr>
                <w:rFonts w:eastAsiaTheme="minorEastAsia"/>
                <w:lang w:eastAsia="zh-CN"/>
              </w:rPr>
              <w:t>a</w:t>
            </w:r>
            <w:proofErr w:type="gramEnd"/>
            <w:r w:rsidR="00172D3E">
              <w:rPr>
                <w:rFonts w:eastAsiaTheme="minorEastAsia"/>
                <w:lang w:eastAsia="zh-CN"/>
              </w:rPr>
              <w:t xml:space="preserve"> FFS: whether or not the </w:t>
            </w:r>
            <w:r w:rsidR="00172D3E" w:rsidRPr="008E1995">
              <w:rPr>
                <w:rFonts w:eastAsiaTheme="minorEastAsia"/>
                <w:lang w:eastAsia="zh-CN"/>
              </w:rPr>
              <w:t>legacy UL gap</w:t>
            </w:r>
            <w:r w:rsidR="00172D3E">
              <w:rPr>
                <w:rFonts w:eastAsiaTheme="minorEastAsia"/>
                <w:lang w:eastAsia="zh-CN"/>
              </w:rPr>
              <w:t xml:space="preserve"> </w:t>
            </w:r>
            <w:r w:rsidR="00172D3E" w:rsidRPr="008E1995">
              <w:rPr>
                <w:rFonts w:eastAsiaTheme="minorEastAsia"/>
                <w:lang w:eastAsia="zh-CN"/>
              </w:rPr>
              <w:t xml:space="preserve">mechanism </w:t>
            </w:r>
            <w:r w:rsidR="00172D3E">
              <w:rPr>
                <w:rFonts w:eastAsiaTheme="minorEastAsia"/>
                <w:lang w:eastAsia="zh-CN"/>
              </w:rPr>
              <w:t xml:space="preserve">should be </w:t>
            </w:r>
            <w:r w:rsidR="00172D3E" w:rsidRPr="008E1995">
              <w:rPr>
                <w:rFonts w:eastAsiaTheme="minorEastAsia"/>
                <w:lang w:eastAsia="zh-CN"/>
              </w:rPr>
              <w:t>enhance</w:t>
            </w:r>
            <w:r w:rsidR="00172D3E">
              <w:rPr>
                <w:rFonts w:eastAsiaTheme="minorEastAsia"/>
                <w:lang w:eastAsia="zh-CN"/>
              </w:rPr>
              <w:t>d.</w:t>
            </w:r>
          </w:p>
        </w:tc>
      </w:tr>
      <w:tr w:rsidR="00F021D2" w14:paraId="0449B4EE" w14:textId="77777777" w:rsidTr="0028095A">
        <w:trPr>
          <w:trHeight w:val="398"/>
          <w:jc w:val="center"/>
        </w:trPr>
        <w:tc>
          <w:tcPr>
            <w:tcW w:w="2547" w:type="dxa"/>
            <w:shd w:val="clear" w:color="auto" w:fill="auto"/>
            <w:vAlign w:val="center"/>
          </w:tcPr>
          <w:p w14:paraId="428F2497" w14:textId="1AF0CCC2" w:rsidR="00F021D2" w:rsidRPr="00DB61B9" w:rsidRDefault="00F2589E" w:rsidP="00F021D2">
            <w:pPr>
              <w:snapToGrid w:val="0"/>
              <w:spacing w:after="0"/>
              <w:rPr>
                <w:lang w:eastAsia="zh-CN"/>
              </w:rPr>
            </w:pPr>
            <w:r>
              <w:rPr>
                <w:lang w:eastAsia="zh-CN"/>
              </w:rPr>
              <w:t>Nokia, NSB</w:t>
            </w:r>
          </w:p>
        </w:tc>
        <w:tc>
          <w:tcPr>
            <w:tcW w:w="8080" w:type="dxa"/>
            <w:vAlign w:val="center"/>
          </w:tcPr>
          <w:p w14:paraId="22EBF882" w14:textId="77777777" w:rsidR="00F2589E" w:rsidRPr="00F2589E" w:rsidRDefault="00F2589E" w:rsidP="00F2589E">
            <w:pPr>
              <w:pStyle w:val="BodyText"/>
              <w:rPr>
                <w:rFonts w:eastAsiaTheme="minorEastAsia"/>
                <w:lang w:eastAsia="zh-CN"/>
              </w:rPr>
            </w:pPr>
            <w:r w:rsidRPr="00F2589E">
              <w:rPr>
                <w:rFonts w:eastAsiaTheme="minorEastAsia"/>
                <w:lang w:eastAsia="zh-CN"/>
              </w:rPr>
              <w:t>For 4.4-1, Agree</w:t>
            </w:r>
          </w:p>
          <w:p w14:paraId="51A95862" w14:textId="77777777" w:rsidR="00F2589E" w:rsidRPr="00F2589E" w:rsidRDefault="00F2589E" w:rsidP="00F2589E">
            <w:pPr>
              <w:pStyle w:val="BodyText"/>
              <w:rPr>
                <w:rFonts w:eastAsiaTheme="minorEastAsia"/>
                <w:lang w:eastAsia="zh-CN"/>
              </w:rPr>
            </w:pPr>
            <w:r w:rsidRPr="00F2589E">
              <w:rPr>
                <w:rFonts w:eastAsiaTheme="minorEastAsia"/>
                <w:lang w:eastAsia="zh-CN"/>
              </w:rPr>
              <w:t xml:space="preserve">For 4.4-2, </w:t>
            </w:r>
          </w:p>
          <w:p w14:paraId="68B09A8A" w14:textId="77777777" w:rsidR="00F2589E" w:rsidRPr="00F2589E" w:rsidRDefault="00F2589E" w:rsidP="00F2589E">
            <w:pPr>
              <w:pStyle w:val="BodyText"/>
              <w:rPr>
                <w:rFonts w:eastAsiaTheme="minorEastAsia"/>
                <w:lang w:eastAsia="zh-CN"/>
              </w:rPr>
            </w:pPr>
            <w:r w:rsidRPr="00F2589E">
              <w:rPr>
                <w:rFonts w:eastAsiaTheme="minorEastAsia"/>
                <w:lang w:eastAsia="zh-CN"/>
              </w:rPr>
              <w:t xml:space="preserve">Q1: We partially agree on the analysis. Except the </w:t>
            </w:r>
            <w:proofErr w:type="spellStart"/>
            <w:r w:rsidRPr="00F2589E">
              <w:rPr>
                <w:rFonts w:eastAsiaTheme="minorEastAsia"/>
                <w:lang w:eastAsia="zh-CN"/>
              </w:rPr>
              <w:t>Te</w:t>
            </w:r>
            <w:proofErr w:type="spellEnd"/>
            <w:r w:rsidRPr="00F2589E">
              <w:rPr>
                <w:rFonts w:eastAsiaTheme="minorEastAsia"/>
                <w:lang w:eastAsia="zh-CN"/>
              </w:rPr>
              <w:t>, the TA error should also not larger than half of CP, which should be considered in the analysis.</w:t>
            </w:r>
          </w:p>
          <w:p w14:paraId="5A259266" w14:textId="77777777" w:rsidR="00F2589E" w:rsidRPr="00F2589E" w:rsidRDefault="00F2589E" w:rsidP="00F2589E">
            <w:pPr>
              <w:pStyle w:val="BodyText"/>
              <w:rPr>
                <w:rFonts w:eastAsiaTheme="minorEastAsia"/>
                <w:lang w:eastAsia="zh-CN"/>
              </w:rPr>
            </w:pPr>
            <w:r w:rsidRPr="00F2589E">
              <w:rPr>
                <w:rFonts w:eastAsiaTheme="minorEastAsia"/>
                <w:lang w:eastAsia="zh-CN"/>
              </w:rPr>
              <w:t xml:space="preserve">Q2: Considering limitation on </w:t>
            </w:r>
            <w:proofErr w:type="spellStart"/>
            <w:r w:rsidRPr="00F2589E">
              <w:rPr>
                <w:rFonts w:eastAsiaTheme="minorEastAsia"/>
                <w:lang w:eastAsia="zh-CN"/>
              </w:rPr>
              <w:t>Te</w:t>
            </w:r>
            <w:proofErr w:type="spellEnd"/>
            <w:r w:rsidRPr="00F2589E">
              <w:rPr>
                <w:rFonts w:eastAsiaTheme="minorEastAsia"/>
                <w:lang w:eastAsia="zh-CN"/>
              </w:rPr>
              <w:t xml:space="preserve"> and half of CP, some larger segment duration may be not reasonable, e.g. 64ms or larger values.</w:t>
            </w:r>
          </w:p>
          <w:p w14:paraId="087B7BD1" w14:textId="6E6E2CF7" w:rsidR="00F021D2" w:rsidRPr="00F2589E" w:rsidRDefault="00F2589E" w:rsidP="00F2589E">
            <w:pPr>
              <w:pStyle w:val="BodyText"/>
              <w:rPr>
                <w:rFonts w:eastAsiaTheme="minorEastAsia"/>
                <w:lang w:eastAsia="zh-CN"/>
              </w:rPr>
            </w:pPr>
            <w:r w:rsidRPr="00F2589E">
              <w:rPr>
                <w:rFonts w:eastAsiaTheme="minorEastAsia"/>
                <w:lang w:eastAsia="zh-CN"/>
              </w:rPr>
              <w:t>Q3: seems reasonable.</w:t>
            </w:r>
          </w:p>
        </w:tc>
      </w:tr>
      <w:tr w:rsidR="00F021D2" w14:paraId="1C896B09" w14:textId="77777777" w:rsidTr="0028095A">
        <w:trPr>
          <w:trHeight w:val="398"/>
          <w:jc w:val="center"/>
        </w:trPr>
        <w:tc>
          <w:tcPr>
            <w:tcW w:w="2547" w:type="dxa"/>
            <w:shd w:val="clear" w:color="auto" w:fill="auto"/>
            <w:vAlign w:val="center"/>
          </w:tcPr>
          <w:p w14:paraId="1AAEC430" w14:textId="77777777" w:rsidR="00F021D2" w:rsidRDefault="00F021D2" w:rsidP="00F021D2">
            <w:pPr>
              <w:snapToGrid w:val="0"/>
              <w:spacing w:after="0"/>
              <w:rPr>
                <w:lang w:eastAsia="zh-CN"/>
              </w:rPr>
            </w:pPr>
          </w:p>
        </w:tc>
        <w:tc>
          <w:tcPr>
            <w:tcW w:w="8080" w:type="dxa"/>
            <w:vAlign w:val="center"/>
          </w:tcPr>
          <w:p w14:paraId="3DA921FB" w14:textId="77777777" w:rsidR="00F021D2" w:rsidRPr="00D73F4B" w:rsidRDefault="00F021D2" w:rsidP="00F021D2">
            <w:pPr>
              <w:rPr>
                <w:bCs/>
                <w:i/>
              </w:rPr>
            </w:pPr>
          </w:p>
        </w:tc>
      </w:tr>
      <w:tr w:rsidR="00F021D2" w14:paraId="24AD9763" w14:textId="77777777" w:rsidTr="0028095A">
        <w:trPr>
          <w:trHeight w:val="398"/>
          <w:jc w:val="center"/>
        </w:trPr>
        <w:tc>
          <w:tcPr>
            <w:tcW w:w="2547" w:type="dxa"/>
            <w:shd w:val="clear" w:color="auto" w:fill="auto"/>
            <w:vAlign w:val="center"/>
          </w:tcPr>
          <w:p w14:paraId="5EDBEB5E" w14:textId="77777777" w:rsidR="00F021D2" w:rsidRDefault="00F021D2" w:rsidP="00F021D2">
            <w:pPr>
              <w:snapToGrid w:val="0"/>
              <w:spacing w:after="0"/>
              <w:rPr>
                <w:lang w:eastAsia="zh-CN"/>
              </w:rPr>
            </w:pPr>
          </w:p>
        </w:tc>
        <w:tc>
          <w:tcPr>
            <w:tcW w:w="8080" w:type="dxa"/>
            <w:vAlign w:val="center"/>
          </w:tcPr>
          <w:p w14:paraId="35E170B5" w14:textId="77777777" w:rsidR="00F021D2" w:rsidRPr="00D73F4B" w:rsidRDefault="00F021D2" w:rsidP="00F021D2">
            <w:pPr>
              <w:rPr>
                <w:bCs/>
                <w:i/>
              </w:rPr>
            </w:pPr>
          </w:p>
        </w:tc>
      </w:tr>
      <w:tr w:rsidR="00F021D2" w14:paraId="00E82A4D" w14:textId="77777777" w:rsidTr="0028095A">
        <w:trPr>
          <w:trHeight w:val="398"/>
          <w:jc w:val="center"/>
        </w:trPr>
        <w:tc>
          <w:tcPr>
            <w:tcW w:w="2547" w:type="dxa"/>
            <w:shd w:val="clear" w:color="auto" w:fill="auto"/>
            <w:vAlign w:val="center"/>
          </w:tcPr>
          <w:p w14:paraId="32957D51" w14:textId="77777777" w:rsidR="00F021D2" w:rsidRDefault="00F021D2" w:rsidP="00F021D2">
            <w:pPr>
              <w:snapToGrid w:val="0"/>
              <w:spacing w:after="0"/>
              <w:rPr>
                <w:lang w:eastAsia="zh-CN"/>
              </w:rPr>
            </w:pPr>
          </w:p>
        </w:tc>
        <w:tc>
          <w:tcPr>
            <w:tcW w:w="8080" w:type="dxa"/>
            <w:vAlign w:val="center"/>
          </w:tcPr>
          <w:p w14:paraId="2BF569CA" w14:textId="77777777" w:rsidR="00F021D2" w:rsidRPr="00D73F4B" w:rsidRDefault="00F021D2" w:rsidP="00F021D2">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lastRenderedPageBreak/>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lastRenderedPageBreak/>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w:t>
      </w:r>
      <w:r w:rsidRPr="00A10B3A">
        <w:rPr>
          <w:rFonts w:eastAsiaTheme="minorEastAsia"/>
          <w:lang w:eastAsia="zh-CN"/>
        </w:rPr>
        <w:lastRenderedPageBreak/>
        <w:t>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35pt;height:165.8pt" o:ole="">
            <v:imagedata r:id="rId150" o:title=""/>
          </v:shape>
          <o:OLEObject Type="Embed" ProgID="Visio.Drawing.11" ShapeID="_x0000_i1077" DrawAspect="Content" ObjectID="_1691341891"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lastRenderedPageBreak/>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lastRenderedPageBreak/>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lastRenderedPageBreak/>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AA5CD7"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lastRenderedPageBreak/>
        <w:t>Where:</w:t>
      </w:r>
    </w:p>
    <w:p w14:paraId="55146F7C" w14:textId="77777777" w:rsidR="000C74F7" w:rsidRPr="0045763F" w:rsidRDefault="00AA5CD7"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AA5CD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AA5CD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AA5CD7"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AA5CD7"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lastRenderedPageBreak/>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6F289E" w14:paraId="733082FA" w14:textId="77777777" w:rsidTr="0028095A">
        <w:trPr>
          <w:trHeight w:val="398"/>
          <w:jc w:val="center"/>
        </w:trPr>
        <w:tc>
          <w:tcPr>
            <w:tcW w:w="2547" w:type="dxa"/>
            <w:shd w:val="clear" w:color="auto" w:fill="auto"/>
            <w:vAlign w:val="center"/>
          </w:tcPr>
          <w:p w14:paraId="2F87E58B" w14:textId="6C2B733D" w:rsidR="006F289E" w:rsidRPr="00DB61B9" w:rsidRDefault="0003461A" w:rsidP="006F289E">
            <w:pPr>
              <w:snapToGrid w:val="0"/>
              <w:spacing w:after="0"/>
              <w:rPr>
                <w:lang w:eastAsia="zh-CN"/>
              </w:rPr>
            </w:pPr>
            <w:r>
              <w:rPr>
                <w:lang w:eastAsia="zh-CN"/>
              </w:rPr>
              <w:t>Ericsson</w:t>
            </w:r>
          </w:p>
        </w:tc>
        <w:tc>
          <w:tcPr>
            <w:tcW w:w="8080" w:type="dxa"/>
            <w:vAlign w:val="center"/>
          </w:tcPr>
          <w:p w14:paraId="0B7DC663" w14:textId="65E1C1FD" w:rsidR="006F289E" w:rsidRPr="00267C65" w:rsidRDefault="0003461A" w:rsidP="006F289E">
            <w:pPr>
              <w:spacing w:beforeLines="50" w:before="120" w:afterLines="50" w:after="120"/>
            </w:pPr>
            <w:r>
              <w:t>Agree</w:t>
            </w:r>
          </w:p>
        </w:tc>
      </w:tr>
      <w:tr w:rsidR="00A52AE1" w14:paraId="2D7B1809" w14:textId="77777777" w:rsidTr="0028095A">
        <w:trPr>
          <w:trHeight w:val="398"/>
          <w:jc w:val="center"/>
        </w:trPr>
        <w:tc>
          <w:tcPr>
            <w:tcW w:w="2547" w:type="dxa"/>
            <w:shd w:val="clear" w:color="auto" w:fill="auto"/>
            <w:vAlign w:val="center"/>
          </w:tcPr>
          <w:p w14:paraId="271DA7CF" w14:textId="51508CCB" w:rsidR="00A52AE1"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A3621BD" w:rsidR="00A52AE1" w:rsidRPr="00D73F4B" w:rsidRDefault="00A52AE1" w:rsidP="00A52AE1">
            <w:pPr>
              <w:rPr>
                <w:bCs/>
                <w:i/>
              </w:rPr>
            </w:pPr>
            <w:r w:rsidRPr="002A5D18">
              <w:rPr>
                <w:rFonts w:eastAsiaTheme="minorEastAsia" w:hint="eastAsia"/>
                <w:lang w:eastAsia="zh-CN"/>
              </w:rPr>
              <w:t>A</w:t>
            </w:r>
            <w:r w:rsidRPr="002A5D18">
              <w:rPr>
                <w:rFonts w:eastAsiaTheme="minorEastAsia"/>
                <w:lang w:eastAsia="zh-CN"/>
              </w:rPr>
              <w:t>gree</w:t>
            </w:r>
          </w:p>
        </w:tc>
      </w:tr>
      <w:tr w:rsidR="00A52AE1" w14:paraId="70CB1A11" w14:textId="77777777" w:rsidTr="0028095A">
        <w:trPr>
          <w:trHeight w:val="398"/>
          <w:jc w:val="center"/>
        </w:trPr>
        <w:tc>
          <w:tcPr>
            <w:tcW w:w="2547" w:type="dxa"/>
            <w:shd w:val="clear" w:color="auto" w:fill="auto"/>
            <w:vAlign w:val="center"/>
          </w:tcPr>
          <w:p w14:paraId="6655D7C6" w14:textId="524F2BC5" w:rsidR="00A52AE1" w:rsidRDefault="00F2589E" w:rsidP="00A52AE1">
            <w:pPr>
              <w:snapToGrid w:val="0"/>
              <w:spacing w:after="0"/>
              <w:rPr>
                <w:lang w:eastAsia="zh-CN"/>
              </w:rPr>
            </w:pPr>
            <w:r>
              <w:rPr>
                <w:lang w:eastAsia="zh-CN"/>
              </w:rPr>
              <w:t>Nokia, NSB</w:t>
            </w:r>
          </w:p>
        </w:tc>
        <w:tc>
          <w:tcPr>
            <w:tcW w:w="8080" w:type="dxa"/>
            <w:vAlign w:val="center"/>
          </w:tcPr>
          <w:p w14:paraId="0643C437" w14:textId="557CE1E5" w:rsidR="00A52AE1" w:rsidRPr="00F2589E" w:rsidRDefault="00F2589E" w:rsidP="00A52AE1">
            <w:r>
              <w:rPr>
                <w:iCs/>
              </w:rPr>
              <w:t xml:space="preserve">Considering limited time for WI, maybe </w:t>
            </w:r>
            <w:proofErr w:type="gramStart"/>
            <w:r>
              <w:rPr>
                <w:iCs/>
              </w:rPr>
              <w:t>no</w:t>
            </w:r>
            <w:proofErr w:type="gramEnd"/>
            <w:r>
              <w:rPr>
                <w:iCs/>
              </w:rPr>
              <w:t xml:space="preserve"> enough time to solve the issue, although we still consider there will be issue as our comments before.</w:t>
            </w:r>
          </w:p>
        </w:tc>
      </w:tr>
      <w:tr w:rsidR="00A52AE1" w14:paraId="258D7FCF" w14:textId="77777777" w:rsidTr="0028095A">
        <w:trPr>
          <w:trHeight w:val="398"/>
          <w:jc w:val="center"/>
        </w:trPr>
        <w:tc>
          <w:tcPr>
            <w:tcW w:w="2547" w:type="dxa"/>
            <w:shd w:val="clear" w:color="auto" w:fill="auto"/>
            <w:vAlign w:val="center"/>
          </w:tcPr>
          <w:p w14:paraId="3AB3DED5" w14:textId="77777777" w:rsidR="00A52AE1" w:rsidRDefault="00A52AE1" w:rsidP="00A52AE1">
            <w:pPr>
              <w:snapToGrid w:val="0"/>
              <w:spacing w:after="0"/>
              <w:rPr>
                <w:lang w:eastAsia="zh-CN"/>
              </w:rPr>
            </w:pPr>
          </w:p>
        </w:tc>
        <w:tc>
          <w:tcPr>
            <w:tcW w:w="8080" w:type="dxa"/>
            <w:vAlign w:val="center"/>
          </w:tcPr>
          <w:p w14:paraId="21787782" w14:textId="77777777" w:rsidR="00A52AE1" w:rsidRPr="00D73F4B" w:rsidRDefault="00A52AE1" w:rsidP="00A52AE1">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lastRenderedPageBreak/>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lastRenderedPageBreak/>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宋体"/>
                <w:bCs/>
                <w:i/>
                <w:szCs w:val="22"/>
                <w:lang w:eastAsia="zh-CN"/>
              </w:rPr>
            </w:pPr>
            <w:bookmarkStart w:id="13" w:name="OLE_LINK3"/>
            <w:bookmarkStart w:id="14"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BodyText"/>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lastRenderedPageBreak/>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lastRenderedPageBreak/>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lastRenderedPageBreak/>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xml:space="preserve">: UE may have the maximum initial frequency error more than 50KHz contributed </w:t>
            </w:r>
            <w:r w:rsidRPr="009A652F">
              <w:rPr>
                <w:i/>
              </w:rPr>
              <w:lastRenderedPageBreak/>
              <w:t>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AA5CD7"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AA5CD7"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lastRenderedPageBreak/>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lastRenderedPageBreak/>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lastRenderedPageBreak/>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lastRenderedPageBreak/>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lastRenderedPageBreak/>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lastRenderedPageBreak/>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22270" w14:textId="77777777" w:rsidR="00AA5CD7" w:rsidRDefault="00AA5CD7" w:rsidP="00584850">
      <w:pPr>
        <w:spacing w:after="0"/>
      </w:pPr>
      <w:r>
        <w:separator/>
      </w:r>
    </w:p>
  </w:endnote>
  <w:endnote w:type="continuationSeparator" w:id="0">
    <w:p w14:paraId="09D2F718" w14:textId="77777777" w:rsidR="00AA5CD7" w:rsidRDefault="00AA5CD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00000287" w:usb1="08070000"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00000003"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1390E" w14:textId="77777777" w:rsidR="00AA5CD7" w:rsidRDefault="00AA5CD7" w:rsidP="00584850">
      <w:pPr>
        <w:spacing w:after="0"/>
      </w:pPr>
      <w:r>
        <w:separator/>
      </w:r>
    </w:p>
  </w:footnote>
  <w:footnote w:type="continuationSeparator" w:id="0">
    <w:p w14:paraId="023C1EF2" w14:textId="77777777" w:rsidR="00AA5CD7" w:rsidRDefault="00AA5CD7"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61A"/>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2D3E"/>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05E"/>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3A3"/>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DA7"/>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4E5D"/>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2AE1"/>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5CD7"/>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D"/>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1D2"/>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89E"/>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92925344">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2.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BD08039-6C50-422B-A370-79D76F704B69}">
  <ds:schemaRefs>
    <ds:schemaRef ds:uri="http://schemas.openxmlformats.org/officeDocument/2006/bibliography"/>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66</Pages>
  <Words>24937</Words>
  <Characters>142143</Characters>
  <Application>Microsoft Office Word</Application>
  <DocSecurity>0</DocSecurity>
  <Lines>1184</Lines>
  <Paragraphs>333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Sun, Jingyuan (NSB - CN/Beijing)</cp:lastModifiedBy>
  <cp:revision>10</cp:revision>
  <cp:lastPrinted>2017-11-03T15:53:00Z</cp:lastPrinted>
  <dcterms:created xsi:type="dcterms:W3CDTF">2021-08-24T08:50:00Z</dcterms:created>
  <dcterms:modified xsi:type="dcterms:W3CDTF">2021-08-24T11:42:00Z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