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C9B0594" w:rsidR="00E144EB" w:rsidRDefault="00E144EB" w:rsidP="00A4709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0D79E3F4" w:rsidR="00E144EB" w:rsidRDefault="00E144EB" w:rsidP="0003380E">
            <w:pPr>
              <w:snapToGrid w:val="0"/>
              <w:rPr>
                <w:sz w:val="18"/>
                <w:szCs w:val="18"/>
                <w:lang w:eastAsia="zh-CN"/>
              </w:rPr>
            </w:pP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77777777" w:rsidR="00252B54" w:rsidRDefault="00252B54" w:rsidP="00A4709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79CB0" w14:textId="77777777" w:rsidR="00252B54" w:rsidRDefault="00252B54" w:rsidP="0003380E">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lastRenderedPageBreak/>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lastRenderedPageBreak/>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lastRenderedPageBreak/>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7C5B85E"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0ACB63F1"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D885238"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373EC13F" w:rsidR="00671EBB" w:rsidRDefault="00671EBB" w:rsidP="0078373D">
            <w:pPr>
              <w:snapToGrid w:val="0"/>
              <w:rPr>
                <w:rFonts w:eastAsia="SimSun"/>
                <w:sz w:val="18"/>
                <w:szCs w:val="18"/>
                <w:lang w:eastAsia="zh-CN"/>
              </w:rPr>
            </w:pP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F57995D"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1C7215B"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2A4AA7C"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EA387FC"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59FE6E8B"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22D2C04" w:rsidR="008D6AA5" w:rsidRDefault="008D6AA5" w:rsidP="008D6AA5">
            <w:pPr>
              <w:snapToGrid w:val="0"/>
              <w:rPr>
                <w:rFonts w:eastAsia="DengXian"/>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D9596D">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D9596D">
            <w:pPr>
              <w:snapToGrid w:val="0"/>
              <w:rPr>
                <w:sz w:val="18"/>
                <w:szCs w:val="20"/>
              </w:rPr>
            </w:pPr>
            <w:r>
              <w:rPr>
                <w:sz w:val="18"/>
                <w:szCs w:val="20"/>
              </w:rPr>
              <w:t>FL proposal 4</w:t>
            </w:r>
            <w:r w:rsidR="00763668">
              <w:rPr>
                <w:sz w:val="18"/>
                <w:szCs w:val="20"/>
              </w:rPr>
              <w:t>.A V</w:t>
            </w:r>
            <w:r w:rsidR="00520C04">
              <w:rPr>
                <w:sz w:val="18"/>
                <w:szCs w:val="20"/>
              </w:rPr>
              <w:t>1</w:t>
            </w:r>
            <w:r w:rsidR="00520C04">
              <w:rPr>
                <w:sz w:val="18"/>
                <w:szCs w:val="20"/>
              </w:rPr>
              <w:t xml:space="preserve"> </w:t>
            </w:r>
          </w:p>
          <w:p w14:paraId="0AEC54E1" w14:textId="77777777" w:rsidR="00520C04" w:rsidRDefault="00520C04" w:rsidP="00D9596D">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D9596D">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D9596D">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D9596D">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D9596D">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D9596D">
            <w:pPr>
              <w:snapToGrid w:val="0"/>
              <w:rPr>
                <w:sz w:val="18"/>
                <w:szCs w:val="20"/>
              </w:rPr>
            </w:pPr>
          </w:p>
          <w:p w14:paraId="0BB6EA3C" w14:textId="0D5BDA49" w:rsidR="00520C04" w:rsidRDefault="00520C04" w:rsidP="00D9596D">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D9596D">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D9596D">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A panel entity corresponds to a reported CSI-RS and/or SSB resource index in a beam reporting instance</w:t>
      </w:r>
      <w:r w:rsidRPr="00763668">
        <w:rPr>
          <w:rFonts w:eastAsia="Batang"/>
          <w:sz w:val="20"/>
          <w:szCs w:val="20"/>
          <w:lang w:val="en-GB" w:eastAsia="x-none"/>
        </w:rPr>
        <w:t xml:space="preserve"> </w:t>
      </w:r>
      <w:r w:rsidRPr="00763668">
        <w:rPr>
          <w:rFonts w:eastAsia="Malgun Gothic"/>
          <w:bCs/>
          <w:sz w:val="20"/>
          <w:szCs w:val="20"/>
        </w:rPr>
        <w:t>(i.e. Opt1-1</w:t>
      </w:r>
      <w:r w:rsidRPr="00763668">
        <w:rPr>
          <w:rFonts w:eastAsia="Malgun Gothic"/>
          <w:bCs/>
          <w:sz w:val="20"/>
          <w:szCs w:val="20"/>
        </w:rPr>
        <w:t xml:space="preserve">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D9596D">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D9596D">
            <w:pPr>
              <w:snapToGrid w:val="0"/>
              <w:rPr>
                <w:b/>
                <w:sz w:val="18"/>
                <w:szCs w:val="18"/>
              </w:rPr>
            </w:pPr>
            <w:r>
              <w:rPr>
                <w:b/>
                <w:sz w:val="18"/>
                <w:szCs w:val="18"/>
              </w:rPr>
              <w:t>Input</w:t>
            </w:r>
          </w:p>
        </w:tc>
      </w:tr>
      <w:tr w:rsidR="00520C04" w14:paraId="0A28DA8F"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D9596D">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w:t>
            </w:r>
            <w:r w:rsidRPr="004274A2">
              <w:rPr>
                <w:rFonts w:eastAsia="DengXian"/>
                <w:b/>
                <w:color w:val="3333FF"/>
                <w:sz w:val="22"/>
                <w:szCs w:val="18"/>
                <w:lang w:eastAsia="zh-CN"/>
              </w:rPr>
              <w:t>te Table 5</w:t>
            </w:r>
            <w:r w:rsidRPr="004274A2">
              <w:rPr>
                <w:rFonts w:eastAsia="DengXian"/>
                <w:b/>
                <w:color w:val="3333FF"/>
                <w:sz w:val="22"/>
                <w:szCs w:val="18"/>
                <w:lang w:eastAsia="zh-CN"/>
              </w:rPr>
              <w:t xml:space="preserve"> if needed</w:t>
            </w:r>
            <w:r w:rsidRPr="004274A2">
              <w:rPr>
                <w:rFonts w:eastAsia="DengXian"/>
                <w:b/>
                <w:color w:val="3333FF"/>
                <w:sz w:val="22"/>
                <w:szCs w:val="18"/>
                <w:lang w:eastAsia="zh-CN"/>
              </w:rPr>
              <w:t xml:space="preserve">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7777777" w:rsidR="00520C04" w:rsidRDefault="00520C04"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A32B" w14:textId="77777777" w:rsidR="00520C04" w:rsidRDefault="00520C04" w:rsidP="00D9596D">
            <w:pPr>
              <w:snapToGrid w:val="0"/>
              <w:rPr>
                <w:rFonts w:eastAsia="SimSun"/>
                <w:sz w:val="18"/>
                <w:szCs w:val="18"/>
                <w:lang w:eastAsia="zh-CN"/>
              </w:rPr>
            </w:pPr>
          </w:p>
        </w:tc>
      </w:tr>
    </w:tbl>
    <w:p w14:paraId="470E8EED" w14:textId="77777777" w:rsidR="00520C04" w:rsidRPr="00927EA6" w:rsidRDefault="00520C04" w:rsidP="00520C04">
      <w:pPr>
        <w:snapToGrid w:val="0"/>
        <w:jc w:val="both"/>
        <w:rPr>
          <w:sz w:val="18"/>
          <w:szCs w:val="18"/>
        </w:rPr>
      </w:pPr>
      <w:bookmarkStart w:id="3" w:name="_GoBack"/>
      <w:bookmarkEnd w:id="3"/>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vPHR, remove Alt2),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D9596D">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D9596D">
            <w:pPr>
              <w:snapToGrid w:val="0"/>
              <w:rPr>
                <w:b/>
                <w:sz w:val="18"/>
                <w:szCs w:val="18"/>
              </w:rPr>
            </w:pPr>
            <w:r>
              <w:rPr>
                <w:b/>
                <w:sz w:val="18"/>
                <w:szCs w:val="18"/>
              </w:rPr>
              <w:t>Input</w:t>
            </w:r>
          </w:p>
        </w:tc>
      </w:tr>
      <w:tr w:rsidR="006902A2" w14:paraId="6464A6F6"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D9596D">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D9596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Pr>
                <w:rFonts w:eastAsia="DengXian"/>
                <w:b/>
                <w:color w:val="3333FF"/>
                <w:sz w:val="18"/>
                <w:szCs w:val="18"/>
                <w:lang w:eastAsia="zh-CN"/>
              </w:rPr>
              <w:t xml:space="preserve">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8EC0" w14:textId="77777777" w:rsidR="006902A2" w:rsidRDefault="006902A2" w:rsidP="00D9596D">
            <w:pPr>
              <w:snapToGrid w:val="0"/>
              <w:rPr>
                <w:rFonts w:eastAsia="SimSun"/>
                <w:sz w:val="18"/>
                <w:szCs w:val="18"/>
                <w:lang w:eastAsia="zh-CN"/>
              </w:rPr>
            </w:pPr>
          </w:p>
        </w:tc>
      </w:tr>
      <w:tr w:rsidR="006902A2" w14:paraId="2AA22768"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88BB" w14:textId="77777777" w:rsidR="006902A2" w:rsidRDefault="006902A2" w:rsidP="00D9596D">
            <w:pPr>
              <w:snapToGrid w:val="0"/>
              <w:rPr>
                <w:rFonts w:eastAsia="SimSun"/>
                <w:sz w:val="18"/>
                <w:szCs w:val="18"/>
                <w:lang w:eastAsia="zh-CN"/>
              </w:rPr>
            </w:pPr>
          </w:p>
        </w:tc>
      </w:tr>
      <w:tr w:rsidR="006902A2" w14:paraId="52D5FADF" w14:textId="77777777" w:rsidTr="00D9596D">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6491" w14:textId="77777777" w:rsidR="006902A2" w:rsidRPr="00293CE3" w:rsidRDefault="006902A2" w:rsidP="00D9596D">
            <w:pPr>
              <w:snapToGrid w:val="0"/>
              <w:jc w:val="both"/>
              <w:rPr>
                <w:rFonts w:eastAsia="SimSun"/>
                <w:sz w:val="18"/>
                <w:szCs w:val="18"/>
              </w:rPr>
            </w:pPr>
          </w:p>
        </w:tc>
      </w:tr>
      <w:tr w:rsidR="006902A2" w14:paraId="0ED6A802"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E7BA" w14:textId="77777777" w:rsidR="006902A2" w:rsidRDefault="006902A2" w:rsidP="00D9596D">
            <w:pPr>
              <w:snapToGrid w:val="0"/>
              <w:jc w:val="both"/>
              <w:rPr>
                <w:sz w:val="18"/>
                <w:szCs w:val="20"/>
              </w:rPr>
            </w:pPr>
          </w:p>
        </w:tc>
      </w:tr>
      <w:tr w:rsidR="006902A2" w14:paraId="5DAA8362"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0311" w14:textId="77777777" w:rsidR="006902A2" w:rsidRDefault="006902A2" w:rsidP="00D9596D">
            <w:pPr>
              <w:snapToGrid w:val="0"/>
              <w:rPr>
                <w:rFonts w:eastAsia="DengXian"/>
                <w:sz w:val="18"/>
                <w:szCs w:val="18"/>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lastRenderedPageBreak/>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lastRenderedPageBreak/>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02D8A158"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54F2D4C0" w:rsidR="00A627C7" w:rsidRDefault="00A627C7" w:rsidP="00931C40">
            <w:pPr>
              <w:snapToGrid w:val="0"/>
              <w:rPr>
                <w:rFonts w:eastAsia="SimSun"/>
                <w:sz w:val="18"/>
                <w:szCs w:val="18"/>
                <w:lang w:eastAsia="zh-CN"/>
              </w:rPr>
            </w:pPr>
          </w:p>
        </w:tc>
      </w:tr>
      <w:tr w:rsidR="002D75F4"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77777777" w:rsidR="002D75F4" w:rsidRDefault="002D75F4"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77777777" w:rsidR="002D75F4" w:rsidRDefault="002D75F4"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2FE9E" w16cid:durableId="24C5F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BA1A" w14:textId="77777777" w:rsidR="002341E5" w:rsidRDefault="002341E5">
      <w:r>
        <w:separator/>
      </w:r>
    </w:p>
  </w:endnote>
  <w:endnote w:type="continuationSeparator" w:id="0">
    <w:p w14:paraId="635D0DDC" w14:textId="77777777" w:rsidR="002341E5" w:rsidRDefault="0023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1A79" w14:textId="77777777" w:rsidR="002341E5" w:rsidRDefault="002341E5">
      <w:r>
        <w:rPr>
          <w:color w:val="000000"/>
        </w:rPr>
        <w:separator/>
      </w:r>
    </w:p>
  </w:footnote>
  <w:footnote w:type="continuationSeparator" w:id="0">
    <w:p w14:paraId="2F1F00EC" w14:textId="77777777" w:rsidR="002341E5" w:rsidRDefault="00234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3"/>
  </w:num>
  <w:num w:numId="4">
    <w:abstractNumId w:val="9"/>
  </w:num>
  <w:num w:numId="5">
    <w:abstractNumId w:val="19"/>
  </w:num>
  <w:num w:numId="6">
    <w:abstractNumId w:val="6"/>
  </w:num>
  <w:num w:numId="7">
    <w:abstractNumId w:val="17"/>
  </w:num>
  <w:num w:numId="8">
    <w:abstractNumId w:val="13"/>
  </w:num>
  <w:num w:numId="9">
    <w:abstractNumId w:val="21"/>
  </w:num>
  <w:num w:numId="10">
    <w:abstractNumId w:val="18"/>
  </w:num>
  <w:num w:numId="11">
    <w:abstractNumId w:val="14"/>
  </w:num>
  <w:num w:numId="12">
    <w:abstractNumId w:val="4"/>
  </w:num>
  <w:num w:numId="13">
    <w:abstractNumId w:val="20"/>
  </w:num>
  <w:num w:numId="14">
    <w:abstractNumId w:val="15"/>
  </w:num>
  <w:num w:numId="15">
    <w:abstractNumId w:val="16"/>
  </w:num>
  <w:num w:numId="16">
    <w:abstractNumId w:val="10"/>
  </w:num>
  <w:num w:numId="17">
    <w:abstractNumId w:val="12"/>
  </w:num>
  <w:num w:numId="18">
    <w:abstractNumId w:val="27"/>
  </w:num>
  <w:num w:numId="19">
    <w:abstractNumId w:val="23"/>
  </w:num>
  <w:num w:numId="20">
    <w:abstractNumId w:val="25"/>
  </w:num>
  <w:num w:numId="21">
    <w:abstractNumId w:val="8"/>
  </w:num>
  <w:num w:numId="22">
    <w:abstractNumId w:val="7"/>
  </w:num>
  <w:num w:numId="23">
    <w:abstractNumId w:val="22"/>
  </w:num>
  <w:num w:numId="24">
    <w:abstractNumId w:val="0"/>
  </w:num>
  <w:num w:numId="25">
    <w:abstractNumId w:val="26"/>
  </w:num>
  <w:num w:numId="26">
    <w:abstractNumId w:val="2"/>
  </w:num>
  <w:num w:numId="27">
    <w:abstractNumId w:val="11"/>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A5"/>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A2C"/>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595A-3BFC-4003-85C9-E6AE79D7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3212</Words>
  <Characters>18311</Characters>
  <Application>Microsoft Office Word</Application>
  <DocSecurity>0</DocSecurity>
  <Lines>152</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35</cp:revision>
  <dcterms:created xsi:type="dcterms:W3CDTF">2021-08-17T00:25:00Z</dcterms:created>
  <dcterms:modified xsi:type="dcterms:W3CDTF">2021-08-25T16:07:00Z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