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ListParagraph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 xml:space="preserve">The main reasons for adopting interpretation 2 are that it is aligned with earlier RAN1 </w:t>
      </w:r>
      <w:proofErr w:type="gramStart"/>
      <w:r w:rsidR="00F16FE1" w:rsidRPr="00F16FE1">
        <w:rPr>
          <w:sz w:val="21"/>
          <w:szCs w:val="21"/>
        </w:rPr>
        <w:t>agreement</w:t>
      </w:r>
      <w:proofErr w:type="gramEnd"/>
      <w:r w:rsidR="00F16FE1" w:rsidRPr="00F16FE1">
        <w:rPr>
          <w:sz w:val="21"/>
          <w:szCs w:val="21"/>
        </w:rPr>
        <w:t xml:space="preserve">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SimSun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</w:t>
      </w:r>
      <w:r>
        <w:rPr>
          <w:sz w:val="21"/>
          <w:szCs w:val="21"/>
        </w:rPr>
        <w:t xml:space="preserve">As discussed in </w:t>
      </w:r>
      <w:r w:rsidR="00753F8C">
        <w:rPr>
          <w:sz w:val="21"/>
          <w:szCs w:val="21"/>
        </w:rPr>
        <w:t xml:space="preserve">[2], </w:t>
      </w:r>
      <w:proofErr w:type="gramStart"/>
      <w:r w:rsidR="00753F8C">
        <w:rPr>
          <w:sz w:val="21"/>
          <w:szCs w:val="21"/>
        </w:rPr>
        <w:t>similar to</w:t>
      </w:r>
      <w:proofErr w:type="gramEnd"/>
      <w:r w:rsidR="00753F8C">
        <w:rPr>
          <w:sz w:val="21"/>
          <w:szCs w:val="21"/>
        </w:rPr>
        <w:t xml:space="preserve">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FFS: The configurable value range of K1 needs to be extended, and impact to related DCI field </w:t>
      </w:r>
      <w:proofErr w:type="spellStart"/>
      <w:r w:rsidRPr="003709B4">
        <w:rPr>
          <w:rFonts w:eastAsia="SimSun"/>
          <w:i/>
          <w:iCs/>
          <w:sz w:val="20"/>
          <w:szCs w:val="20"/>
          <w:lang w:val="en-GB"/>
        </w:rPr>
        <w:t>bitwidth</w:t>
      </w:r>
      <w:proofErr w:type="spellEnd"/>
      <w:r w:rsidRPr="003709B4">
        <w:rPr>
          <w:rFonts w:eastAsia="SimSun"/>
          <w:i/>
          <w:iCs/>
          <w:sz w:val="20"/>
          <w:szCs w:val="20"/>
          <w:lang w:val="en-GB"/>
        </w:rPr>
        <w:t>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sz w:val="21"/>
          <w:szCs w:val="21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</w:t>
      </w:r>
      <w:proofErr w:type="gramStart"/>
      <w:r w:rsidR="002310B6">
        <w:rPr>
          <w:sz w:val="21"/>
          <w:szCs w:val="21"/>
        </w:rPr>
        <w:t>e.g.</w:t>
      </w:r>
      <w:proofErr w:type="gramEnd"/>
      <w:r w:rsidR="002310B6">
        <w:rPr>
          <w:sz w:val="21"/>
          <w:szCs w:val="21"/>
        </w:rPr>
        <w:t xml:space="preserve">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Consistent </w:t>
      </w:r>
      <w:proofErr w:type="spellStart"/>
      <w:r>
        <w:rPr>
          <w:sz w:val="21"/>
          <w:szCs w:val="21"/>
        </w:rPr>
        <w:t>behavior</w:t>
      </w:r>
      <w:proofErr w:type="spellEnd"/>
      <w:r>
        <w:rPr>
          <w:sz w:val="21"/>
          <w:szCs w:val="21"/>
        </w:rPr>
        <w:t xml:space="preserve"> between slot-based and sub-slot-based HARQ-ACK feedback timing</w:t>
      </w:r>
    </w:p>
    <w:p w14:paraId="6B386069" w14:textId="2319EBCF" w:rsidR="007C1C89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Less </w:t>
      </w:r>
      <w:proofErr w:type="spellStart"/>
      <w:r>
        <w:rPr>
          <w:sz w:val="21"/>
          <w:szCs w:val="21"/>
        </w:rPr>
        <w:t>gNB</w:t>
      </w:r>
      <w:proofErr w:type="spellEnd"/>
      <w:r>
        <w:rPr>
          <w:sz w:val="21"/>
          <w:szCs w:val="21"/>
        </w:rPr>
        <w:t>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Caption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rFonts w:hint="eastAsia"/>
          <w:sz w:val="21"/>
          <w:szCs w:val="21"/>
        </w:rPr>
      </w:pP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1568FA2A" w14:textId="77777777" w:rsidR="00DE5865" w:rsidRPr="00DE5865" w:rsidRDefault="00DE5865" w:rsidP="00DE5865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HARQ-ACK timing in Rel-16 with sub-slot-based HARQ-ACK feedback,</w:t>
      </w:r>
    </w:p>
    <w:p w14:paraId="7751D2E7" w14:textId="3C0E278B" w:rsidR="00DE5865" w:rsidRPr="00DE5865" w:rsidRDefault="00DE5865" w:rsidP="00DE5865">
      <w:pPr>
        <w:pStyle w:val="ListParagraph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50752506" w14:textId="263D2A82" w:rsidR="00DE5865" w:rsidRPr="00DE5865" w:rsidRDefault="00DE5865" w:rsidP="00DE5865">
      <w:pPr>
        <w:pStyle w:val="ListParagraph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497B8009" w14:textId="27474EBE" w:rsidR="00221E7A" w:rsidRDefault="00E97A77" w:rsidP="00DE5865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indicate which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you support.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77777777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3982563B" w:rsidR="00221E7A" w:rsidRPr="00706EA6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proofErr w:type="gramStart"/>
      <w:r>
        <w:rPr>
          <w:b/>
          <w:bCs/>
          <w:sz w:val="20"/>
          <w:szCs w:val="21"/>
        </w:rPr>
        <w:t>Companies</w:t>
      </w:r>
      <w:proofErr w:type="gramEnd"/>
      <w:r>
        <w:rPr>
          <w:b/>
          <w:bCs/>
          <w:sz w:val="20"/>
          <w:szCs w:val="21"/>
        </w:rPr>
        <w:t xml:space="preserve">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3237BFD7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2C17D3F1" w14:textId="48424AAE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  <w:tr w:rsidR="00221E7A" w14:paraId="0744C96B" w14:textId="77777777">
        <w:tc>
          <w:tcPr>
            <w:tcW w:w="1255" w:type="dxa"/>
          </w:tcPr>
          <w:p w14:paraId="627B7A77" w14:textId="415FBF47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</w:tc>
        <w:tc>
          <w:tcPr>
            <w:tcW w:w="8374" w:type="dxa"/>
          </w:tcPr>
          <w:p w14:paraId="36160EDB" w14:textId="1FC771A6" w:rsidR="007E0257" w:rsidRDefault="007E0257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</w:tc>
      </w:tr>
      <w:tr w:rsidR="00221E7A" w14:paraId="4194384A" w14:textId="77777777">
        <w:tc>
          <w:tcPr>
            <w:tcW w:w="1255" w:type="dxa"/>
          </w:tcPr>
          <w:p w14:paraId="74EFC9E3" w14:textId="72C7CB67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  <w:tc>
          <w:tcPr>
            <w:tcW w:w="8374" w:type="dxa"/>
          </w:tcPr>
          <w:p w14:paraId="2E20F643" w14:textId="1139D5B2" w:rsidR="00221E7A" w:rsidRDefault="00221E7A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</w:tc>
      </w:tr>
      <w:tr w:rsidR="00221E7A" w14:paraId="72571BCE" w14:textId="77777777">
        <w:tc>
          <w:tcPr>
            <w:tcW w:w="1255" w:type="dxa"/>
          </w:tcPr>
          <w:p w14:paraId="6E404174" w14:textId="3FCD713C" w:rsidR="00221E7A" w:rsidRPr="004E4E42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321BDF6D" w14:textId="75D32208" w:rsidR="00221E7A" w:rsidRPr="004E4E42" w:rsidRDefault="00221E7A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F477F4" w14:paraId="5E23200B" w14:textId="77777777">
        <w:tc>
          <w:tcPr>
            <w:tcW w:w="1255" w:type="dxa"/>
          </w:tcPr>
          <w:p w14:paraId="5300D4F8" w14:textId="44FB0467" w:rsidR="00F477F4" w:rsidRDefault="00F477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61F70FB9" w14:textId="477DED07" w:rsidR="00F477F4" w:rsidRDefault="00F477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5610F4" w14:paraId="3C48C8EA" w14:textId="77777777">
        <w:tc>
          <w:tcPr>
            <w:tcW w:w="1255" w:type="dxa"/>
          </w:tcPr>
          <w:p w14:paraId="13143879" w14:textId="1DFE217F" w:rsidR="005610F4" w:rsidRDefault="005610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09C74257" w14:textId="6CE4BB9B" w:rsidR="005610F4" w:rsidRDefault="005610F4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5703B7" w14:paraId="1BF2A30D" w14:textId="77777777">
        <w:tc>
          <w:tcPr>
            <w:tcW w:w="1255" w:type="dxa"/>
          </w:tcPr>
          <w:p w14:paraId="3883E656" w14:textId="7757996D" w:rsidR="005703B7" w:rsidRDefault="005703B7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374" w:type="dxa"/>
          </w:tcPr>
          <w:p w14:paraId="37283128" w14:textId="3957C61A" w:rsidR="005703B7" w:rsidRDefault="005703B7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</w:p>
        </w:tc>
      </w:tr>
      <w:tr w:rsidR="00705A00" w14:paraId="44282B00" w14:textId="77777777">
        <w:tc>
          <w:tcPr>
            <w:tcW w:w="1255" w:type="dxa"/>
          </w:tcPr>
          <w:p w14:paraId="67996C20" w14:textId="542DE33D" w:rsidR="00705A00" w:rsidRPr="00705A00" w:rsidRDefault="00705A0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03D60270" w14:textId="76A5DD76" w:rsidR="0089677E" w:rsidRPr="0089677E" w:rsidRDefault="0089677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9D212D" w14:paraId="14C9D763" w14:textId="77777777">
        <w:tc>
          <w:tcPr>
            <w:tcW w:w="1255" w:type="dxa"/>
          </w:tcPr>
          <w:p w14:paraId="111A041D" w14:textId="0D0B7F47" w:rsidR="009D212D" w:rsidRDefault="009D212D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E1C7539" w14:textId="7F73803C" w:rsidR="000E5E9E" w:rsidRDefault="000E5E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648D8303" w:rsidR="00706EA6" w:rsidRDefault="00706EA6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6507CC1" w14:textId="0D1E757A" w:rsidR="00706EA6" w:rsidRDefault="00706EA6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171679F9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DB6A697" w14:textId="23E8050D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6AB318DE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A764DFA" w14:textId="54520C6A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40C044FD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64E3F8B6" w14:textId="73CDFF19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43117AB3" w14:textId="4F50AED3" w:rsidR="00221E7A" w:rsidRDefault="00221E7A">
      <w:pPr>
        <w:jc w:val="both"/>
        <w:rPr>
          <w:sz w:val="20"/>
          <w:szCs w:val="21"/>
        </w:rPr>
      </w:pPr>
    </w:p>
    <w:p w14:paraId="654FBEC0" w14:textId="212C789C" w:rsidR="004F40AC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 xml:space="preserve">Huawei, </w:t>
      </w:r>
      <w:proofErr w:type="spellStart"/>
      <w:r w:rsidRPr="00BB48EF">
        <w:rPr>
          <w:sz w:val="22"/>
          <w:szCs w:val="22"/>
        </w:rPr>
        <w:t>HiSilicon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RAN1#106-e, Aug. 2021.</w:t>
      </w:r>
    </w:p>
    <w:p w14:paraId="5B0335DD" w14:textId="0F1EDA5F" w:rsidR="00BB48EF" w:rsidRDefault="002F287D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 xml:space="preserve">, Apple, </w:t>
      </w:r>
      <w:r>
        <w:rPr>
          <w:sz w:val="22"/>
          <w:szCs w:val="22"/>
        </w:rPr>
        <w:t>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CB63" w14:textId="77777777" w:rsidR="000664C8" w:rsidRDefault="000664C8">
      <w:pPr>
        <w:spacing w:after="0" w:line="240" w:lineRule="auto"/>
      </w:pPr>
      <w:r>
        <w:separator/>
      </w:r>
    </w:p>
  </w:endnote>
  <w:endnote w:type="continuationSeparator" w:id="0">
    <w:p w14:paraId="2BE65F11" w14:textId="77777777" w:rsidR="000664C8" w:rsidRDefault="0006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altName w:val="﷽﷽﷽﷽﷽﷽﷽﷽ĝތ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341477"/>
    </w:sdtPr>
    <w:sdtEndPr/>
    <w:sdtContent>
      <w:p w14:paraId="0DA33853" w14:textId="0C58EF8C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41" w:rsidRPr="00212741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09982" w14:textId="77777777" w:rsidR="000664C8" w:rsidRDefault="000664C8">
      <w:pPr>
        <w:spacing w:after="0" w:line="240" w:lineRule="auto"/>
      </w:pPr>
      <w:r>
        <w:separator/>
      </w:r>
    </w:p>
  </w:footnote>
  <w:footnote w:type="continuationSeparator" w:id="0">
    <w:p w14:paraId="7FA78F70" w14:textId="77777777" w:rsidR="000664C8" w:rsidRDefault="0006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E3"/>
    <w:rsid w:val="00E50416"/>
    <w:rsid w:val="00E5072C"/>
    <w:rsid w:val="00E50D27"/>
    <w:rsid w:val="00E50F07"/>
    <w:rsid w:val="00E516FC"/>
    <w:rsid w:val="00E518C8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BD837E10-A6C3-439E-9ADD-F070F31B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DB46B-562D-7649-8731-9F3F85C1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Apple Inc.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Sigen_Ye</cp:lastModifiedBy>
  <cp:revision>11</cp:revision>
  <cp:lastPrinted>1900-12-31T16:00:00Z</cp:lastPrinted>
  <dcterms:created xsi:type="dcterms:W3CDTF">2021-05-21T14:18:00Z</dcterms:created>
  <dcterms:modified xsi:type="dcterms:W3CDTF">2021-08-16T03:20:00Z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