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w:t>
      </w:r>
      <w:r>
        <w:rPr>
          <w:highlight w:val="yellow"/>
        </w:rPr>
        <w:t>210NNNN</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pPr>
      <w:r>
        <w:t>Main discussion topics</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en-US"/>
              </w:rPr>
            </w:pPr>
            <w:r>
              <w:rPr>
                <w:rFonts w:eastAsia="Calibri"/>
                <w:highlight w:val="green"/>
                <w:lang w:val="en-US"/>
              </w:rPr>
              <w:t>Agreement:</w:t>
            </w:r>
          </w:p>
          <w:p>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en-US"/>
              </w:rPr>
            </w:pPr>
            <w:r>
              <w:rPr>
                <w:rFonts w:eastAsia="Times New Roman"/>
                <w:lang w:val="en-US"/>
              </w:rPr>
              <w:t>Option 1: Information corresponds to PRS-RSRP of the first arriving path</w:t>
            </w:r>
          </w:p>
          <w:p>
            <w:pPr>
              <w:numPr>
                <w:ilvl w:val="1"/>
                <w:numId w:val="20"/>
              </w:numPr>
              <w:rPr>
                <w:rFonts w:eastAsia="Times New Roman"/>
                <w:lang w:val="en-US"/>
              </w:rPr>
            </w:pPr>
            <w:r>
              <w:rPr>
                <w:rFonts w:eastAsia="Times New Roman"/>
                <w:lang w:val="en-US"/>
              </w:rPr>
              <w:t>Option 2: Information corresponds to the angle of departure of the first arriving path</w:t>
            </w:r>
          </w:p>
          <w:p>
            <w:pPr>
              <w:numPr>
                <w:ilvl w:val="1"/>
                <w:numId w:val="20"/>
              </w:numPr>
              <w:rPr>
                <w:rFonts w:eastAsia="Times New Roman"/>
                <w:lang w:val="en-US"/>
              </w:rPr>
            </w:pPr>
            <w:r>
              <w:rPr>
                <w:rFonts w:eastAsia="Times New Roman"/>
                <w:lang w:val="en-US"/>
              </w:rPr>
              <w:t>Option 3: Information corresponds to the arrival time of the first path</w:t>
            </w:r>
          </w:p>
          <w:p>
            <w:pPr>
              <w:numPr>
                <w:ilvl w:val="1"/>
                <w:numId w:val="20"/>
              </w:numPr>
              <w:rPr>
                <w:rFonts w:eastAsia="Times New Roman"/>
                <w:lang w:val="en-US"/>
              </w:rPr>
            </w:pPr>
            <w:r>
              <w:rPr>
                <w:rFonts w:eastAsia="Times New Roman"/>
                <w:lang w:val="en-US"/>
              </w:rPr>
              <w:t>Option 4: Information corresponds to phase of the CIR corresponding to the first arriving path</w:t>
            </w:r>
          </w:p>
          <w:p>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en-US"/>
              </w:rPr>
            </w:pPr>
            <w:r>
              <w:rPr>
                <w:rFonts w:eastAsia="Times New Roman"/>
                <w:lang w:val="en-US"/>
              </w:rPr>
              <w:t>FFS: Reporting of additional path to the first arriving path.</w:t>
            </w:r>
          </w:p>
          <w:p>
            <w:pPr>
              <w:numPr>
                <w:ilvl w:val="0"/>
                <w:numId w:val="20"/>
              </w:numPr>
              <w:rPr>
                <w:rFonts w:eastAsia="Times New Roman"/>
                <w:lang w:val="en-US"/>
              </w:rPr>
            </w:pPr>
            <w:r>
              <w:rPr>
                <w:rFonts w:eastAsia="Times New Roman"/>
                <w:lang w:val="en-US"/>
              </w:rPr>
              <w:t>FFS: Measurement definition details</w:t>
            </w:r>
          </w:p>
          <w:p>
            <w:pPr>
              <w:numPr>
                <w:ilvl w:val="0"/>
                <w:numId w:val="20"/>
              </w:numPr>
              <w:rPr>
                <w:rFonts w:eastAsia="Times New Roman"/>
                <w:lang w:val="en-US"/>
              </w:rPr>
            </w:pPr>
            <w:r>
              <w:rPr>
                <w:rFonts w:eastAsia="Times New Roman"/>
                <w:lang w:val="en-US"/>
              </w:rPr>
              <w:t>FFS: additional assistance data to support these enhancements</w:t>
            </w:r>
          </w:p>
          <w:p>
            <w:pPr>
              <w:numPr>
                <w:ilvl w:val="0"/>
                <w:numId w:val="20"/>
              </w:numPr>
              <w:rPr>
                <w:rFonts w:eastAsia="Times New Roman"/>
                <w:lang w:val="en-US"/>
              </w:rPr>
            </w:pPr>
            <w:r>
              <w:rPr>
                <w:rFonts w:eastAsia="Times New Roman"/>
                <w:lang w:val="en-US"/>
              </w:rPr>
              <w:t xml:space="preserve">FFS: how the “first path” is selected among PRS resources in a PRS resource set  </w:t>
            </w:r>
          </w:p>
          <w:p>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_Ref68769193 \r \h  \* MERGEFORMAT </w:instrText>
            </w:r>
            <w:r>
              <w:rPr>
                <w:lang w:val="de-DE"/>
              </w:rPr>
              <w:fldChar w:fldCharType="separate"/>
            </w:r>
            <w:r>
              <w:rPr>
                <w:rFonts w:eastAsia="Calibri"/>
                <w:lang w:val="en-US"/>
              </w:rPr>
              <w:t>[1]</w:t>
            </w:r>
            <w:r>
              <w:rPr>
                <w:lang w:val="de-DE"/>
              </w:rPr>
              <w:fldChar w:fldCharType="end"/>
            </w:r>
          </w:p>
        </w:tc>
        <w:tc>
          <w:tcPr>
            <w:tcW w:w="8641" w:type="dxa"/>
            <w:shd w:val="clear" w:color="auto" w:fill="auto"/>
          </w:tcPr>
          <w:p>
            <w:pPr>
              <w:rPr>
                <w:b/>
                <w:i/>
                <w:lang w:val="en-US"/>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rFonts w:eastAsia="Calibri"/>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shd w:val="clear" w:color="auto" w:fill="auto"/>
          </w:tcPr>
          <w:p>
            <w:pPr>
              <w:pStyle w:val="196"/>
              <w:numPr>
                <w:ilvl w:val="0"/>
                <w:numId w:val="0"/>
              </w:numPr>
              <w:spacing w:after="180"/>
              <w:rPr>
                <w:b/>
                <w:i/>
                <w:lang w:val="en-US"/>
              </w:rPr>
            </w:pPr>
            <w:r>
              <w:rPr>
                <w:b/>
                <w:i/>
                <w:lang w:val="en-US"/>
              </w:rPr>
              <w:t>Proposal 3:  Support the following Options for enhancing DL-AoD.</w:t>
            </w:r>
          </w:p>
          <w:p>
            <w:pPr>
              <w:pStyle w:val="196"/>
              <w:numPr>
                <w:ilvl w:val="0"/>
                <w:numId w:val="21"/>
              </w:numPr>
              <w:spacing w:before="0" w:after="180" w:line="240" w:lineRule="auto"/>
              <w:rPr>
                <w:b/>
                <w:i/>
                <w:lang w:val="en-US"/>
              </w:rPr>
            </w:pPr>
            <w:r>
              <w:rPr>
                <w:b/>
                <w:i/>
                <w:lang w:val="en-US"/>
              </w:rPr>
              <w:t>Option 1: Information corresponds to PRS-RSRP of the first arriving path.</w:t>
            </w:r>
          </w:p>
          <w:p>
            <w:pPr>
              <w:pStyle w:val="196"/>
              <w:numPr>
                <w:ilvl w:val="0"/>
                <w:numId w:val="21"/>
              </w:numPr>
              <w:autoSpaceDE w:val="0"/>
              <w:autoSpaceDN w:val="0"/>
              <w:adjustRightInd w:val="0"/>
              <w:snapToGrid w:val="0"/>
              <w:spacing w:before="0" w:after="120" w:line="240" w:lineRule="auto"/>
              <w:rPr>
                <w:b/>
                <w:i/>
                <w:lang w:val="en-US"/>
              </w:rPr>
            </w:pPr>
            <w:r>
              <w:rPr>
                <w:b/>
                <w:i/>
                <w:lang w:val="en-US"/>
              </w:rPr>
              <w:t>Option 4: Information corresponds to phase of the CIR corresponding to the first arriving path.</w:t>
            </w:r>
          </w:p>
          <w:p>
            <w:pPr>
              <w:pStyle w:val="196"/>
              <w:numPr>
                <w:ilvl w:val="1"/>
                <w:numId w:val="21"/>
              </w:numPr>
              <w:autoSpaceDE w:val="0"/>
              <w:autoSpaceDN w:val="0"/>
              <w:adjustRightInd w:val="0"/>
              <w:snapToGrid w:val="0"/>
              <w:spacing w:before="0" w:after="120" w:line="240" w:lineRule="auto"/>
              <w:rPr>
                <w:b/>
                <w:i/>
                <w:lang w:val="en-US"/>
              </w:rPr>
            </w:pPr>
            <w:r>
              <w:rPr>
                <w:b/>
                <w:i/>
                <w:lang w:val="en-US"/>
              </w:rPr>
              <w:t>This should target multiple PRS resources transmitted on consecutive symbols within a slot.</w:t>
            </w:r>
          </w:p>
          <w:p>
            <w:pPr>
              <w:pStyle w:val="196"/>
              <w:numPr>
                <w:ilvl w:val="0"/>
                <w:numId w:val="21"/>
              </w:numPr>
              <w:autoSpaceDE w:val="0"/>
              <w:autoSpaceDN w:val="0"/>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pPr>
              <w:pStyle w:val="196"/>
              <w:numPr>
                <w:ilvl w:val="0"/>
                <w:numId w:val="21"/>
              </w:numPr>
              <w:autoSpaceDE w:val="0"/>
              <w:autoSpaceDN w:val="0"/>
              <w:adjustRightInd w:val="0"/>
              <w:snapToGrid w:val="0"/>
              <w:spacing w:before="0" w:after="120" w:line="240" w:lineRule="auto"/>
              <w:rPr>
                <w:b/>
                <w:i/>
                <w:lang w:val="en-US"/>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lang w:val="en-US"/>
              </w:rPr>
            </w:pPr>
          </w:p>
          <w:p>
            <w:pPr>
              <w:rPr>
                <w:b/>
                <w:i/>
                <w:lang w:val="en-US"/>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utoSpaceDE w:val="0"/>
              <w:autoSpaceDN w:val="0"/>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pPr>
              <w:pStyle w:val="15"/>
              <w:spacing w:line="260" w:lineRule="exact"/>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_Ref68777443 \r \h  \* MERGEFORMAT </w:instrText>
            </w:r>
            <w:r>
              <w:rPr>
                <w:lang w:val="de-DE"/>
              </w:rPr>
              <w:fldChar w:fldCharType="separate"/>
            </w:r>
            <w:r>
              <w:rPr>
                <w:rFonts w:eastAsia="Calibri"/>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en-US"/>
              </w:rPr>
            </w:pPr>
            <w:r>
              <w:rPr>
                <w:b/>
                <w:bCs/>
                <w:i/>
                <w:iCs/>
                <w:sz w:val="20"/>
                <w:szCs w:val="20"/>
                <w:lang w:val="en-US"/>
              </w:rPr>
              <w:t>Option 1: Information corresponds to PRS-RSRP of the first arriving path</w:t>
            </w:r>
          </w:p>
          <w:p>
            <w:pPr>
              <w:numPr>
                <w:ilvl w:val="1"/>
                <w:numId w:val="24"/>
              </w:numPr>
              <w:rPr>
                <w:b/>
                <w:i/>
                <w:sz w:val="20"/>
                <w:szCs w:val="20"/>
                <w:lang w:val="en-US"/>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rFonts w:eastAsia="Calibri"/>
                <w:b/>
                <w:iCs/>
                <w:lang w:val="en-US"/>
              </w:rPr>
            </w:pPr>
          </w:p>
          <w:p>
            <w:pPr>
              <w:rPr>
                <w:rFonts w:eastAsia="Calibri"/>
                <w:b/>
                <w:iCs/>
                <w:lang w:val="en-US"/>
              </w:rPr>
            </w:pPr>
            <w:r>
              <w:rPr>
                <w:rFonts w:eastAsia="Calibri"/>
                <w:b/>
                <w:iCs/>
                <w:lang w:val="en-US"/>
              </w:rPr>
              <w:t>Proposal 11</w:t>
            </w:r>
          </w:p>
          <w:p>
            <w:pPr>
              <w:pStyle w:val="15"/>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rFonts w:eastAsia="Calibri"/>
                <w:b/>
                <w:iCs/>
                <w:lang w:val="en-US"/>
              </w:rPr>
            </w:pPr>
          </w:p>
          <w:p>
            <w:pPr>
              <w:rPr>
                <w:rFonts w:eastAsia="Calibri"/>
                <w:b/>
                <w:iCs/>
                <w:lang w:val="en-US"/>
              </w:rPr>
            </w:pPr>
            <w:r>
              <w:rPr>
                <w:rFonts w:eastAsia="Calibri"/>
                <w:b/>
                <w:iCs/>
                <w:lang w:val="en-US"/>
              </w:rPr>
              <w:t>Proposal 12</w:t>
            </w:r>
          </w:p>
          <w:p>
            <w:pPr>
              <w:pStyle w:val="15"/>
              <w:numPr>
                <w:ilvl w:val="0"/>
                <w:numId w:val="23"/>
              </w:numPr>
              <w:spacing w:line="260" w:lineRule="exact"/>
              <w:rPr>
                <w:b/>
                <w:i/>
                <w:sz w:val="20"/>
                <w:szCs w:val="20"/>
                <w:lang w:val="en-US"/>
              </w:rPr>
            </w:pPr>
            <w:r>
              <w:rPr>
                <w:b/>
                <w:i/>
                <w:sz w:val="20"/>
                <w:szCs w:val="20"/>
                <w:lang w:val="en-US"/>
              </w:rPr>
              <w:t>The angle-based AoD positioning or phase-based AoD positioning are postponed to the future release</w:t>
            </w:r>
            <w:r>
              <w:rPr>
                <w:rFonts w:hint="eastAsia"/>
                <w:b/>
                <w:i/>
                <w:sz w:val="20"/>
                <w:szCs w:val="20"/>
                <w:lang w:val="en-US"/>
              </w:rPr>
              <w:t>.</w:t>
            </w:r>
          </w:p>
          <w:p>
            <w:pPr>
              <w:rPr>
                <w:rFonts w:eastAsia="Calibri"/>
                <w:b/>
                <w:iCs/>
                <w:lang w:val="en-US"/>
              </w:rPr>
            </w:pPr>
          </w:p>
          <w:p>
            <w:pPr>
              <w:rPr>
                <w:rFonts w:eastAsia="Calibri"/>
                <w:b/>
                <w:i/>
                <w:lang w:val="en-US"/>
              </w:rPr>
            </w:pP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_Ref68781317 \r \h  \* MERGEFORMAT </w:instrText>
            </w:r>
            <w:r>
              <w:rPr>
                <w:lang w:val="de-DE"/>
              </w:rPr>
              <w:fldChar w:fldCharType="separate"/>
            </w:r>
            <w:r>
              <w:rPr>
                <w:rFonts w:eastAsia="Calibri"/>
                <w:lang w:val="en-US"/>
              </w:rPr>
              <w:t>[4]</w:t>
            </w:r>
            <w:r>
              <w:rPr>
                <w:lang w:val="de-DE"/>
              </w:rPr>
              <w:fldChar w:fldCharType="end"/>
            </w:r>
          </w:p>
        </w:tc>
        <w:tc>
          <w:tcPr>
            <w:tcW w:w="8641" w:type="dxa"/>
            <w:shd w:val="clear" w:color="auto" w:fill="auto"/>
          </w:tcPr>
          <w:p>
            <w:pPr>
              <w:rPr>
                <w:b/>
                <w:i/>
                <w:lang w:val="en-US"/>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_Ref68782617 \r \h  \* MERGEFORMAT </w:instrText>
            </w:r>
            <w:r>
              <w:rPr>
                <w:lang w:val="de-DE"/>
              </w:rPr>
              <w:fldChar w:fldCharType="separate"/>
            </w:r>
            <w:r>
              <w:rPr>
                <w:rFonts w:eastAsia="Calibri"/>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en-US"/>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en-US"/>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en-US"/>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_Ref68785546 \r \h  \* MERGEFORMAT </w:instrText>
            </w:r>
            <w:r>
              <w:rPr>
                <w:lang w:val="de-DE"/>
              </w:rPr>
              <w:fldChar w:fldCharType="separate"/>
            </w:r>
            <w:r>
              <w:rPr>
                <w:rFonts w:eastAsia="Calibri"/>
                <w:lang w:val="en-US"/>
              </w:rPr>
              <w:t>[6]</w:t>
            </w:r>
            <w:r>
              <w:rPr>
                <w:lang w:val="de-DE"/>
              </w:rPr>
              <w:fldChar w:fldCharType="end"/>
            </w:r>
          </w:p>
        </w:tc>
        <w:tc>
          <w:tcPr>
            <w:tcW w:w="8641" w:type="dxa"/>
            <w:shd w:val="clear" w:color="auto" w:fill="auto"/>
          </w:tcPr>
          <w:p>
            <w:pPr>
              <w:pStyle w:val="86"/>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pPr>
              <w:pStyle w:val="188"/>
              <w:rPr>
                <w:rFonts w:ascii="Times New Roman" w:hAnsi="Times New Roman" w:eastAsia="Calibri"/>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_Ref68785750 \r \h  \* MERGEFORMAT </w:instrText>
            </w:r>
            <w:r>
              <w:rPr>
                <w:lang w:val="de-DE"/>
              </w:rPr>
              <w:fldChar w:fldCharType="separate"/>
            </w:r>
            <w:r>
              <w:rPr>
                <w:rFonts w:eastAsia="Calibri"/>
                <w:lang w:val="en-US"/>
              </w:rPr>
              <w:t>[7]</w:t>
            </w:r>
            <w:r>
              <w:rPr>
                <w:lang w:val="de-DE"/>
              </w:rPr>
              <w:fldChar w:fldCharType="end"/>
            </w:r>
          </w:p>
        </w:tc>
        <w:tc>
          <w:tcPr>
            <w:tcW w:w="8641" w:type="dxa"/>
            <w:shd w:val="clear" w:color="auto" w:fill="auto"/>
          </w:tcPr>
          <w:p>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en-US"/>
              </w:rPr>
            </w:pPr>
            <w:r>
              <w:rPr>
                <w:b/>
                <w:bCs/>
                <w:i/>
                <w:iCs/>
                <w:lang w:val="en-US"/>
              </w:rPr>
              <w:t xml:space="preserve">Assistance Data Enhancement: </w:t>
            </w:r>
          </w:p>
          <w:p>
            <w:pPr>
              <w:pStyle w:val="146"/>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en-US"/>
              </w:rPr>
            </w:pPr>
            <w:r>
              <w:rPr>
                <w:b/>
                <w:bCs/>
                <w:i/>
                <w:iCs/>
                <w:lang w:val="en-US"/>
              </w:rPr>
              <w:t>UE Measurement Enhancement:</w:t>
            </w:r>
          </w:p>
          <w:p>
            <w:pPr>
              <w:pStyle w:val="146"/>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_Ref68785989 \r \h  \* MERGEFORMAT </w:instrText>
            </w:r>
            <w:r>
              <w:rPr>
                <w:lang w:val="de-DE"/>
              </w:rPr>
              <w:fldChar w:fldCharType="separate"/>
            </w:r>
            <w:r>
              <w:rPr>
                <w:rFonts w:eastAsia="Calibri"/>
                <w:lang w:val="en-US"/>
              </w:rPr>
              <w:t>[8]</w:t>
            </w:r>
            <w:r>
              <w:rPr>
                <w:lang w:val="de-DE"/>
              </w:rPr>
              <w:fldChar w:fldCharType="end"/>
            </w:r>
          </w:p>
        </w:tc>
        <w:tc>
          <w:tcPr>
            <w:tcW w:w="8641" w:type="dxa"/>
            <w:shd w:val="clear" w:color="auto" w:fill="auto"/>
          </w:tcPr>
          <w:p>
            <w:pPr>
              <w:pStyle w:val="223"/>
              <w:rPr>
                <w:lang w:val="en-US"/>
              </w:rPr>
            </w:pPr>
            <w:bookmarkStart w:id="4" w:name="_Hlk71485767"/>
            <w:r>
              <w:rPr>
                <w:lang w:val="en-US"/>
              </w:rPr>
              <w:t>Proposal 5: In DL-AoD measurement report, support the UE to report:</w:t>
            </w:r>
          </w:p>
          <w:p>
            <w:pPr>
              <w:pStyle w:val="223"/>
              <w:numPr>
                <w:ilvl w:val="0"/>
                <w:numId w:val="29"/>
              </w:numPr>
              <w:rPr>
                <w:lang w:val="en-US"/>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rFonts w:eastAsia="Calibri"/>
                <w:b/>
                <w:i/>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_Ref68786209 \r \h  \* MERGEFORMAT </w:instrText>
            </w:r>
            <w:r>
              <w:rPr>
                <w:lang w:val="de-DE"/>
              </w:rPr>
              <w:fldChar w:fldCharType="separate"/>
            </w:r>
            <w:r>
              <w:rPr>
                <w:rFonts w:eastAsia="Calibri"/>
                <w:lang w:val="en-US"/>
              </w:rPr>
              <w:t>[9]</w:t>
            </w:r>
            <w:r>
              <w:rPr>
                <w:lang w:val="de-DE"/>
              </w:rPr>
              <w:fldChar w:fldCharType="end"/>
            </w:r>
          </w:p>
        </w:tc>
        <w:tc>
          <w:tcPr>
            <w:tcW w:w="8641" w:type="dxa"/>
            <w:shd w:val="clear" w:color="auto" w:fill="auto"/>
          </w:tcPr>
          <w:p>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_Ref72155137 \r \h  \* MERGEFORMAT </w:instrText>
            </w:r>
            <w:r>
              <w:rPr>
                <w:lang w:val="de-DE"/>
              </w:rPr>
              <w:fldChar w:fldCharType="separate"/>
            </w:r>
            <w:r>
              <w:rPr>
                <w:rFonts w:eastAsia="Calibri"/>
                <w:lang w:val="en-US"/>
              </w:rPr>
              <w:t>[12]</w:t>
            </w:r>
            <w:r>
              <w:rPr>
                <w:lang w:val="de-DE"/>
              </w:rPr>
              <w:fldChar w:fldCharType="end"/>
            </w:r>
          </w:p>
        </w:tc>
        <w:tc>
          <w:tcPr>
            <w:tcW w:w="8641" w:type="dxa"/>
            <w:shd w:val="clear" w:color="auto" w:fill="auto"/>
          </w:tcPr>
          <w:p>
            <w:pPr>
              <w:pStyle w:val="188"/>
              <w:overflowPunct w:val="0"/>
              <w:autoSpaceDE w:val="0"/>
              <w:autoSpaceDN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pPr>
              <w:pStyle w:val="188"/>
              <w:rPr>
                <w:lang w:val="en-GB"/>
              </w:rPr>
            </w:pPr>
          </w:p>
          <w:p>
            <w:pPr>
              <w:pStyle w:val="188"/>
              <w:overflowPunct w:val="0"/>
              <w:autoSpaceDE w:val="0"/>
              <w:autoSpaceDN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pPr>
              <w:pStyle w:val="188"/>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pPr>
              <w:pStyle w:val="30"/>
              <w:rPr>
                <w:rFonts w:eastAsia="Calibri"/>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_Ref68789931 \r \h  \* MERGEFORMAT </w:instrText>
            </w:r>
            <w:r>
              <w:rPr>
                <w:lang w:val="de-DE"/>
              </w:rPr>
              <w:fldChar w:fldCharType="separate"/>
            </w:r>
            <w:r>
              <w:rPr>
                <w:rFonts w:eastAsia="Calibri"/>
                <w:lang w:val="en-US"/>
              </w:rPr>
              <w:t>[13]</w:t>
            </w:r>
            <w:r>
              <w:rPr>
                <w:lang w:val="de-DE"/>
              </w:rPr>
              <w:fldChar w:fldCharType="end"/>
            </w:r>
          </w:p>
        </w:tc>
        <w:tc>
          <w:tcPr>
            <w:tcW w:w="8641" w:type="dxa"/>
            <w:shd w:val="clear" w:color="auto" w:fill="auto"/>
          </w:tcPr>
          <w:p>
            <w:pPr>
              <w:rPr>
                <w:sz w:val="20"/>
                <w:szCs w:val="20"/>
                <w:lang w:val="en-US"/>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en-US"/>
              </w:rPr>
            </w:pPr>
            <w:r>
              <w:rPr>
                <w:sz w:val="20"/>
                <w:szCs w:val="20"/>
                <w:lang w:val="en-US"/>
              </w:rPr>
              <w:t>Alternatively, or additionally, for DL-AoD technique, support PRS-RSRP for the first arrival path only that is measured within a configured time window.</w:t>
            </w:r>
          </w:p>
          <w:p>
            <w:pPr>
              <w:spacing w:before="240"/>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_Ref68790524 \r \h  \* MERGEFORMAT </w:instrText>
            </w:r>
            <w:r>
              <w:rPr>
                <w:lang w:val="de-DE"/>
              </w:rPr>
              <w:fldChar w:fldCharType="separate"/>
            </w:r>
            <w:r>
              <w:rPr>
                <w:rFonts w:eastAsia="Calibri"/>
                <w:lang w:val="en-US"/>
              </w:rPr>
              <w:t>[14]</w:t>
            </w:r>
            <w:r>
              <w:rPr>
                <w:lang w:val="de-DE"/>
              </w:rPr>
              <w:fldChar w:fldCharType="end"/>
            </w:r>
          </w:p>
        </w:tc>
        <w:tc>
          <w:tcPr>
            <w:tcW w:w="8641" w:type="dxa"/>
            <w:shd w:val="clear" w:color="auto" w:fill="auto"/>
          </w:tcPr>
          <w:p>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en-US"/>
              </w:rPr>
            </w:pPr>
            <w:r>
              <w:rPr>
                <w:b/>
                <w:bCs/>
                <w:lang w:val="en-US"/>
              </w:rPr>
              <w:t>Proposal 2: Time window for PRS-RSRP and selection of the first path are UE implementation aspect.</w:t>
            </w:r>
          </w:p>
          <w:p>
            <w:pPr>
              <w:rPr>
                <w:lang w:val="en-US"/>
              </w:rPr>
            </w:pPr>
            <w:r>
              <w:rPr>
                <w:b/>
                <w:bCs/>
                <w:lang w:val="en-US"/>
              </w:rPr>
              <w:t>Proposal 3: Support assistance information from LMF to UE in order to assist UE in selecting the first path.</w:t>
            </w:r>
            <w:r>
              <w:rPr>
                <w:lang w:val="en-US"/>
              </w:rPr>
              <w:t xml:space="preserve"> </w:t>
            </w:r>
          </w:p>
          <w:p>
            <w:pPr>
              <w:rPr>
                <w:rFonts w:eastAsia="Calibri"/>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_Ref68795389 \r \h  \* MERGEFORMAT </w:instrText>
            </w:r>
            <w:r>
              <w:rPr>
                <w:lang w:val="de-DE"/>
              </w:rPr>
              <w:fldChar w:fldCharType="separate"/>
            </w:r>
            <w:r>
              <w:rPr>
                <w:rFonts w:eastAsia="Calibri"/>
                <w:lang w:val="en-US"/>
              </w:rPr>
              <w:t>[15]</w:t>
            </w:r>
            <w:r>
              <w:rPr>
                <w:lang w:val="de-DE"/>
              </w:rPr>
              <w:fldChar w:fldCharType="end"/>
            </w:r>
          </w:p>
        </w:tc>
        <w:tc>
          <w:tcPr>
            <w:tcW w:w="8641" w:type="dxa"/>
            <w:shd w:val="clear" w:color="auto" w:fill="auto"/>
          </w:tcPr>
          <w:p>
            <w:pPr>
              <w:spacing w:after="120" w:line="360" w:lineRule="auto"/>
              <w:rPr>
                <w:rFonts w:eastAsia="等线"/>
                <w:b/>
                <w:i/>
                <w:lang w:val="en-US"/>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en-US"/>
              </w:rPr>
            </w:pPr>
          </w:p>
          <w:p>
            <w:pPr>
              <w:spacing w:after="120" w:line="360" w:lineRule="auto"/>
              <w:rPr>
                <w:b/>
                <w:i/>
                <w:lang w:val="en-US"/>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en-US"/>
              </w:rPr>
            </w:pP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rFonts w:eastAsia="Calibri"/>
                <w:lang w:val="en-US"/>
              </w:rPr>
              <w:t>[17]</w:t>
            </w:r>
          </w:p>
        </w:tc>
        <w:tc>
          <w:tcPr>
            <w:tcW w:w="8641" w:type="dxa"/>
            <w:shd w:val="clear" w:color="auto" w:fill="auto"/>
          </w:tcPr>
          <w:p>
            <w:pPr>
              <w:rPr>
                <w:lang w:val="en-US"/>
              </w:rPr>
            </w:pPr>
            <w:r>
              <w:rPr>
                <w:b/>
                <w:bCs/>
                <w:lang w:val="en-US"/>
              </w:rPr>
              <w:t>Proposal 3</w:t>
            </w:r>
            <w:r>
              <w:rPr>
                <w:lang w:val="en-US"/>
              </w:rPr>
              <w:t xml:space="preserve">: Support “Option 3: Information corresponds to the arrival time of the first path” as one candidate enhancement for DL-AoD. </w:t>
            </w:r>
          </w:p>
          <w:p>
            <w:pPr>
              <w:spacing w:after="120"/>
              <w:rPr>
                <w:rFonts w:eastAsia="Calibri"/>
                <w:b/>
                <w:i/>
                <w:lang w:val="en-US"/>
              </w:rPr>
            </w:pPr>
          </w:p>
          <w:p>
            <w:pPr>
              <w:rPr>
                <w:lang w:val="en-US"/>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_Ref68798262 \r \h  \* MERGEFORMAT </w:instrText>
            </w:r>
            <w:r>
              <w:rPr>
                <w:lang w:val="de-DE"/>
              </w:rPr>
              <w:fldChar w:fldCharType="separate"/>
            </w:r>
            <w:r>
              <w:rPr>
                <w:rFonts w:eastAsia="Calibri"/>
                <w:lang w:val="en-US"/>
              </w:rPr>
              <w:t>[18]</w:t>
            </w:r>
            <w:r>
              <w:rPr>
                <w:lang w:val="de-DE"/>
              </w:rPr>
              <w:fldChar w:fldCharType="end"/>
            </w:r>
          </w:p>
        </w:tc>
        <w:tc>
          <w:tcPr>
            <w:tcW w:w="8641" w:type="dxa"/>
            <w:shd w:val="clear" w:color="auto" w:fill="auto"/>
          </w:tcPr>
          <w:p>
            <w:pPr>
              <w:pStyle w:val="30"/>
              <w:rPr>
                <w:i/>
                <w:lang w:val="en-US"/>
              </w:rPr>
            </w:pPr>
            <w:bookmarkStart w:id="5" w:name="_Ref40027425"/>
            <w:r>
              <w:rPr>
                <w:i/>
                <w:lang w:val="en-US"/>
              </w:rPr>
              <w:t xml:space="preserve">Proposal 1: Report DL TDoA together with DL PRS-RSRP for DL AoD. </w:t>
            </w:r>
          </w:p>
          <w:bookmarkEnd w:id="5"/>
          <w:p>
            <w:pPr>
              <w:pStyle w:val="30"/>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en-US"/>
              </w:rPr>
            </w:pPr>
            <w:r>
              <w:rPr>
                <w:i/>
                <w:lang w:val="en-US"/>
              </w:rPr>
              <w:t>Proposal 3: Prefer Option 1 and Option 3 on information related to the first arriving path.</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_Ref68797312 \r \h  \* MERGEFORMAT </w:instrText>
            </w:r>
            <w:r>
              <w:rPr>
                <w:lang w:val="de-DE"/>
              </w:rPr>
              <w:fldChar w:fldCharType="separate"/>
            </w:r>
            <w:r>
              <w:rPr>
                <w:rFonts w:eastAsia="Calibri"/>
                <w:lang w:val="en-US"/>
              </w:rPr>
              <w:t>[20]</w:t>
            </w:r>
            <w:r>
              <w:rPr>
                <w:lang w:val="de-DE"/>
              </w:rPr>
              <w:fldChar w:fldCharType="end"/>
            </w:r>
          </w:p>
        </w:tc>
        <w:tc>
          <w:tcPr>
            <w:tcW w:w="8641" w:type="dxa"/>
            <w:shd w:val="clear" w:color="auto" w:fill="auto"/>
          </w:tcPr>
          <w:p>
            <w:pPr>
              <w:ind w:left="1418" w:hanging="1417"/>
              <w:rPr>
                <w:b/>
                <w:bCs/>
                <w:lang w:val="en-US"/>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utoSpaceDE w:val="0"/>
              <w:autoSpaceDN w:val="0"/>
              <w:adjustRightInd w:val="0"/>
              <w:snapToGrid w:val="0"/>
              <w:spacing w:after="120"/>
              <w:rPr>
                <w:b/>
                <w:bCs/>
                <w:lang w:val="en-US"/>
              </w:rPr>
            </w:pPr>
            <w:r>
              <w:rPr>
                <w:b/>
                <w:bCs/>
                <w:lang w:val="en-US"/>
              </w:rPr>
              <w:t xml:space="preserve">The UE estimates the delay of the first arriving path of several PRS resources per TRP </w:t>
            </w:r>
          </w:p>
          <w:p>
            <w:pPr>
              <w:pStyle w:val="146"/>
              <w:numPr>
                <w:ilvl w:val="0"/>
                <w:numId w:val="32"/>
              </w:numPr>
              <w:autoSpaceDE w:val="0"/>
              <w:autoSpaceDN w:val="0"/>
              <w:adjustRightInd w:val="0"/>
              <w:snapToGrid w:val="0"/>
              <w:spacing w:after="120"/>
              <w:rPr>
                <w:b/>
                <w:bCs/>
                <w:lang w:val="en-US"/>
              </w:rPr>
            </w:pPr>
            <w:r>
              <w:rPr>
                <w:b/>
                <w:bCs/>
                <w:lang w:val="en-US"/>
              </w:rPr>
              <w:t xml:space="preserve">The UE may select a common ToA per TRP for the first arriving path  </w:t>
            </w:r>
          </w:p>
          <w:p>
            <w:pPr>
              <w:pStyle w:val="146"/>
              <w:numPr>
                <w:ilvl w:val="0"/>
                <w:numId w:val="32"/>
              </w:numPr>
              <w:autoSpaceDE w:val="0"/>
              <w:autoSpaceDN w:val="0"/>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lang w:val="en-US"/>
              </w:rPr>
            </w:pPr>
            <w:r>
              <w:rPr>
                <w:lang w:val="de-DE"/>
              </w:rPr>
              <w:fldChar w:fldCharType="begin"/>
            </w:r>
            <w:r>
              <w:rPr>
                <w:lang w:val="de-DE"/>
              </w:rPr>
              <w:instrText xml:space="preserve"> REF _Ref68798004 \r \h  \* MERGEFORMAT </w:instrText>
            </w:r>
            <w:r>
              <w:rPr>
                <w:lang w:val="de-DE"/>
              </w:rPr>
              <w:fldChar w:fldCharType="separate"/>
            </w:r>
            <w:r>
              <w:rPr>
                <w:rFonts w:eastAsia="Calibri"/>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en-US"/>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en-US"/>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en-US"/>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en-US"/>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en-US"/>
              </w:rPr>
            </w:pPr>
            <w:bookmarkStart w:id="10" w:name="_Toc71675972"/>
            <w:r>
              <w:rPr>
                <w:lang w:val="en-US"/>
              </w:rPr>
              <w:t>The UE shall report the strongest detected paths as additional paths (i.e. in addition to the first path).</w:t>
            </w:r>
            <w:bookmarkEnd w:id="10"/>
          </w:p>
          <w:p>
            <w:pPr>
              <w:rPr>
                <w:rFonts w:eastAsia="Calibri" w:cstheme="minorHAnsi"/>
                <w:b/>
                <w:sz w:val="18"/>
                <w:szCs w:val="18"/>
                <w:lang w:val="en-US"/>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en-US"/>
              </w:rPr>
            </w:pPr>
            <w:r>
              <w:rPr>
                <w:rFonts w:hint="eastAsia"/>
                <w:lang w:val="en-US"/>
              </w:rPr>
              <w:t>Support.</w:t>
            </w:r>
          </w:p>
          <w:p>
            <w:pPr>
              <w:rPr>
                <w:rFonts w:eastAsia="等线"/>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US"/>
              </w:rPr>
            </w:pPr>
            <w:r>
              <w:rPr>
                <w:lang w:val="en-US"/>
              </w:rPr>
              <w:t>Support in principle</w:t>
            </w:r>
          </w:p>
          <w:p>
            <w:pPr>
              <w:rPr>
                <w:lang w:val="en-US"/>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lang w:val="sv-SE"/>
              </w:rPr>
              <w:t xml:space="preserve">Support, </w:t>
            </w:r>
            <w:r>
              <w:rPr>
                <w:lang w:val="de-DE"/>
              </w:rPr>
              <w:t>it is benifit to report the PRS-RSRP of the first arrival path for improving accuracy.</w:t>
            </w:r>
            <w:r>
              <w:rPr>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hint="eastAsia"/>
                <w:lang w:val="sv-SE"/>
              </w:rPr>
            </w:pPr>
            <w:r>
              <w:rPr>
                <w:rFonts w:hint="eastAsia" w:ascii="Calibri" w:hAnsi="Calibri" w:eastAsia="宋体"/>
                <w:lang w:val="en-US"/>
              </w:rPr>
              <w:t xml:space="preserve">Same views with ZTE, the definition for path-RSRP is unclear </w:t>
            </w:r>
            <w:r>
              <w:rPr>
                <w:rFonts w:ascii="Calibri" w:hAnsi="Calibri" w:eastAsia="宋体"/>
                <w:lang w:val="en-US"/>
              </w:rPr>
              <w:t>to</w:t>
            </w:r>
            <w:r>
              <w:rPr>
                <w:rFonts w:hint="eastAsia" w:ascii="Calibri" w:hAnsi="Calibri" w:eastAsia="宋体"/>
                <w:lang w:val="en-US"/>
              </w:rPr>
              <w:t xml:space="preserve"> us. Different companies have different views. For example, some companies think it is </w:t>
            </w:r>
            <w:bookmarkStart w:id="11" w:name="OLE_LINK2"/>
            <w:r>
              <w:rPr>
                <w:rFonts w:hint="eastAsia" w:ascii="Calibri" w:hAnsi="Calibri" w:eastAsia="宋体"/>
                <w:lang w:val="en-US"/>
              </w:rPr>
              <w:t>power of the first path</w:t>
            </w:r>
            <w:bookmarkEnd w:id="11"/>
            <w:r>
              <w:rPr>
                <w:rFonts w:hint="eastAsia" w:ascii="Calibri" w:hAnsi="Calibri" w:eastAsia="宋体"/>
                <w:lang w:val="en-US"/>
              </w:rPr>
              <w:t>, some companies think it is power in a measurement window. And even though we reach a consensus that is power of the first path,</w:t>
            </w:r>
            <w:r>
              <w:rPr>
                <w:rFonts w:ascii="Calibri" w:hAnsi="Calibri" w:eastAsia="宋体"/>
                <w:lang w:val="en-US"/>
              </w:rPr>
              <w:t xml:space="preserve"> </w:t>
            </w:r>
            <w:r>
              <w:rPr>
                <w:rFonts w:hint="eastAsia" w:ascii="Calibri" w:hAnsi="Calibri" w:eastAsia="宋体"/>
                <w:lang w:val="en-US"/>
              </w:rPr>
              <w:t>there are also two option</w:t>
            </w:r>
            <w:r>
              <w:rPr>
                <w:rFonts w:ascii="Calibri" w:hAnsi="Calibri" w:eastAsia="宋体"/>
                <w:lang w:val="en-US"/>
              </w:rPr>
              <w:t>s</w:t>
            </w:r>
            <w:r>
              <w:rPr>
                <w:rFonts w:hint="eastAsia" w:ascii="Calibri" w:hAnsi="Calibri" w:eastAsia="宋体"/>
                <w:lang w:val="en-US"/>
              </w:rPr>
              <w:t xml:space="preserve"> that it is defined as the linear average power of RE in first path direction or the power value of CIR at first path timing.</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en-US"/>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US"/>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de-DE"/>
              </w:rPr>
            </w:pPr>
            <w:r>
              <w:rPr>
                <w:lang w:val="de-DE"/>
              </w:rPr>
              <w:t xml:space="preserve">Earliest RSRP also is affected by impairments, whether something is „easier“ or not, depends on deployments and gNB implementations. </w:t>
            </w:r>
          </w:p>
          <w:p>
            <w:pPr>
              <w:rPr>
                <w:lang w:val="de-DE"/>
              </w:rPr>
            </w:pPr>
            <w:r>
              <w:rPr>
                <w:lang w:val="de-DE"/>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hint="eastAsia" w:eastAsia="等线"/>
                <w:lang w:val="de-DE"/>
              </w:rPr>
            </w:pPr>
            <w:r>
              <w:rPr>
                <w:rFonts w:eastAsia="等线"/>
                <w:lang w:val="de-DE"/>
              </w:rPr>
              <w:t>S</w:t>
            </w:r>
            <w:r>
              <w:rPr>
                <w:rFonts w:hint="eastAsia" w:eastAsia="等线"/>
                <w:lang w:val="de-DE"/>
              </w:rPr>
              <w:t>upport.</w:t>
            </w:r>
          </w:p>
          <w:p>
            <w:pPr>
              <w:rPr>
                <w:rFonts w:eastAsia="等线"/>
                <w:lang w:val="de-DE"/>
              </w:rPr>
            </w:pPr>
            <w:r>
              <w:rPr>
                <w:rFonts w:eastAsia="等线"/>
                <w:lang w:val="de-DE"/>
              </w:rPr>
              <w:t>I</w:t>
            </w:r>
            <w:r>
              <w:rPr>
                <w:rFonts w:hint="eastAsia" w:eastAsia="等线"/>
                <w:lang w:val="de-DE"/>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jc w:val="both"/>
              <w:rPr>
                <w:rFonts w:ascii="Calibri" w:hAnsi="Calibri" w:eastAsia="Calibri"/>
                <w:lang w:val="en-US"/>
              </w:rPr>
            </w:pPr>
            <w:r>
              <w:rPr>
                <w:rFonts w:hint="eastAsia" w:ascii="Calibri" w:hAnsi="Calibri" w:eastAsia="Calibri"/>
                <w:lang w:val="en-US"/>
              </w:rPr>
              <w:t xml:space="preserve">We </w:t>
            </w:r>
            <w:r>
              <w:rPr>
                <w:rFonts w:ascii="Calibri" w:hAnsi="Calibri" w:eastAsia="Calibri"/>
                <w:lang w:val="en-US"/>
              </w:rPr>
              <w:t xml:space="preserve">acknowledge the point </w:t>
            </w:r>
            <w:r>
              <w:rPr>
                <w:rFonts w:hint="eastAsia" w:ascii="Calibri" w:hAnsi="Calibri" w:eastAsia="Calibri"/>
                <w:lang w:val="en-US"/>
              </w:rPr>
              <w:t>that RSRP and phase are easily affected by environment or RF, this is why we are hesitant about proposal 1.1 and 1.2.</w:t>
            </w:r>
          </w:p>
          <w:p>
            <w:pPr>
              <w:jc w:val="both"/>
              <w:rPr>
                <w:rFonts w:eastAsia="等线"/>
                <w:lang w:val="de-DE"/>
              </w:rPr>
            </w:pPr>
            <w:r>
              <w:rPr>
                <w:rFonts w:hint="eastAsia" w:ascii="Calibri" w:hAnsi="Calibri" w:eastAsia="Calibri"/>
                <w:lang w:val="en-US"/>
              </w:rPr>
              <w:t xml:space="preserve">In addition, we would like to understand whether the </w:t>
            </w:r>
            <w:r>
              <w:rPr>
                <w:rFonts w:ascii="Calibri" w:hAnsi="Calibri" w:eastAsia="Calibri"/>
                <w:lang w:val="en-US"/>
              </w:rPr>
              <w:t>restrict</w:t>
            </w:r>
            <w:r>
              <w:rPr>
                <w:rFonts w:hint="eastAsia" w:ascii="Calibri" w:hAnsi="Calibri" w:eastAsia="Calibri"/>
                <w:lang w:val="en-US"/>
              </w:rPr>
              <w:t>ion proposed by Huawei mean</w:t>
            </w:r>
            <w:r>
              <w:rPr>
                <w:rFonts w:ascii="Calibri" w:hAnsi="Calibri" w:eastAsia="Calibri"/>
                <w:lang w:val="en-US"/>
              </w:rPr>
              <w:t>s</w:t>
            </w:r>
            <w:r>
              <w:rPr>
                <w:rFonts w:hint="eastAsia" w:ascii="Calibri" w:hAnsi="Calibri" w:eastAsia="Calibri"/>
                <w:lang w:val="en-US"/>
              </w:rPr>
              <w:t xml:space="preserve"> that only R17 PRS or on-demand PRS support the feature ?</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Support</w:t>
            </w:r>
          </w:p>
          <w:p>
            <w:pPr>
              <w:rPr>
                <w:rFonts w:eastAsia="等线"/>
                <w:lang w:val="en-US"/>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en-US"/>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Do not support. </w:t>
            </w:r>
          </w:p>
          <w:p>
            <w:pPr>
              <w:rPr>
                <w:lang w:val="de-DE"/>
              </w:rPr>
            </w:pPr>
            <w:r>
              <w:rPr>
                <w:lang w:val="de-DE"/>
              </w:rPr>
              <w:t xml:space="preserve">Already intra-TRP RSTD is supported in DL-TDOA: UE reports 2 RSTDs: T2-T1 and T3-T1, where T2,T3 are from the same TRP. The LMF can subtract the 2 RSTDs and get T2-T3; in other words, the intra-TRP RSTD). </w:t>
            </w:r>
          </w:p>
          <w:p>
            <w:pPr>
              <w:rPr>
                <w:lang w:val="de-DE"/>
              </w:rPr>
            </w:pPr>
            <w:r>
              <w:rPr>
                <w:lang w:val="de-DE"/>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en-US"/>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lang w:val="de-DE"/>
              </w:rPr>
              <w:t>S</w:t>
            </w:r>
            <w:r>
              <w:rPr>
                <w:rFonts w:hint="eastAsia"/>
                <w:lang w:val="de-DE"/>
              </w:rPr>
              <w:t>upport,</w:t>
            </w:r>
            <w:r>
              <w:rPr>
                <w:lang w:val="de-DE"/>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de-DE"/>
              </w:rPr>
              <w:t>T</w:t>
            </w:r>
            <w:r>
              <w:rPr>
                <w:rFonts w:hint="eastAsia"/>
                <w:lang w:val="de-DE"/>
              </w:rPr>
              <w:t>he arrival time seems not enough to determine whether the measurement is LOS or not.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lang w:val="de-DE"/>
              </w:rPr>
            </w:pPr>
            <w:r>
              <w:rPr>
                <w:rFonts w:ascii="Calibri" w:hAnsi="Calibri" w:eastAsia="Calibri"/>
                <w:lang w:val="en-US"/>
              </w:rPr>
              <w:t>Do not support</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Not support.</w:t>
            </w:r>
          </w:p>
          <w:p>
            <w:pPr>
              <w:numPr>
                <w:ilvl w:val="0"/>
                <w:numId w:val="35"/>
              </w:numPr>
              <w:rPr>
                <w:rFonts w:eastAsia="等线"/>
                <w:lang w:val="en-US"/>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en-US"/>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en-US"/>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Not support</w:t>
            </w:r>
          </w:p>
          <w:p>
            <w:pPr>
              <w:rPr>
                <w:rFonts w:eastAsia="等线"/>
                <w:lang w:val="en-US"/>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sv-SE"/>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sv-SE"/>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hint="eastAsia" w:eastAsia="等线"/>
                <w:lang w:val="sv-SE"/>
              </w:rPr>
            </w:pPr>
            <w:r>
              <w:rPr>
                <w:rFonts w:ascii="Calibri" w:hAnsi="Calibri" w:eastAsia="Calibri"/>
                <w:lang w:val="en-US"/>
              </w:rPr>
              <w:t>Do not support</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CATT</w:t>
            </w:r>
          </w:p>
        </w:tc>
        <w:tc>
          <w:tcPr>
            <w:tcW w:w="7554" w:type="dxa"/>
          </w:tcPr>
          <w:p>
            <w:pPr>
              <w:rPr>
                <w:rFonts w:eastAsia="等线"/>
                <w:lang w:val="en-US"/>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de-DE"/>
              </w:rPr>
            </w:pPr>
            <w:r>
              <w:rPr>
                <w:rFonts w:eastAsia="等线"/>
                <w:lang w:val="de-DE"/>
              </w:rPr>
              <w:t>S</w:t>
            </w:r>
            <w:r>
              <w:rPr>
                <w:rFonts w:hint="eastAsia" w:eastAsia="等线"/>
                <w:lang w:val="de-DE"/>
              </w:rPr>
              <w:t xml:space="preserve">amsung </w:t>
            </w:r>
          </w:p>
        </w:tc>
        <w:tc>
          <w:tcPr>
            <w:tcW w:w="7554" w:type="dxa"/>
          </w:tcPr>
          <w:p>
            <w:pPr>
              <w:rPr>
                <w:rFonts w:hint="eastAsia" w:eastAsia="等线"/>
                <w:lang w:val="de-DE"/>
              </w:rPr>
            </w:pPr>
            <w:r>
              <w:rPr>
                <w:rFonts w:eastAsia="等线"/>
                <w:lang w:val="de-DE"/>
              </w:rPr>
              <w:t>W</w:t>
            </w:r>
            <w:r>
              <w:rPr>
                <w:rFonts w:hint="eastAsia" w:eastAsia="等线"/>
                <w:lang w:val="de-DE"/>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bl>
    <w:p/>
    <w:p/>
    <w:p/>
    <w:p>
      <w:pPr>
        <w:pStyle w:val="5"/>
      </w:pPr>
      <w:r>
        <w:t xml:space="preserve">Summary of 1st round of comments and updated proposal   </w:t>
      </w:r>
    </w:p>
    <w:bookmarkEnd w:id="1"/>
    <w:bookmarkEnd w:id="2"/>
    <w:bookmarkEnd w:id="3"/>
    <w:p>
      <w:r>
        <w:t xml:space="preserve"> </w:t>
      </w:r>
    </w:p>
    <w:p/>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en-US"/>
              </w:rPr>
            </w:pPr>
            <w:r>
              <w:rPr>
                <w:rFonts w:eastAsia="Calibri"/>
                <w:shd w:val="clear" w:color="auto" w:fill="00FF00"/>
                <w:lang w:val="en-US"/>
              </w:rPr>
              <w:t>Agreement:</w:t>
            </w:r>
          </w:p>
          <w:p>
            <w:pPr>
              <w:rPr>
                <w:rFonts w:eastAsia="Calibri"/>
                <w:lang w:val="en-US"/>
              </w:rPr>
            </w:pPr>
            <w:r>
              <w:rPr>
                <w:rFonts w:eastAsia="Calibri"/>
                <w:lang w:val="en-US"/>
              </w:rPr>
              <w:t>For UE-assisted DL AOD, select one of the following options for reporting of RSRP measurements per TRP</w:t>
            </w:r>
          </w:p>
          <w:p>
            <w:pPr>
              <w:numPr>
                <w:ilvl w:val="0"/>
                <w:numId w:val="20"/>
              </w:numPr>
              <w:rPr>
                <w:rFonts w:eastAsia="Times New Roman"/>
                <w:lang w:val="en-US"/>
              </w:rPr>
            </w:pPr>
            <w:r>
              <w:rPr>
                <w:rFonts w:eastAsia="Times New Roman"/>
                <w:lang w:val="en-US"/>
              </w:rPr>
              <w:t xml:space="preserve">Option 1: Up to 8 measurements in a measurement report (as in release 16) </w:t>
            </w:r>
          </w:p>
          <w:p>
            <w:pPr>
              <w:numPr>
                <w:ilvl w:val="0"/>
                <w:numId w:val="20"/>
              </w:numPr>
              <w:rPr>
                <w:rFonts w:eastAsia="Times New Roman"/>
                <w:lang w:val="en-US"/>
              </w:rPr>
            </w:pPr>
            <w:r>
              <w:rPr>
                <w:rFonts w:eastAsia="Times New Roman"/>
                <w:lang w:val="en-US"/>
              </w:rPr>
              <w:t>Option 2: Up to 8 measurements in a measurement report, for the same Rx beam index</w:t>
            </w:r>
          </w:p>
          <w:p>
            <w:pPr>
              <w:numPr>
                <w:ilvl w:val="0"/>
                <w:numId w:val="20"/>
              </w:numPr>
              <w:rPr>
                <w:rFonts w:eastAsia="Times New Roman"/>
                <w:lang w:val="en-US"/>
              </w:rPr>
            </w:pPr>
            <w:r>
              <w:rPr>
                <w:rFonts w:eastAsia="Times New Roman"/>
                <w:lang w:val="en-US"/>
              </w:rPr>
              <w:t>Option 3: Up to N&gt;=8 measurements</w:t>
            </w:r>
          </w:p>
          <w:p>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pPr>
              <w:numPr>
                <w:ilvl w:val="1"/>
                <w:numId w:val="20"/>
              </w:numPr>
              <w:rPr>
                <w:rFonts w:eastAsia="Calibri"/>
                <w:lang w:val="en-US"/>
              </w:rPr>
            </w:pPr>
            <w:r>
              <w:rPr>
                <w:rFonts w:eastAsia="Times New Roman"/>
                <w:lang w:val="en-US"/>
              </w:rPr>
              <w:t xml:space="preserve">FFS: value for N. </w:t>
            </w:r>
          </w:p>
          <w:p>
            <w:pPr>
              <w:rPr>
                <w:rFonts w:eastAsia="Calibri"/>
                <w:lang w:val="en-US"/>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en-US"/>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en-US"/>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6"/>
              </w:numPr>
              <w:rPr>
                <w:b/>
                <w:bCs/>
                <w:i/>
                <w:iCs/>
                <w:sz w:val="20"/>
                <w:szCs w:val="20"/>
                <w:lang w:val="en-US"/>
              </w:rPr>
            </w:pPr>
            <w:r>
              <w:rPr>
                <w:b/>
                <w:bCs/>
                <w:i/>
                <w:iCs/>
                <w:sz w:val="20"/>
                <w:szCs w:val="20"/>
                <w:lang w:val="en-US"/>
              </w:rPr>
              <w:t>Note: Multiple measurements corresponding to different Rx Beam index may be reported for a given PRS resource.</w:t>
            </w:r>
          </w:p>
          <w:p>
            <w:pPr>
              <w:numPr>
                <w:ilvl w:val="2"/>
                <w:numId w:val="36"/>
              </w:numPr>
              <w:rPr>
                <w:b/>
                <w:bCs/>
                <w:i/>
                <w:iCs/>
                <w:sz w:val="20"/>
                <w:szCs w:val="20"/>
                <w:lang w:val="de-DE"/>
              </w:rPr>
            </w:pPr>
            <w:r>
              <w:rPr>
                <w:b/>
                <w:bCs/>
                <w:i/>
                <w:iCs/>
                <w:sz w:val="20"/>
                <w:szCs w:val="20"/>
                <w:lang w:val="de-DE"/>
              </w:rPr>
              <w:t>FFS: value for N.</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before="120" w:beforeLines="50" w:after="60"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en-US"/>
              </w:rPr>
            </w:pPr>
            <w:r>
              <w:rPr>
                <w:b/>
                <w:bCs/>
                <w:i/>
                <w:iCs/>
                <w:lang w:val="en-US"/>
              </w:rPr>
              <w:t>Proposal 7: For UE-A DL-AOD, support reporting more than 8 RSRP measurements per TRP.</w:t>
            </w:r>
          </w:p>
          <w:p>
            <w:pPr>
              <w:pStyle w:val="146"/>
              <w:numPr>
                <w:ilvl w:val="0"/>
                <w:numId w:val="37"/>
              </w:numPr>
              <w:contextualSpacing/>
              <w:rPr>
                <w:b/>
                <w:bCs/>
                <w:i/>
                <w:iCs/>
                <w:lang w:val="en-US"/>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7"/>
              </w:numPr>
              <w:contextualSpacing/>
              <w:rPr>
                <w:b/>
                <w:bCs/>
                <w:i/>
                <w:iCs/>
                <w:lang w:val="de-DE"/>
              </w:rPr>
            </w:pPr>
            <w:r>
              <w:rPr>
                <w:b/>
                <w:bCs/>
                <w:i/>
                <w:iCs/>
                <w:lang w:val="de-DE"/>
              </w:rPr>
              <w:t>FFS: Value for N</w:t>
            </w:r>
          </w:p>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en-US"/>
              </w:rPr>
            </w:pPr>
            <w:bookmarkStart w:id="12" w:name="_Hlk71485758"/>
            <w:r>
              <w:rPr>
                <w:lang w:val="en-US"/>
              </w:rPr>
              <w:t>Proposal 4: For UE-assisted DL AoD, support Option1, up to 8 RSRP measurements in a measurement report (as in release 16).</w:t>
            </w:r>
          </w:p>
          <w:bookmarkEnd w:id="12"/>
          <w:p>
            <w:pPr>
              <w:spacing w:before="120" w:beforeLines="50" w:after="60"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_Ref72154220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_Ref68789931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b/>
                <w:bCs/>
                <w:sz w:val="20"/>
                <w:szCs w:val="20"/>
                <w:lang w:val="en-US"/>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utoSpaceDE w:val="0"/>
              <w:autoSpaceDN w:val="0"/>
              <w:adjustRightInd w:val="0"/>
              <w:spacing w:before="120" w:line="280" w:lineRule="atLeast"/>
              <w:ind w:left="-11" w:leftChars="-5"/>
              <w:rPr>
                <w:rFonts w:ascii="Times New Roman" w:hAnsi="Times New Roman"/>
                <w:i/>
                <w:szCs w:val="20"/>
                <w:lang w:val="de-DE" w:eastAsia="ko-KR"/>
              </w:rPr>
            </w:pPr>
            <w:r>
              <w:rPr>
                <w:rFonts w:ascii="Times New Roman" w:hAnsi="Times New Roman"/>
                <w:b/>
                <w:i/>
                <w:szCs w:val="20"/>
                <w:lang w:val="de-DE" w:eastAsia="ko-KR"/>
              </w:rPr>
              <w:t>Proposal 3:</w:t>
            </w:r>
          </w:p>
          <w:p>
            <w:pPr>
              <w:pStyle w:val="146"/>
              <w:numPr>
                <w:ilvl w:val="0"/>
                <w:numId w:val="38"/>
              </w:numPr>
              <w:overflowPunct w:val="0"/>
              <w:autoSpaceDE w:val="0"/>
              <w:autoSpaceDN w:val="0"/>
              <w:adjustRightInd w:val="0"/>
              <w:spacing w:before="120"/>
              <w:rPr>
                <w:rFonts w:ascii="Times New Roman" w:hAnsi="Times New Roman"/>
                <w:szCs w:val="20"/>
                <w:lang w:val="en-US" w:eastAsia="ko-KR"/>
              </w:rPr>
            </w:pPr>
            <w:r>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rPr>
                <w:rFonts w:ascii="Times New Roman" w:hAnsi="Times New Roman"/>
                <w:i/>
                <w:szCs w:val="20"/>
                <w:lang w:val="de-DE" w:eastAsia="ko-KR"/>
              </w:rPr>
            </w:pPr>
            <w:r>
              <w:rPr>
                <w:rFonts w:ascii="Times New Roman" w:hAnsi="Times New Roman"/>
                <w:b/>
                <w:i/>
                <w:szCs w:val="20"/>
                <w:lang w:val="de-DE" w:eastAsia="ko-KR"/>
              </w:rPr>
              <w:t>Proposal 4:</w:t>
            </w:r>
          </w:p>
          <w:p>
            <w:pPr>
              <w:pStyle w:val="146"/>
              <w:numPr>
                <w:ilvl w:val="0"/>
                <w:numId w:val="38"/>
              </w:numPr>
              <w:overflowPunct w:val="0"/>
              <w:autoSpaceDE w:val="0"/>
              <w:autoSpaceDN w:val="0"/>
              <w:adjustRightInd w:val="0"/>
              <w:spacing w:before="120"/>
              <w:rPr>
                <w:rFonts w:ascii="Times New Roman" w:hAnsi="Times New Roman"/>
                <w:szCs w:val="20"/>
                <w:lang w:val="en-US" w:eastAsia="ko-KR"/>
              </w:rPr>
            </w:pPr>
            <w:r>
              <w:rPr>
                <w:rFonts w:ascii="Times New Roman" w:hAnsi="Times New Roman"/>
                <w:szCs w:val="20"/>
                <w:lang w:val="en-US" w:eastAsia="ko-KR"/>
              </w:rPr>
              <w:t xml:space="preserve">Need discussions on how to utilize the reception beam index for the accuracy improvements of DL-AoD based positioning, </w:t>
            </w:r>
            <w:r>
              <w:rPr>
                <w:rFonts w:ascii="Times New Roman" w:hAnsi="Times New Roman"/>
                <w:lang w:val="en-US" w:eastAsia="ko-KR"/>
              </w:rPr>
              <w:t>such as finding UE’s location when the UE is located between the transmission beams.</w:t>
            </w:r>
          </w:p>
          <w:p>
            <w:pPr>
              <w:spacing w:after="120"/>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_Ref68796826 \r \h </w:instrText>
            </w:r>
            <w:r>
              <w:rPr>
                <w:rFonts w:eastAsia="Calibri"/>
                <w:lang w:val="de-DE"/>
              </w:rPr>
              <w:fldChar w:fldCharType="separate"/>
            </w:r>
            <w:r>
              <w:rPr>
                <w:rFonts w:eastAsia="Calibri"/>
                <w:lang w:val="en-US"/>
              </w:rPr>
              <w:t>[17]</w:t>
            </w:r>
            <w:r>
              <w:rPr>
                <w:rFonts w:eastAsia="Calibri"/>
                <w:lang w:val="de-DE"/>
              </w:rPr>
              <w:fldChar w:fldCharType="end"/>
            </w:r>
          </w:p>
        </w:tc>
        <w:tc>
          <w:tcPr>
            <w:tcW w:w="8641" w:type="dxa"/>
          </w:tcPr>
          <w:p>
            <w:pPr>
              <w:rPr>
                <w:lang w:val="en-US"/>
              </w:rPr>
            </w:pPr>
            <w:r>
              <w:rPr>
                <w:b/>
                <w:bCs/>
                <w:lang w:val="en-US"/>
              </w:rPr>
              <w:t>Proposal 5</w:t>
            </w:r>
            <w:r>
              <w:rPr>
                <w:lang w:val="en-US"/>
              </w:rPr>
              <w:t xml:space="preserve">: Support “Option 3: Up to N&gt;8 measurements” as candidate enhancement. FFS value of N.  </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b/>
                <w:bCs/>
                <w:i/>
                <w:iCs/>
                <w:lang w:val="en-US"/>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[22]</w:t>
            </w:r>
          </w:p>
        </w:tc>
        <w:tc>
          <w:tcPr>
            <w:tcW w:w="8641" w:type="dxa"/>
          </w:tcPr>
          <w:p>
            <w:pPr>
              <w:pStyle w:val="86"/>
              <w:numPr>
                <w:ilvl w:val="0"/>
                <w:numId w:val="33"/>
              </w:numPr>
              <w:tabs>
                <w:tab w:val="clear" w:pos="1730"/>
              </w:tabs>
              <w:rPr>
                <w:lang w:val="en-US"/>
              </w:rPr>
            </w:pPr>
            <w:bookmarkStart w:id="13" w:name="_Toc71675974"/>
            <w:r>
              <w:rPr>
                <w:lang w:val="en-US"/>
              </w:rPr>
              <w:t>The network can signal in the assistance data that it is interested in receiving RSRP/peak-RSRP measurement reports on more than one Rx beam.</w:t>
            </w:r>
            <w:bookmarkEnd w:id="13"/>
          </w:p>
          <w:p>
            <w:pPr>
              <w:rPr>
                <w:rFonts w:eastAsia="Calibri"/>
                <w:b/>
                <w:bCs/>
                <w:lang w:val="en-US"/>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7"/>
        </w:numPr>
        <w:rPr>
          <w:b/>
          <w:bCs/>
        </w:rPr>
      </w:pPr>
      <w:r>
        <w:rPr>
          <w:b/>
          <w:bCs/>
        </w:rPr>
        <w:t>FFS: value of N</w:t>
      </w:r>
    </w:p>
    <w:p>
      <w:pPr>
        <w:pStyle w:val="146"/>
        <w:numPr>
          <w:ilvl w:val="0"/>
          <w:numId w:val="37"/>
        </w:numPr>
        <w:rPr>
          <w:b/>
          <w:bCs/>
        </w:rPr>
      </w:pPr>
      <w:r>
        <w:rPr>
          <w:b/>
          <w:bCs/>
        </w:rPr>
        <w:t>For the capable UE, The LMF can request that all measurements in a report correspond to the same Rx beam. The choice of Rx beam is left to the UE.</w:t>
      </w:r>
    </w:p>
    <w:p>
      <w:pPr>
        <w:pStyle w:val="146"/>
        <w:numPr>
          <w:ilvl w:val="0"/>
          <w:numId w:val="37"/>
        </w:numPr>
        <w:rPr>
          <w:b/>
          <w:bCs/>
        </w:rPr>
      </w:pPr>
    </w:p>
    <w:p>
      <w:pPr>
        <w:pStyle w:val="86"/>
      </w:pPr>
    </w:p>
    <w:p>
      <w:pPr>
        <w:pStyle w:val="5"/>
        <w:numPr>
          <w:ilvl w:val="4"/>
          <w:numId w:val="1"/>
        </w:numPr>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Not support</w:t>
            </w:r>
          </w:p>
          <w:p>
            <w:pPr>
              <w:rPr>
                <w:rFonts w:eastAsia="等线"/>
                <w:lang w:val="en-US"/>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low priority; we are generally OK to increase the number further, even though we also dont think that there are significant gains to be had. 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en-US"/>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de-DE"/>
              </w:rPr>
              <w:t>S</w:t>
            </w:r>
            <w:r>
              <w:rPr>
                <w:rFonts w:eastAsia="等线"/>
                <w:lang w:val="de-DE"/>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hint="eastAsia" w:eastAsia="等线"/>
                <w:lang w:val="sv-SE"/>
              </w:rPr>
            </w:pPr>
            <w:r>
              <w:rPr>
                <w:rFonts w:eastAsia="等线"/>
                <w:lang w:val="de-DE"/>
              </w:rPr>
              <w:t>Samsung</w:t>
            </w:r>
          </w:p>
        </w:tc>
        <w:tc>
          <w:tcPr>
            <w:tcW w:w="7554" w:type="dxa"/>
          </w:tcPr>
          <w:p>
            <w:pPr>
              <w:rPr>
                <w:rFonts w:eastAsia="等线"/>
                <w:lang w:val="de-DE"/>
              </w:rPr>
            </w:pPr>
            <w:r>
              <w:rPr>
                <w:rFonts w:hint="eastAsia" w:eastAsia="等线"/>
                <w:lang w:val="de-DE"/>
              </w:rPr>
              <w:t>Fine</w:t>
            </w:r>
            <w:r>
              <w:rPr>
                <w:rFonts w:eastAsia="等线"/>
                <w:lang w:val="de-DE"/>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vAlign w:val="top"/>
          </w:tcPr>
          <w:p>
            <w:pPr>
              <w:rPr>
                <w:rFonts w:eastAsia="等线"/>
                <w:lang w:val="de-DE"/>
              </w:rPr>
            </w:pPr>
            <w:r>
              <w:rPr>
                <w:rFonts w:hint="eastAsia" w:ascii="Calibri" w:hAnsi="Calibri" w:eastAsia="等线"/>
                <w:lang w:val="en-US"/>
              </w:rPr>
              <w:t>vivo</w:t>
            </w:r>
          </w:p>
        </w:tc>
        <w:tc>
          <w:tcPr>
            <w:tcW w:w="7554" w:type="dxa"/>
            <w:vAlign w:val="top"/>
          </w:tcPr>
          <w:p>
            <w:pPr>
              <w:rPr>
                <w:rFonts w:hint="eastAsia" w:eastAsia="等线"/>
                <w:lang w:val="de-DE"/>
              </w:rPr>
            </w:pPr>
            <w:r>
              <w:rPr>
                <w:rFonts w:hint="eastAsia" w:ascii="Calibri" w:hAnsi="Calibri" w:eastAsia="等线"/>
                <w:lang w:val="en-US"/>
              </w:rPr>
              <w:t>Support</w:t>
            </w:r>
          </w:p>
        </w:tc>
      </w:tr>
    </w:tbl>
    <w:p/>
    <w:p>
      <w:pPr>
        <w:pStyle w:val="5"/>
      </w:pPr>
      <w:r>
        <w:t>Summary of 1</w:t>
      </w:r>
      <w:r>
        <w:rPr>
          <w:vertAlign w:val="superscript"/>
        </w:rPr>
        <w:t>st</w:t>
      </w:r>
      <w:r>
        <w:t xml:space="preserve"> round of comments and updated proposal   </w:t>
      </w:r>
    </w:p>
    <w:p>
      <w:r>
        <w:t xml:space="preserve">  </w:t>
      </w:r>
    </w:p>
    <w:p>
      <w:pPr>
        <w:pStyle w:val="4"/>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lang w:val="en-US"/>
              </w:rPr>
            </w:pPr>
            <w:r>
              <w:rPr>
                <w:highlight w:val="green"/>
                <w:lang w:val="en-US"/>
              </w:rPr>
              <w:t>Agreement:</w:t>
            </w:r>
          </w:p>
          <w:p>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39"/>
              </w:numPr>
              <w:autoSpaceDN w:val="0"/>
              <w:rPr>
                <w:lang w:val="en-US"/>
              </w:rPr>
            </w:pPr>
            <w:r>
              <w:rPr>
                <w:lang w:val="en-US"/>
              </w:rPr>
              <w:t xml:space="preserve">Enhancing the signaling to UE for the purpose of PRS resource(s) measurement and (for UE-A) report </w:t>
            </w:r>
          </w:p>
          <w:p>
            <w:pPr>
              <w:numPr>
                <w:ilvl w:val="1"/>
                <w:numId w:val="39"/>
              </w:numPr>
              <w:autoSpaceDN w:val="0"/>
              <w:rPr>
                <w:lang w:val="en-US"/>
              </w:rPr>
            </w:pPr>
            <w:r>
              <w:rPr>
                <w:lang w:val="en-US"/>
              </w:rPr>
              <w:t>FFS: The detailed signaling (e.g, the boresight direction for UE-A DL-AoD, further spatial information of PRS resources, processing prioritization of PRS resources).</w:t>
            </w:r>
          </w:p>
          <w:p>
            <w:pPr>
              <w:numPr>
                <w:ilvl w:val="0"/>
                <w:numId w:val="39"/>
              </w:numPr>
              <w:autoSpaceDN w:val="0"/>
              <w:rPr>
                <w:lang w:val="de-DE"/>
              </w:rPr>
            </w:pPr>
            <w:r>
              <w:rPr>
                <w:lang w:val="de-DE"/>
              </w:rPr>
              <w:t>FFS: The following options</w:t>
            </w:r>
          </w:p>
          <w:p>
            <w:pPr>
              <w:numPr>
                <w:ilvl w:val="1"/>
                <w:numId w:val="39"/>
              </w:numPr>
              <w:autoSpaceDN w:val="0"/>
              <w:rPr>
                <w:rFonts w:eastAsia="Times New Roman"/>
                <w:lang w:val="en-US"/>
              </w:rPr>
            </w:pPr>
            <w:r>
              <w:rPr>
                <w:lang w:val="en-US"/>
              </w:rPr>
              <w:t xml:space="preserve">Option 1: Enhancing the reporting to include the measurements of adjacent beams PRS resources that related with each other indicated by the assistance data.    </w:t>
            </w:r>
          </w:p>
          <w:p>
            <w:pPr>
              <w:numPr>
                <w:ilvl w:val="1"/>
                <w:numId w:val="39"/>
              </w:numPr>
              <w:autoSpaceDN w:val="0"/>
              <w:rPr>
                <w:rFonts w:eastAsia="Times New Roman"/>
                <w:lang w:val="en-US"/>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lang w:val="de-DE"/>
              </w:rPr>
              <w:fldChar w:fldCharType="begin"/>
            </w:r>
            <w:r>
              <w:rPr>
                <w:lang w:val="de-DE"/>
              </w:rPr>
              <w:instrText xml:space="preserve"> REF _Ref68769193 \r \h  \* MERGEFORMAT </w:instrText>
            </w:r>
            <w:r>
              <w:rPr>
                <w:lang w:val="de-DE"/>
              </w:rPr>
              <w:fldChar w:fldCharType="separate"/>
            </w:r>
            <w:r>
              <w:rPr>
                <w:rFonts w:eastAsia="Calibri"/>
                <w:lang w:val="en-US"/>
              </w:rPr>
              <w:t>[1]</w:t>
            </w:r>
            <w:r>
              <w:rPr>
                <w:lang w:val="de-DE"/>
              </w:rPr>
              <w:fldChar w:fldCharType="end"/>
            </w:r>
          </w:p>
        </w:tc>
        <w:tc>
          <w:tcPr>
            <w:tcW w:w="8641" w:type="dxa"/>
          </w:tcPr>
          <w:p>
            <w:pPr>
              <w:rPr>
                <w:b/>
                <w:i/>
                <w:lang w:val="en-US"/>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tcPr>
          <w:p>
            <w:pPr>
              <w:rPr>
                <w:b/>
                <w:i/>
                <w:lang w:val="en-US"/>
              </w:rPr>
            </w:pPr>
            <w:r>
              <w:rPr>
                <w:b/>
                <w:i/>
                <w:lang w:val="en-US"/>
              </w:rPr>
              <w:t>Proposal 2: Define PRS resource-level priority for the purpose of e.g. utilization of adjacent beams.</w:t>
            </w:r>
          </w:p>
          <w:p>
            <w:pPr>
              <w:pStyle w:val="196"/>
              <w:numPr>
                <w:ilvl w:val="0"/>
                <w:numId w:val="21"/>
              </w:numPr>
              <w:autoSpaceDE w:val="0"/>
              <w:autoSpaceDN w:val="0"/>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[3]</w:t>
            </w:r>
          </w:p>
        </w:tc>
        <w:tc>
          <w:tcPr>
            <w:tcW w:w="8641" w:type="dxa"/>
          </w:tcPr>
          <w:p>
            <w:pPr>
              <w:pStyle w:val="15"/>
              <w:spacing w:line="260" w:lineRule="exact"/>
              <w:rPr>
                <w:b/>
                <w:bCs/>
                <w:sz w:val="20"/>
                <w:szCs w:val="20"/>
                <w:lang w:val="de-DE"/>
              </w:rPr>
            </w:pPr>
            <w:bookmarkStart w:id="15" w:name="_Hlk71366889"/>
            <w:r>
              <w:rPr>
                <w:b/>
                <w:bCs/>
                <w:sz w:val="20"/>
                <w:szCs w:val="20"/>
                <w:lang w:val="de-DE"/>
              </w:rPr>
              <w:t>Proposal 8</w:t>
            </w:r>
          </w:p>
          <w:p>
            <w:pPr>
              <w:pStyle w:val="15"/>
              <w:numPr>
                <w:ilvl w:val="0"/>
                <w:numId w:val="25"/>
              </w:numPr>
              <w:spacing w:line="260" w:lineRule="exact"/>
              <w:rPr>
                <w:b/>
                <w:i/>
                <w:sz w:val="20"/>
                <w:szCs w:val="20"/>
                <w:lang w:val="en-US"/>
              </w:rPr>
            </w:pPr>
            <w:r>
              <w:rPr>
                <w:b/>
                <w:i/>
                <w:sz w:val="20"/>
                <w:szCs w:val="20"/>
                <w:lang w:val="en-US"/>
              </w:rPr>
              <w:t>Support to provide the boresight direction of PRS resource to UE for UE-A DL-AoD</w:t>
            </w:r>
            <w:r>
              <w:rPr>
                <w:rFonts w:hint="eastAsia"/>
                <w:b/>
                <w:i/>
                <w:sz w:val="20"/>
                <w:szCs w:val="20"/>
                <w:lang w:val="en-US"/>
              </w:rPr>
              <w:t>.</w:t>
            </w:r>
          </w:p>
          <w:bookmarkEnd w:id="15"/>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en-US"/>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_Ref68781317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en-US"/>
              </w:rPr>
            </w:pPr>
          </w:p>
          <w:p>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0"/>
              </w:numPr>
              <w:overflowPunct w:val="0"/>
              <w:autoSpaceDE w:val="0"/>
              <w:autoSpaceDN w:val="0"/>
              <w:spacing w:after="120" w:line="240" w:lineRule="auto"/>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0"/>
              </w:numPr>
              <w:overflowPunct w:val="0"/>
              <w:autoSpaceDE w:val="0"/>
              <w:autoSpaceDN w:val="0"/>
              <w:spacing w:after="120" w:line="240" w:lineRule="auto"/>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2: UE can be requested to measure and report on specific PRS resources</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_Ref72150002 \r \h </w:instrText>
            </w:r>
            <w:r>
              <w:rPr>
                <w:rFonts w:eastAsia="Calibri"/>
                <w:lang w:val="de-DE"/>
              </w:rPr>
              <w:fldChar w:fldCharType="separate"/>
            </w:r>
            <w:r>
              <w:rPr>
                <w:rFonts w:eastAsia="Calibri"/>
                <w:lang w:val="en-US"/>
              </w:rPr>
              <w:t>[6]</w:t>
            </w:r>
            <w:r>
              <w:rPr>
                <w:rFonts w:eastAsia="Calibri"/>
                <w:lang w:val="de-DE"/>
              </w:rPr>
              <w:fldChar w:fldCharType="end"/>
            </w:r>
          </w:p>
        </w:tc>
        <w:tc>
          <w:tcPr>
            <w:tcW w:w="8641" w:type="dxa"/>
          </w:tcPr>
          <w:p>
            <w:pPr>
              <w:spacing w:after="120" w:afterLines="50"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en-US"/>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1"/>
              </w:numPr>
              <w:contextualSpacing/>
              <w:rPr>
                <w:b/>
                <w:bCs/>
                <w:i/>
                <w:iCs/>
                <w:lang w:val="en-US"/>
              </w:rPr>
            </w:pPr>
            <w:r>
              <w:rPr>
                <w:b/>
                <w:bCs/>
                <w:i/>
                <w:iCs/>
                <w:lang w:val="en-US"/>
              </w:rPr>
              <w:t>Opt. 1: Boresight direction of each PRS resource (already supported for UE-B, but not for UE-A)</w:t>
            </w:r>
          </w:p>
          <w:p>
            <w:pPr>
              <w:pStyle w:val="146"/>
              <w:numPr>
                <w:ilvl w:val="0"/>
                <w:numId w:val="41"/>
              </w:numPr>
              <w:contextualSpacing/>
              <w:rPr>
                <w:b/>
                <w:bCs/>
                <w:i/>
                <w:iCs/>
                <w:lang w:val="en-US"/>
              </w:rPr>
            </w:pPr>
            <w:r>
              <w:rPr>
                <w:b/>
                <w:bCs/>
                <w:i/>
                <w:iCs/>
                <w:lang w:val="en-US"/>
              </w:rPr>
              <w:t xml:space="preserve">Opt. 2: Prioritization information (e.g. prioritization based on the ordering in the PRS resource set as was discussed during NR Rel-16). </w:t>
            </w:r>
          </w:p>
          <w:p>
            <w:pPr>
              <w:rPr>
                <w:rFonts w:eastAsia="Calibri"/>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_Ref68785989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en-US"/>
              </w:rPr>
            </w:pPr>
            <w:bookmarkStart w:id="16" w:name="_Hlk71485714"/>
            <w:r>
              <w:rPr>
                <w:lang w:val="en-US"/>
              </w:rPr>
              <w:t>Proposal 2: For DL-AoD positioning method, support the following assistance data and reporting:</w:t>
            </w:r>
          </w:p>
          <w:p>
            <w:pPr>
              <w:pStyle w:val="223"/>
              <w:numPr>
                <w:ilvl w:val="0"/>
                <w:numId w:val="42"/>
              </w:numPr>
              <w:rPr>
                <w:lang w:val="en-US"/>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2"/>
              </w:numPr>
              <w:rPr>
                <w:lang w:val="en-US"/>
              </w:rPr>
            </w:pPr>
            <w:r>
              <w:rPr>
                <w:lang w:val="en-US"/>
              </w:rPr>
              <w:t>In measurement report, if the UE reports RSRP of one PRS resource, the UE also reports the RSRP of PRS resources that are associated with that PRS resource.</w:t>
            </w:r>
          </w:p>
          <w:bookmarkEnd w:id="16"/>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_Ref68786209 \r \h </w:instrText>
            </w:r>
            <w:r>
              <w:rPr>
                <w:rFonts w:eastAsia="Calibri"/>
                <w:lang w:val="de-DE"/>
              </w:rPr>
              <w:fldChar w:fldCharType="separate"/>
            </w:r>
            <w:r>
              <w:rPr>
                <w:rFonts w:eastAsia="Calibri"/>
                <w:lang w:val="en-US"/>
              </w:rPr>
              <w:t>[9]</w:t>
            </w:r>
            <w:r>
              <w:rPr>
                <w:rFonts w:eastAsia="Calibri"/>
                <w:lang w:val="de-DE"/>
              </w:rPr>
              <w:fldChar w:fldCharType="end"/>
            </w:r>
          </w:p>
        </w:tc>
        <w:tc>
          <w:tcPr>
            <w:tcW w:w="8641" w:type="dxa"/>
          </w:tcPr>
          <w:p>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eastAsia="Calibri"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cs="Times New Roman"/>
                <w:szCs w:val="21"/>
                <w:u w:val="single"/>
                <w:lang w:val="en-GB"/>
              </w:rPr>
            </w:pPr>
            <w:r>
              <w:rPr>
                <w:rFonts w:ascii="Times New Roman" w:hAnsi="Times New Roman" w:cs="Times New Roman"/>
                <w:b/>
                <w:bCs/>
                <w:szCs w:val="21"/>
                <w:lang w:val="en-GB"/>
              </w:rPr>
              <w:t>Proposal 3 : For UE-A positioning, boresight direction for DL-AoD is provided by the LMF to the UE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b/>
                <w:i/>
                <w:lang w:val="en-US"/>
              </w:rPr>
            </w:pPr>
            <w:r>
              <w:rPr>
                <w:b/>
                <w:i/>
                <w:lang w:val="en-US"/>
              </w:rPr>
              <w:t>Proposal 5: For DL-AoD, LMF can request UE to measure and report on specific PRS resources</w:t>
            </w:r>
          </w:p>
          <w:p>
            <w:pPr>
              <w:pStyle w:val="146"/>
              <w:numPr>
                <w:ilvl w:val="0"/>
                <w:numId w:val="43"/>
              </w:numPr>
              <w:spacing w:before="60" w:after="120" w:line="360" w:lineRule="auto"/>
              <w:rPr>
                <w:rFonts w:ascii="Times New Roman" w:hAnsi="Times New Roman"/>
                <w:b/>
                <w:i/>
                <w:sz w:val="20"/>
                <w:lang w:val="en-US"/>
              </w:rPr>
            </w:pPr>
            <w:r>
              <w:rPr>
                <w:rFonts w:ascii="Times New Roman" w:hAnsi="Times New Roman" w:eastAsia="等线"/>
                <w:b/>
                <w:i/>
                <w:sz w:val="20"/>
                <w:lang w:val="en-US"/>
              </w:rPr>
              <w:t>FFS: by implicit rules and/or explicit signaling</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[17]</w:t>
            </w:r>
          </w:p>
        </w:tc>
        <w:tc>
          <w:tcPr>
            <w:tcW w:w="8641" w:type="dxa"/>
          </w:tcPr>
          <w:p>
            <w:pPr>
              <w:rPr>
                <w:lang w:val="en-US"/>
              </w:rPr>
            </w:pPr>
            <w:r>
              <w:rPr>
                <w:b/>
                <w:bCs/>
                <w:lang w:val="en-US"/>
              </w:rPr>
              <w:t>Proposal 9</w:t>
            </w:r>
            <w:r>
              <w:rPr>
                <w:lang w:val="en-US"/>
              </w:rPr>
              <w:t xml:space="preserve">: Do not support any enhancements for adjacent beam reporting (i.e., do not support option 1-2 in the FFS of the prior agreement). </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[20]</w:t>
            </w:r>
          </w:p>
        </w:tc>
        <w:tc>
          <w:tcPr>
            <w:tcW w:w="8641" w:type="dxa"/>
          </w:tcPr>
          <w:p>
            <w:pPr>
              <w:ind w:left="1418" w:hanging="1417"/>
              <w:rPr>
                <w:b/>
                <w:bCs/>
                <w:lang w:val="en-US"/>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utoSpaceDE w:val="0"/>
              <w:autoSpaceDN w:val="0"/>
              <w:adjustRightInd w:val="0"/>
              <w:snapToGrid w:val="0"/>
              <w:spacing w:after="120"/>
              <w:rPr>
                <w:rFonts w:cs="Times"/>
                <w:lang w:val="en-GB"/>
              </w:rPr>
            </w:pPr>
            <w:r>
              <w:rPr>
                <w:b/>
                <w:bCs/>
                <w:lang w:val="en-US"/>
              </w:rPr>
              <w:t>providing information on the associated PRS resources within one or more subsets, or</w:t>
            </w:r>
          </w:p>
          <w:p>
            <w:pPr>
              <w:pStyle w:val="146"/>
              <w:numPr>
                <w:ilvl w:val="0"/>
                <w:numId w:val="32"/>
              </w:numPr>
              <w:autoSpaceDE w:val="0"/>
              <w:autoSpaceDN w:val="0"/>
              <w:adjustRightInd w:val="0"/>
              <w:snapToGrid w:val="0"/>
              <w:spacing w:after="120"/>
              <w:rPr>
                <w:rFonts w:cs="Times"/>
                <w:lang w:val="en-GB"/>
              </w:rPr>
            </w:pPr>
            <w:r>
              <w:rPr>
                <w:b/>
                <w:bCs/>
                <w:lang w:val="en-US"/>
              </w:rPr>
              <w:t>indicating to the UE which PRS resources belong to a subset</w:t>
            </w:r>
          </w:p>
          <w:p>
            <w:pPr>
              <w:ind w:left="1418"/>
              <w:rPr>
                <w:b/>
                <w:bCs/>
                <w:lang w:val="en-US"/>
              </w:rPr>
            </w:pPr>
            <w:r>
              <w:rPr>
                <w:b/>
                <w:bCs/>
                <w:lang w:val="en-US"/>
              </w:rPr>
              <w:t>For DL-AoD, a PRS resource subset may include to a group of adjacent beams.</w:t>
            </w:r>
          </w:p>
          <w:p>
            <w:pPr>
              <w:overflowPunct w:val="0"/>
              <w:adjustRightInd w:val="0"/>
              <w:spacing w:before="120" w:line="280" w:lineRule="atLeast"/>
              <w:ind w:left="-11" w:leftChars="-5"/>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_Ref68797835 \r \h </w:instrText>
            </w:r>
            <w:r>
              <w:rPr>
                <w:rFonts w:eastAsia="Calibri"/>
                <w:lang w:val="de-DE"/>
              </w:rPr>
              <w:fldChar w:fldCharType="separate"/>
            </w:r>
            <w:r>
              <w:rPr>
                <w:rFonts w:eastAsia="Calibri"/>
                <w:lang w:val="en-US"/>
              </w:rPr>
              <w:t>[21]</w:t>
            </w:r>
            <w:r>
              <w:rPr>
                <w:rFonts w:eastAsia="Calibri"/>
                <w:lang w:val="de-DE"/>
              </w:rPr>
              <w:fldChar w:fldCharType="end"/>
            </w:r>
          </w:p>
        </w:tc>
        <w:tc>
          <w:tcPr>
            <w:tcW w:w="8641" w:type="dxa"/>
          </w:tcPr>
          <w:p>
            <w:pPr>
              <w:rPr>
                <w:b/>
                <w:bCs/>
                <w:i/>
                <w:iCs/>
                <w:lang w:val="en-US"/>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_Ref68798262 \r \h </w:instrText>
            </w:r>
            <w:r>
              <w:rPr>
                <w:rFonts w:eastAsia="Calibri"/>
                <w:lang w:val="de-DE"/>
              </w:rPr>
              <w:fldChar w:fldCharType="separate"/>
            </w:r>
            <w:r>
              <w:rPr>
                <w:rFonts w:eastAsia="Calibri"/>
                <w:lang w:val="en-US"/>
              </w:rPr>
              <w:t>[18]</w:t>
            </w:r>
            <w:r>
              <w:rPr>
                <w:rFonts w:eastAsia="Calibri"/>
                <w:lang w:val="de-DE"/>
              </w:rPr>
              <w:fldChar w:fldCharType="end"/>
            </w:r>
          </w:p>
        </w:tc>
        <w:tc>
          <w:tcPr>
            <w:tcW w:w="8641" w:type="dxa"/>
          </w:tcPr>
          <w:p>
            <w:pPr>
              <w:pStyle w:val="30"/>
              <w:rPr>
                <w:lang w:val="en-US"/>
              </w:rPr>
            </w:pPr>
            <w:r>
              <w:rPr>
                <w:i/>
                <w:lang w:val="en-US"/>
              </w:rPr>
              <w:t>Proposal 4: Adjacent PRS resources can be predefined by resource index.</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[22]</w:t>
            </w:r>
          </w:p>
        </w:tc>
        <w:tc>
          <w:tcPr>
            <w:tcW w:w="8641" w:type="dxa"/>
          </w:tcPr>
          <w:p>
            <w:pPr>
              <w:pStyle w:val="86"/>
              <w:tabs>
                <w:tab w:val="clear" w:pos="1730"/>
              </w:tabs>
              <w:rPr>
                <w:lang w:val="en-US"/>
              </w:rPr>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pPr>
              <w:pStyle w:val="86"/>
              <w:tabs>
                <w:tab w:val="clear" w:pos="1730"/>
              </w:tabs>
              <w:rPr>
                <w:lang w:val="en-US"/>
              </w:rPr>
            </w:pPr>
            <w:bookmarkStart w:id="18"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18"/>
          </w:p>
          <w:p>
            <w:pPr>
              <w:pStyle w:val="86"/>
              <w:tabs>
                <w:tab w:val="clear" w:pos="1730"/>
              </w:tabs>
              <w:rPr>
                <w:lang w:val="en-US"/>
              </w:rPr>
            </w:pPr>
          </w:p>
          <w:p>
            <w:pPr>
              <w:pStyle w:val="188"/>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19"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19"/>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0"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0"/>
          </w:p>
          <w:p>
            <w:pPr>
              <w:pStyle w:val="86"/>
              <w:tabs>
                <w:tab w:val="clear" w:pos="1730"/>
              </w:tabs>
              <w:rPr>
                <w:lang w:val="de-DE"/>
              </w:rPr>
            </w:pPr>
          </w:p>
          <w:p>
            <w:pPr>
              <w:pStyle w:val="86"/>
              <w:tabs>
                <w:tab w:val="clear" w:pos="1730"/>
              </w:tabs>
              <w:rPr>
                <w:lang w:val="de-DE"/>
              </w:rPr>
            </w:pPr>
          </w:p>
          <w:p>
            <w:pPr>
              <w:rPr>
                <w:rFonts w:eastAsia="Calibri"/>
                <w:b/>
                <w:bCs/>
                <w:lang w:val="en-US"/>
              </w:rPr>
            </w:pPr>
          </w:p>
        </w:tc>
      </w:tr>
    </w:tbl>
    <w:p>
      <w:pPr>
        <w:pStyle w:val="86"/>
      </w:pPr>
    </w:p>
    <w:p>
      <w:r>
        <w:t>From the proposals in the contributions, the following can be summarized regarding the signalling of adjacent beams:</w:t>
      </w:r>
    </w:p>
    <w:p/>
    <w:p>
      <w:pPr>
        <w:pStyle w:val="146"/>
        <w:numPr>
          <w:ilvl w:val="0"/>
          <w:numId w:val="44"/>
        </w:numPr>
      </w:pPr>
      <w:r>
        <w:t>7 companies [1][3][6][8][20][18][22] support the signalling of a list of adjacent beams</w:t>
      </w:r>
    </w:p>
    <w:p>
      <w:pPr>
        <w:pStyle w:val="146"/>
        <w:numPr>
          <w:ilvl w:val="0"/>
          <w:numId w:val="44"/>
        </w:numPr>
      </w:pPr>
      <w:r>
        <w:t>3 companies [2][4][7] prefer signalling a priority for the purpose of identifying adjacent beams</w:t>
      </w:r>
    </w:p>
    <w:p>
      <w:pPr>
        <w:pStyle w:val="146"/>
        <w:numPr>
          <w:ilvl w:val="0"/>
          <w:numId w:val="44"/>
        </w:numPr>
      </w:pPr>
      <w:r>
        <w:t xml:space="preserve">3 companies [4][9][15] support the request of specific PRS resources to be measured and reported  </w:t>
      </w:r>
    </w:p>
    <w:p>
      <w:pPr>
        <w:pStyle w:val="146"/>
        <w:numPr>
          <w:ilvl w:val="0"/>
          <w:numId w:val="44"/>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5"/>
        </w:numPr>
      </w:pPr>
      <w:r>
        <w:rPr>
          <w:rFonts w:eastAsia="Times New Roman"/>
        </w:rPr>
        <w:t xml:space="preserve">Option 1: the LMF explicitly identify adjacent beams </w:t>
      </w:r>
      <w:r>
        <w:t>in the AD</w:t>
      </w:r>
    </w:p>
    <w:p>
      <w:pPr>
        <w:pStyle w:val="86"/>
        <w:numPr>
          <w:ilvl w:val="0"/>
          <w:numId w:val="45"/>
        </w:numPr>
      </w:pPr>
      <w:r>
        <w:rPr>
          <w:rFonts w:eastAsia="Times New Roman"/>
        </w:rPr>
        <w:t xml:space="preserve">Option 2: the LMF send the beam information in the AD with an order of priority for the UE measurements.  </w:t>
      </w:r>
    </w:p>
    <w:p>
      <w:pPr>
        <w:pStyle w:val="86"/>
        <w:numPr>
          <w:ilvl w:val="0"/>
          <w:numId w:val="45"/>
        </w:numPr>
      </w:pPr>
      <w:r>
        <w:rPr>
          <w:rFonts w:eastAsia="Times New Roman"/>
        </w:rPr>
        <w:t xml:space="preserve">Option 3: the LMF includes boresight direction information for each PRS resource in the assistance data. </w:t>
      </w:r>
    </w:p>
    <w:p>
      <w:pPr>
        <w:pStyle w:val="86"/>
        <w:numPr>
          <w:ilvl w:val="0"/>
          <w:numId w:val="45"/>
        </w:numPr>
        <w:rPr>
          <w:rFonts w:eastAsia="Times New Roman"/>
        </w:rPr>
      </w:pPr>
      <w:r>
        <w:rPr>
          <w:rFonts w:eastAsia="Times New Roman"/>
        </w:rPr>
        <w:t>FFS: Detailed signaling and procedure</w:t>
      </w:r>
    </w:p>
    <w:p>
      <w:pPr>
        <w:pStyle w:val="86"/>
        <w:numPr>
          <w:ilvl w:val="0"/>
          <w:numId w:val="45"/>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Support both option 1.  And do not support Option 2 and 3.</w:t>
            </w:r>
          </w:p>
          <w:p>
            <w:pPr>
              <w:rPr>
                <w:rFonts w:eastAsia="等线"/>
                <w:lang w:val="en-US"/>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en-US"/>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en-US"/>
              </w:rPr>
            </w:pPr>
            <w:r>
              <w:rPr>
                <w:rFonts w:eastAsia="等线"/>
                <w:lang w:val="en-US"/>
              </w:rPr>
              <w:t>Proposal 3.1 does not capture our views:</w:t>
            </w:r>
          </w:p>
          <w:p>
            <w:pPr>
              <w:pStyle w:val="86"/>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5"/>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en-US"/>
              </w:rPr>
            </w:pPr>
            <w:r>
              <w:rPr>
                <w:rFonts w:eastAsia="等线"/>
                <w:lang w:val="en-US"/>
              </w:rPr>
              <w:t>Option1 works only in unicast and since also the UE posiitoning is changing and the indicated AD may not be always applicable at time of measurement.</w:t>
            </w:r>
          </w:p>
          <w:p>
            <w:pPr>
              <w:rPr>
                <w:rFonts w:eastAsia="等线"/>
                <w:lang w:val="en-US"/>
              </w:rPr>
            </w:pPr>
            <w:r>
              <w:rPr>
                <w:rFonts w:eastAsia="等线"/>
                <w:lang w:val="en-US"/>
              </w:rPr>
              <w:t xml:space="preserve">On Option3: </w:t>
            </w:r>
          </w:p>
          <w:p>
            <w:pPr>
              <w:rPr>
                <w:rFonts w:eastAsia="等线"/>
                <w:lang w:val="en-US"/>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en-US"/>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en-US"/>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sv-SE"/>
              </w:rPr>
            </w:pPr>
            <w:r>
              <w:rPr>
                <w:rFonts w:eastAsia="等线"/>
                <w:lang w:val="de-DE"/>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sv-SE"/>
              </w:rPr>
              <w:t>W</w:t>
            </w:r>
            <w:r>
              <w:rPr>
                <w:rFonts w:hint="eastAsia" w:eastAsia="等线"/>
                <w:lang w:val="sv-SE"/>
              </w:rPr>
              <w:t xml:space="preserve">e </w:t>
            </w:r>
            <w:r>
              <w:rPr>
                <w:rFonts w:eastAsia="等线"/>
                <w:lang w:val="sv-SE"/>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hint="eastAsia" w:eastAsia="等线"/>
                <w:lang w:val="sv-SE"/>
              </w:rPr>
            </w:pPr>
            <w:r>
              <w:rPr>
                <w:rFonts w:eastAsia="等线"/>
                <w:lang w:val="sv-SE"/>
              </w:rPr>
              <w:t>S</w:t>
            </w:r>
            <w:r>
              <w:rPr>
                <w:rFonts w:hint="eastAsia" w:eastAsia="等线"/>
                <w:lang w:val="sv-SE"/>
              </w:rPr>
              <w:t xml:space="preserve">amsung </w:t>
            </w:r>
          </w:p>
        </w:tc>
        <w:tc>
          <w:tcPr>
            <w:tcW w:w="7554" w:type="dxa"/>
          </w:tcPr>
          <w:p>
            <w:pPr>
              <w:rPr>
                <w:rFonts w:hint="eastAsia" w:eastAsia="等线"/>
                <w:lang w:val="sv-SE"/>
              </w:rPr>
            </w:pPr>
            <w:r>
              <w:rPr>
                <w:rFonts w:eastAsia="等线"/>
                <w:lang w:val="sv-SE"/>
              </w:rPr>
              <w:t>I</w:t>
            </w:r>
            <w:r>
              <w:rPr>
                <w:rFonts w:hint="eastAsia" w:eastAsia="等线"/>
                <w:lang w:val="sv-SE"/>
              </w:rPr>
              <w:t xml:space="preserve">f LMF has the rough location information of UE, and also the beam angle information from TRP, it is possible for LMF to do this indicaiton. </w:t>
            </w:r>
            <w:r>
              <w:rPr>
                <w:rFonts w:eastAsia="等线"/>
                <w:lang w:val="sv-SE"/>
              </w:rPr>
              <w:t>O</w:t>
            </w:r>
            <w:r>
              <w:rPr>
                <w:rFonts w:hint="eastAsia" w:eastAsia="等线"/>
                <w:lang w:val="sv-SE"/>
              </w:rPr>
              <w:t>therwise, it will be quite chanallenging for the actual usage of this function.</w:t>
            </w:r>
          </w:p>
          <w:p>
            <w:pPr>
              <w:rPr>
                <w:rFonts w:hint="eastAsia" w:eastAsia="等线"/>
                <w:lang w:val="sv-SE"/>
              </w:rPr>
            </w:pPr>
            <w:r>
              <w:rPr>
                <w:rFonts w:eastAsia="等线"/>
                <w:lang w:val="sv-SE"/>
              </w:rPr>
              <w:t>T</w:t>
            </w:r>
            <w:r>
              <w:rPr>
                <w:rFonts w:hint="eastAsia" w:eastAsia="等线"/>
                <w:lang w:val="sv-SE"/>
              </w:rPr>
              <w:t>he previous agreement includes the possiblity that UE could report the adject beam based on it</w:t>
            </w:r>
            <w:r>
              <w:rPr>
                <w:rFonts w:eastAsia="等线"/>
                <w:lang w:val="sv-SE"/>
              </w:rPr>
              <w:t>’</w:t>
            </w:r>
            <w:r>
              <w:rPr>
                <w:rFonts w:hint="eastAsia" w:eastAsia="等线"/>
                <w:lang w:val="sv-SE"/>
              </w:rPr>
              <w:t>s more measurment of the strongest beam, which may not be known by LMF at the time. LMF could just request UE to report the adjact beam of the strongest beam, but LMF doesn</w:t>
            </w:r>
            <w:r>
              <w:rPr>
                <w:rFonts w:eastAsia="等线"/>
                <w:lang w:val="sv-SE"/>
              </w:rPr>
              <w:t>’</w:t>
            </w:r>
            <w:r>
              <w:rPr>
                <w:rFonts w:hint="eastAsia" w:eastAsia="等线"/>
                <w:lang w:val="sv-SE"/>
              </w:rPr>
              <w:t>t need to pre-know what the beams will be.</w:t>
            </w:r>
          </w:p>
          <w:p>
            <w:pPr>
              <w:rPr>
                <w:rFonts w:eastAsia="等线"/>
                <w:lang w:val="sv-SE"/>
              </w:rPr>
            </w:pPr>
            <w:r>
              <w:rPr>
                <w:rFonts w:eastAsia="等线"/>
                <w:lang w:val="sv-SE"/>
              </w:rPr>
              <w:t>I</w:t>
            </w:r>
            <w:r>
              <w:rPr>
                <w:rFonts w:hint="eastAsia" w:eastAsia="等线"/>
                <w:lang w:val="sv-SE"/>
              </w:rPr>
              <w:t xml:space="preserve">t seems the structure of previous agreements seems more suitable to proceed. </w:t>
            </w:r>
            <w:r>
              <w:rPr>
                <w:rFonts w:eastAsia="等线"/>
                <w:lang w:val="sv-SE"/>
              </w:rPr>
              <w:t>W</w:t>
            </w:r>
            <w:r>
              <w:rPr>
                <w:rFonts w:hint="eastAsia" w:eastAsia="等线"/>
                <w:lang w:val="sv-SE"/>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ascii="Calibri" w:hAnsi="Calibri" w:eastAsia="等线"/>
                <w:lang w:val="en-US"/>
              </w:rPr>
            </w:pPr>
            <w:r>
              <w:rPr>
                <w:rFonts w:hint="eastAsia" w:ascii="Calibri" w:hAnsi="Calibri" w:eastAsia="等线"/>
                <w:lang w:val="en-US"/>
              </w:rPr>
              <w:t>Support Option 3 and we have similar view with QC</w:t>
            </w:r>
          </w:p>
          <w:p>
            <w:pPr>
              <w:jc w:val="both"/>
              <w:rPr>
                <w:rFonts w:ascii="Calibri" w:hAnsi="Calibri" w:eastAsia="等线"/>
                <w:lang w:val="en-US"/>
              </w:rPr>
            </w:pPr>
            <w:r>
              <w:rPr>
                <w:rFonts w:hint="eastAsia" w:ascii="Calibri" w:hAnsi="Calibri" w:eastAsia="等线"/>
                <w:lang w:val="en-US"/>
              </w:rPr>
              <w:t>To Fraunhofer, the intention of option 3 is to give UE some opportunities</w:t>
            </w:r>
            <w:r>
              <w:rPr>
                <w:rFonts w:ascii="Calibri" w:hAnsi="Calibri" w:eastAsia="等线"/>
                <w:lang w:val="en-US"/>
              </w:rPr>
              <w:t xml:space="preserve"> so</w:t>
            </w:r>
            <w:r>
              <w:rPr>
                <w:rFonts w:hint="eastAsia" w:ascii="Calibri" w:hAnsi="Calibri" w:eastAsia="等线"/>
                <w:lang w:val="en-US"/>
              </w:rPr>
              <w:t xml:space="preserve"> that UE can reduce the number of PRS measurement and reporting and choose more suitable PRS to measure. We believe UE selection has better flexibility and</w:t>
            </w:r>
            <w:r>
              <w:rPr>
                <w:rFonts w:hint="eastAsia" w:ascii="Calibri" w:hAnsi="Calibri" w:eastAsia="等线"/>
                <w:lang w:val="en-US" w:eastAsia="zh-CN"/>
              </w:rPr>
              <w:t xml:space="preserve"> </w:t>
            </w:r>
            <w:r>
              <w:rPr>
                <w:rFonts w:hint="eastAsia" w:ascii="Calibri" w:hAnsi="Calibri" w:eastAsia="等线"/>
                <w:lang w:val="en-US"/>
              </w:rPr>
              <w:t xml:space="preserve">adaptability than LMF configuration </w:t>
            </w:r>
            <w:r>
              <w:rPr>
                <w:rFonts w:ascii="Calibri" w:hAnsi="Calibri" w:eastAsia="等线"/>
                <w:lang w:val="en-US"/>
              </w:rPr>
              <w:t>especially</w:t>
            </w:r>
            <w:r>
              <w:rPr>
                <w:rFonts w:hint="eastAsia" w:ascii="Calibri" w:hAnsi="Calibri" w:eastAsia="等线"/>
                <w:lang w:val="en-US"/>
              </w:rPr>
              <w:t xml:space="preserve"> for UE with mobility.</w:t>
            </w:r>
          </w:p>
          <w:p>
            <w:pPr>
              <w:jc w:val="both"/>
              <w:rPr>
                <w:rFonts w:ascii="Calibri" w:hAnsi="Calibri" w:eastAsia="等线"/>
                <w:lang w:val="en-US"/>
              </w:rPr>
            </w:pPr>
            <w:r>
              <w:rPr>
                <w:rFonts w:hint="eastAsia" w:ascii="Calibri" w:hAnsi="Calibri" w:eastAsia="等线"/>
                <w:lang w:val="en-US"/>
              </w:rPr>
              <w:t>To oppo, we would like to note the</w:t>
            </w:r>
            <w:r>
              <w:rPr>
                <w:rFonts w:ascii="Calibri" w:hAnsi="Calibri" w:eastAsia="等线"/>
                <w:lang w:val="en-US"/>
              </w:rPr>
              <w:t xml:space="preserve"> direction</w:t>
            </w:r>
            <w:r>
              <w:rPr>
                <w:rFonts w:hint="eastAsia" w:ascii="Calibri" w:hAnsi="Calibri" w:eastAsia="等线"/>
                <w:lang w:val="en-US"/>
              </w:rPr>
              <w:t xml:space="preserve"> is a GCS angle and has been transmitted in UE-B.</w:t>
            </w:r>
          </w:p>
          <w:p>
            <w:pPr>
              <w:pStyle w:val="4"/>
              <w:outlineLvl w:val="2"/>
            </w:pPr>
            <w:bookmarkStart w:id="21" w:name="_Toc64447727"/>
            <w:r>
              <w:t>9.2.58</w:t>
            </w:r>
            <w:r>
              <w:tab/>
            </w:r>
            <w:r>
              <w:t>NR-PRS Beam Information</w:t>
            </w:r>
            <w:bookmarkEnd w:id="21"/>
          </w:p>
          <w:p>
            <w:pPr>
              <w:spacing w:after="120"/>
              <w:rPr>
                <w:rFonts w:ascii="Calibri" w:hAnsi="Calibri" w:eastAsia="Calibri"/>
                <w:lang w:val="de-DE"/>
              </w:rPr>
            </w:pPr>
            <w:r>
              <w:rPr>
                <w:rFonts w:ascii="Calibri" w:hAnsi="Calibri" w:eastAsia="Calibri"/>
                <w:lang w:val="de-DE"/>
              </w:rPr>
              <w:t>This IE contains spatial direction information of the DL-PRS Resources.</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812"/>
              <w:gridCol w:w="812"/>
              <w:gridCol w:w="168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3"/>
                  </w:pPr>
                  <w:r>
                    <w:t>IE/Group Name</w:t>
                  </w:r>
                </w:p>
              </w:tc>
              <w:tc>
                <w:tcPr>
                  <w:tcW w:w="554" w:type="pct"/>
                  <w:tcBorders>
                    <w:top w:val="single" w:color="auto" w:sz="4" w:space="0"/>
                    <w:left w:val="single" w:color="auto" w:sz="4" w:space="0"/>
                    <w:bottom w:val="single" w:color="auto" w:sz="4" w:space="0"/>
                    <w:right w:val="single" w:color="auto" w:sz="4" w:space="0"/>
                  </w:tcBorders>
                </w:tcPr>
                <w:p>
                  <w:pPr>
                    <w:pStyle w:val="93"/>
                  </w:pPr>
                  <w:r>
                    <w:t>Presence</w:t>
                  </w:r>
                </w:p>
              </w:tc>
              <w:tc>
                <w:tcPr>
                  <w:tcW w:w="554" w:type="pct"/>
                  <w:tcBorders>
                    <w:top w:val="single" w:color="auto" w:sz="4" w:space="0"/>
                    <w:left w:val="single" w:color="auto" w:sz="4" w:space="0"/>
                    <w:bottom w:val="single" w:color="auto" w:sz="4" w:space="0"/>
                    <w:right w:val="single" w:color="auto" w:sz="4" w:space="0"/>
                  </w:tcBorders>
                </w:tcPr>
                <w:p>
                  <w:pPr>
                    <w:pStyle w:val="93"/>
                  </w:pPr>
                  <w:r>
                    <w:t>Range</w:t>
                  </w:r>
                </w:p>
              </w:tc>
              <w:tc>
                <w:tcPr>
                  <w:tcW w:w="1149" w:type="pct"/>
                  <w:tcBorders>
                    <w:top w:val="single" w:color="auto" w:sz="4" w:space="0"/>
                    <w:left w:val="single" w:color="auto" w:sz="4" w:space="0"/>
                    <w:bottom w:val="single" w:color="auto" w:sz="4" w:space="0"/>
                    <w:right w:val="single" w:color="auto" w:sz="4" w:space="0"/>
                  </w:tcBorders>
                </w:tcPr>
                <w:p>
                  <w:pPr>
                    <w:pStyle w:val="93"/>
                  </w:pPr>
                  <w:r>
                    <w:t>IE type and reference</w:t>
                  </w:r>
                </w:p>
              </w:tc>
              <w:tc>
                <w:tcPr>
                  <w:tcW w:w="1481" w:type="pct"/>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0" w:type="pct"/>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554" w:type="pct"/>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2" w:name="_Hlk50063006"/>
                  <w:r>
                    <w:rPr>
                      <w:i/>
                      <w:iCs/>
                    </w:rPr>
                    <w:t>maxPRS-ResourceSet</w:t>
                  </w:r>
                  <w:bookmarkEnd w:id="22"/>
                  <w:r>
                    <w:rPr>
                      <w:i/>
                      <w:iCs/>
                    </w:rPr>
                    <w:t>s &gt;</w:t>
                  </w:r>
                </w:p>
              </w:tc>
              <w:tc>
                <w:tcPr>
                  <w:tcW w:w="1149" w:type="pct"/>
                  <w:tcBorders>
                    <w:top w:val="single" w:color="auto" w:sz="4" w:space="0"/>
                    <w:left w:val="single" w:color="auto" w:sz="4" w:space="0"/>
                    <w:bottom w:val="single" w:color="auto" w:sz="4" w:space="0"/>
                    <w:right w:val="single" w:color="auto" w:sz="4" w:space="0"/>
                  </w:tcBorders>
                </w:tcPr>
                <w:p>
                  <w:pPr>
                    <w:pStyle w:val="91"/>
                  </w:pP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554" w:type="pct"/>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554" w:type="pct"/>
                  <w:tcBorders>
                    <w:top w:val="single" w:color="auto" w:sz="4" w:space="0"/>
                    <w:left w:val="single" w:color="auto" w:sz="4" w:space="0"/>
                    <w:bottom w:val="single" w:color="auto" w:sz="4" w:space="0"/>
                    <w:right w:val="single" w:color="auto" w:sz="4" w:space="0"/>
                  </w:tcBorders>
                </w:tcPr>
                <w:p>
                  <w:pPr>
                    <w:pStyle w:val="91"/>
                    <w:rPr>
                      <w:i/>
                      <w:iCs/>
                    </w:rPr>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(0..7)</w:t>
                  </w:r>
                </w:p>
              </w:tc>
              <w:tc>
                <w:tcPr>
                  <w:tcW w:w="1481" w:type="pct"/>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554" w:type="pct"/>
                  <w:tcBorders>
                    <w:top w:val="single" w:color="auto" w:sz="4" w:space="0"/>
                    <w:left w:val="single" w:color="auto" w:sz="4" w:space="0"/>
                    <w:bottom w:val="single" w:color="auto" w:sz="4" w:space="0"/>
                    <w:right w:val="single" w:color="auto" w:sz="4" w:space="0"/>
                  </w:tcBorders>
                </w:tcPr>
                <w:p>
                  <w:pPr>
                    <w:pStyle w:val="91"/>
                  </w:pPr>
                  <w:r>
                    <w:t xml:space="preserve"> </w:t>
                  </w:r>
                </w:p>
              </w:tc>
              <w:tc>
                <w:tcPr>
                  <w:tcW w:w="554" w:type="pct"/>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3" w:name="_Hlk50063024"/>
                  <w:r>
                    <w:rPr>
                      <w:i/>
                      <w:iCs/>
                    </w:rPr>
                    <w:t xml:space="preserve">maxPRS-ResourcesPerSet </w:t>
                  </w:r>
                  <w:bookmarkEnd w:id="23"/>
                  <w:r>
                    <w:rPr>
                      <w:i/>
                      <w:iCs/>
                    </w:rPr>
                    <w:t>&gt;</w:t>
                  </w:r>
                </w:p>
              </w:tc>
              <w:tc>
                <w:tcPr>
                  <w:tcW w:w="1149" w:type="pct"/>
                  <w:tcBorders>
                    <w:top w:val="single" w:color="auto" w:sz="4" w:space="0"/>
                    <w:left w:val="single" w:color="auto" w:sz="4" w:space="0"/>
                    <w:bottom w:val="single" w:color="auto" w:sz="4" w:space="0"/>
                    <w:right w:val="single" w:color="auto" w:sz="4" w:space="0"/>
                  </w:tcBorders>
                </w:tcPr>
                <w:p>
                  <w:pPr>
                    <w:pStyle w:val="91"/>
                  </w:pPr>
                  <w:r>
                    <w:t xml:space="preserve"> </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554" w:type="pct"/>
                  <w:tcBorders>
                    <w:top w:val="single" w:color="auto" w:sz="4" w:space="0"/>
                    <w:left w:val="single" w:color="auto" w:sz="4" w:space="0"/>
                    <w:bottom w:val="single" w:color="auto" w:sz="4" w:space="0"/>
                    <w:right w:val="single" w:color="auto" w:sz="4" w:space="0"/>
                  </w:tcBorders>
                </w:tcPr>
                <w:p>
                  <w:pPr>
                    <w:pStyle w:val="91"/>
                  </w:pPr>
                  <w:r>
                    <w:t>M</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(0..359)</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260" w:type="pct"/>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(0..9)</w:t>
                  </w:r>
                </w:p>
              </w:tc>
              <w:tc>
                <w:tcPr>
                  <w:tcW w:w="1481" w:type="pct"/>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(0..180)</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(0..9)</w:t>
                  </w:r>
                </w:p>
              </w:tc>
              <w:tc>
                <w:tcPr>
                  <w:tcW w:w="1481" w:type="pct"/>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554" w:type="pct"/>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149" w:type="pct"/>
                  <w:tcBorders>
                    <w:top w:val="single" w:color="auto" w:sz="4" w:space="0"/>
                    <w:left w:val="single" w:color="auto" w:sz="4" w:space="0"/>
                    <w:bottom w:val="single" w:color="auto" w:sz="4" w:space="0"/>
                    <w:right w:val="single" w:color="auto" w:sz="4" w:space="0"/>
                  </w:tcBorders>
                </w:tcPr>
                <w:p>
                  <w:pPr>
                    <w:pStyle w:val="91"/>
                  </w:pPr>
                </w:p>
              </w:tc>
              <w:tc>
                <w:tcPr>
                  <w:tcW w:w="1481" w:type="pct"/>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&gt;Alpha</w:t>
                  </w:r>
                </w:p>
              </w:tc>
              <w:tc>
                <w:tcPr>
                  <w:tcW w:w="554" w:type="pct"/>
                  <w:tcBorders>
                    <w:top w:val="single" w:color="auto" w:sz="4" w:space="0"/>
                    <w:left w:val="single" w:color="auto" w:sz="4" w:space="0"/>
                    <w:bottom w:val="single" w:color="auto" w:sz="4" w:space="0"/>
                    <w:right w:val="single" w:color="auto" w:sz="4" w:space="0"/>
                  </w:tcBorders>
                </w:tcPr>
                <w:p>
                  <w:pPr>
                    <w:pStyle w:val="91"/>
                  </w:pPr>
                  <w:r>
                    <w:t>M</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(0..359)</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(0..9)</w:t>
                  </w:r>
                </w:p>
              </w:tc>
              <w:tc>
                <w:tcPr>
                  <w:tcW w:w="1481" w:type="pct"/>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&gt;Beta</w:t>
                  </w:r>
                </w:p>
              </w:tc>
              <w:tc>
                <w:tcPr>
                  <w:tcW w:w="554" w:type="pct"/>
                  <w:tcBorders>
                    <w:top w:val="single" w:color="auto" w:sz="4" w:space="0"/>
                    <w:left w:val="single" w:color="auto" w:sz="4" w:space="0"/>
                    <w:bottom w:val="single" w:color="auto" w:sz="4" w:space="0"/>
                    <w:right w:val="single" w:color="auto" w:sz="4" w:space="0"/>
                  </w:tcBorders>
                </w:tcPr>
                <w:p>
                  <w:pPr>
                    <w:pStyle w:val="91"/>
                  </w:pPr>
                  <w:r>
                    <w:t>M</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(0..359)</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(0..9)</w:t>
                  </w:r>
                </w:p>
              </w:tc>
              <w:tc>
                <w:tcPr>
                  <w:tcW w:w="1481" w:type="pct"/>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&gt;Gamma</w:t>
                  </w:r>
                </w:p>
              </w:tc>
              <w:tc>
                <w:tcPr>
                  <w:tcW w:w="554" w:type="pct"/>
                  <w:tcBorders>
                    <w:top w:val="single" w:color="auto" w:sz="4" w:space="0"/>
                    <w:left w:val="single" w:color="auto" w:sz="4" w:space="0"/>
                    <w:bottom w:val="single" w:color="auto" w:sz="4" w:space="0"/>
                    <w:right w:val="single" w:color="auto" w:sz="4" w:space="0"/>
                  </w:tcBorders>
                </w:tcPr>
                <w:p>
                  <w:pPr>
                    <w:pStyle w:val="91"/>
                  </w:pPr>
                  <w:r>
                    <w:t>M</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(0..359)</w:t>
                  </w:r>
                </w:p>
              </w:tc>
              <w:tc>
                <w:tcPr>
                  <w:tcW w:w="1481" w:type="pct"/>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60" w:type="pct"/>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554" w:type="pct"/>
                  <w:tcBorders>
                    <w:top w:val="single" w:color="auto" w:sz="4" w:space="0"/>
                    <w:left w:val="single" w:color="auto" w:sz="4" w:space="0"/>
                    <w:bottom w:val="single" w:color="auto" w:sz="4" w:space="0"/>
                    <w:right w:val="single" w:color="auto" w:sz="4" w:space="0"/>
                  </w:tcBorders>
                </w:tcPr>
                <w:p>
                  <w:pPr>
                    <w:pStyle w:val="91"/>
                  </w:pPr>
                  <w:r>
                    <w:t>O</w:t>
                  </w:r>
                </w:p>
              </w:tc>
              <w:tc>
                <w:tcPr>
                  <w:tcW w:w="554" w:type="pct"/>
                  <w:tcBorders>
                    <w:top w:val="single" w:color="auto" w:sz="4" w:space="0"/>
                    <w:left w:val="single" w:color="auto" w:sz="4" w:space="0"/>
                    <w:bottom w:val="single" w:color="auto" w:sz="4" w:space="0"/>
                    <w:right w:val="single" w:color="auto" w:sz="4" w:space="0"/>
                  </w:tcBorders>
                </w:tcPr>
                <w:p>
                  <w:pPr>
                    <w:pStyle w:val="91"/>
                  </w:pPr>
                </w:p>
              </w:tc>
              <w:tc>
                <w:tcPr>
                  <w:tcW w:w="1149" w:type="pct"/>
                  <w:tcBorders>
                    <w:top w:val="single" w:color="auto" w:sz="4" w:space="0"/>
                    <w:left w:val="single" w:color="auto" w:sz="4" w:space="0"/>
                    <w:bottom w:val="single" w:color="auto" w:sz="4" w:space="0"/>
                    <w:right w:val="single" w:color="auto" w:sz="4" w:space="0"/>
                  </w:tcBorders>
                </w:tcPr>
                <w:p>
                  <w:pPr>
                    <w:pStyle w:val="91"/>
                  </w:pPr>
                  <w:r>
                    <w:t>INTEGER (0..9)</w:t>
                  </w:r>
                </w:p>
              </w:tc>
              <w:tc>
                <w:tcPr>
                  <w:tcW w:w="1481" w:type="pct"/>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sv-SE"/>
              </w:rPr>
            </w:pPr>
            <w:r>
              <w:rPr>
                <w:rFonts w:hint="eastAsia" w:ascii="Calibri" w:hAnsi="Calibri" w:eastAsia="等线"/>
                <w:lang w:val="en-US"/>
              </w:rPr>
              <w:t>To ZTE, we would like to noted the information also is helpful for positioning even though without expected AOD. And we also okay to support expected AOD. So, we don’t want to get into the chicken-egg problem here.</w:t>
            </w:r>
          </w:p>
        </w:tc>
      </w:tr>
    </w:tbl>
    <w:p/>
    <w:p>
      <w:pPr>
        <w:pStyle w:val="5"/>
      </w:pPr>
      <w:r>
        <w:t>Summary of 1</w:t>
      </w:r>
      <w:r>
        <w:rPr>
          <w:vertAlign w:val="superscript"/>
        </w:rPr>
        <w:t>st</w:t>
      </w:r>
      <w:r>
        <w:t xml:space="preserve"> round of comments and updated proposal   </w:t>
      </w:r>
    </w:p>
    <w:p/>
    <w:p>
      <w:pPr>
        <w:pStyle w:val="4"/>
      </w:pPr>
      <w:r>
        <w:t xml:space="preserve"> Aspect #4 Support of additional gnodeB beam information</w:t>
      </w:r>
    </w:p>
    <w:p>
      <w:pPr>
        <w:pStyle w:val="5"/>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val="en-US"/>
              </w:rPr>
            </w:pPr>
            <w:r>
              <w:rPr>
                <w:highlight w:val="green"/>
                <w:lang w:val="en-US"/>
              </w:rPr>
              <w:t>Agreement:</w:t>
            </w:r>
          </w:p>
          <w:p>
            <w:pPr>
              <w:rPr>
                <w:lang w:val="en-US"/>
              </w:rPr>
            </w:pPr>
            <w:r>
              <w:rPr>
                <w:lang w:val="en-US"/>
              </w:rPr>
              <w:t>Regarding support of angle calculation enhancement for DL-AoD:</w:t>
            </w:r>
          </w:p>
          <w:p>
            <w:pPr>
              <w:numPr>
                <w:ilvl w:val="0"/>
                <w:numId w:val="46"/>
              </w:numPr>
              <w:rPr>
                <w:lang w:val="en-US"/>
              </w:rPr>
            </w:pPr>
            <w:r>
              <w:rPr>
                <w:lang w:val="en-US"/>
              </w:rPr>
              <w:t>Support gNB providing the beam/antenna information to the LMF.</w:t>
            </w:r>
          </w:p>
          <w:p>
            <w:pPr>
              <w:numPr>
                <w:ilvl w:val="1"/>
                <w:numId w:val="46"/>
              </w:numPr>
              <w:rPr>
                <w:lang w:val="en-US"/>
              </w:rPr>
            </w:pPr>
            <w:r>
              <w:rPr>
                <w:lang w:val="en-US"/>
              </w:rPr>
              <w:t>The gNB beam/antenna information can be provided to the UE for UE-based DL-AoD</w:t>
            </w:r>
          </w:p>
          <w:p>
            <w:pPr>
              <w:numPr>
                <w:ilvl w:val="1"/>
                <w:numId w:val="46"/>
              </w:numPr>
              <w:rPr>
                <w:lang w:val="en-US"/>
              </w:rPr>
            </w:pPr>
            <w:r>
              <w:rPr>
                <w:lang w:val="en-US"/>
              </w:rPr>
              <w:t>FFS: the details of contents of the beam/antenna information</w:t>
            </w:r>
          </w:p>
          <w:p>
            <w:pPr>
              <w:numPr>
                <w:ilvl w:val="1"/>
                <w:numId w:val="46"/>
              </w:numPr>
              <w:rPr>
                <w:lang w:val="en-US"/>
              </w:rPr>
            </w:pPr>
            <w:r>
              <w:rPr>
                <w:lang w:val="en-US"/>
              </w:rPr>
              <w:t>FFS: the details of how to provide the beam/antenna information.</w:t>
            </w:r>
          </w:p>
          <w:p>
            <w:pPr>
              <w:numPr>
                <w:ilvl w:val="1"/>
                <w:numId w:val="46"/>
              </w:numPr>
              <w:rPr>
                <w:lang w:val="en-US"/>
              </w:rPr>
            </w:pPr>
            <w:r>
              <w:rPr>
                <w:lang w:val="en-US"/>
              </w:rPr>
              <w:t>Note: The antenna information is related to reducing the overhead of beam information</w:t>
            </w:r>
          </w:p>
          <w:p>
            <w:pPr>
              <w:numPr>
                <w:ilvl w:val="0"/>
                <w:numId w:val="46"/>
              </w:numPr>
              <w:rPr>
                <w:lang w:val="en-US"/>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Source</w:t>
            </w:r>
          </w:p>
        </w:tc>
        <w:tc>
          <w:tcPr>
            <w:tcW w:w="864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_Ref68775728 \r \h  \* MERGEFORMAT </w:instrText>
            </w:r>
            <w:r>
              <w:rPr>
                <w:lang w:val="de-DE"/>
              </w:rPr>
              <w:fldChar w:fldCharType="separate"/>
            </w:r>
            <w:r>
              <w:rPr>
                <w:rFonts w:eastAsia="Calibri"/>
                <w:lang w:val="en-US"/>
              </w:rPr>
              <w:t>[2]</w:t>
            </w:r>
            <w:r>
              <w:rPr>
                <w:lang w:val="de-DE"/>
              </w:rPr>
              <w:fldChar w:fldCharType="end"/>
            </w:r>
          </w:p>
        </w:tc>
        <w:tc>
          <w:tcPr>
            <w:tcW w:w="8641" w:type="dxa"/>
            <w:shd w:val="clear" w:color="auto" w:fill="auto"/>
          </w:tcPr>
          <w:p>
            <w:pPr>
              <w:pStyle w:val="196"/>
              <w:numPr>
                <w:ilvl w:val="0"/>
                <w:numId w:val="0"/>
              </w:numPr>
              <w:spacing w:after="180"/>
              <w:rPr>
                <w:b/>
                <w:i/>
                <w:lang w:val="en-US"/>
              </w:rPr>
            </w:pPr>
            <w:commentRangeStart w:id="0"/>
            <w:r>
              <w:rPr>
                <w:b/>
                <w:i/>
                <w:lang w:val="en-US"/>
              </w:rPr>
              <w:t>Proposal 5</w:t>
            </w:r>
            <w:commentRangeEnd w:id="0"/>
            <w:r>
              <w:rPr>
                <w:rStyle w:val="73"/>
                <w:lang w:val="de-DE"/>
              </w:rPr>
              <w:commentReference w:id="0"/>
            </w:r>
            <w:r>
              <w:rPr>
                <w:b/>
                <w:i/>
                <w:lang w:val="en-US"/>
              </w:rPr>
              <w:t>:  For reporting gNB beam/antenna information, support the following elements</w:t>
            </w:r>
          </w:p>
          <w:p>
            <w:pPr>
              <w:pStyle w:val="196"/>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rFonts w:eastAsia="Calibri"/>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_Ref72147426 \r \h  \* MERGEFORMAT </w:instrText>
            </w:r>
            <w:r>
              <w:rPr>
                <w:lang w:val="de-DE"/>
              </w:rPr>
              <w:fldChar w:fldCharType="separate"/>
            </w:r>
            <w:r>
              <w:rPr>
                <w:rFonts w:eastAsia="Calibri"/>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4" w:name="_Hlk71366720"/>
            <w:r>
              <w:rPr>
                <w:b/>
                <w:bCs/>
                <w:sz w:val="20"/>
                <w:szCs w:val="20"/>
                <w:lang w:val="de-DE"/>
              </w:rPr>
              <w:t>Proposal 1:</w:t>
            </w:r>
          </w:p>
          <w:p>
            <w:pPr>
              <w:pStyle w:val="15"/>
              <w:numPr>
                <w:ilvl w:val="0"/>
                <w:numId w:val="47"/>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7"/>
              </w:numPr>
              <w:spacing w:line="260" w:lineRule="exact"/>
              <w:rPr>
                <w:b/>
                <w:i/>
                <w:sz w:val="20"/>
                <w:szCs w:val="20"/>
                <w:lang w:val="en-US"/>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7"/>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7"/>
              </w:numPr>
              <w:spacing w:line="260" w:lineRule="exact"/>
              <w:rPr>
                <w:b/>
                <w:i/>
                <w:sz w:val="20"/>
                <w:szCs w:val="20"/>
                <w:lang w:val="en-US"/>
              </w:rPr>
            </w:pPr>
            <w:r>
              <w:rPr>
                <w:b/>
                <w:i/>
                <w:sz w:val="20"/>
                <w:szCs w:val="20"/>
                <w:lang w:val="en-US"/>
              </w:rPr>
              <w:t>(optionally)Antenna pattern, such as omnidirectional or directional</w:t>
            </w:r>
          </w:p>
          <w:bookmarkEnd w:id="24"/>
          <w:p>
            <w:pPr>
              <w:pStyle w:val="15"/>
              <w:spacing w:line="260" w:lineRule="exact"/>
              <w:rPr>
                <w:b/>
                <w:bCs/>
                <w:sz w:val="20"/>
                <w:szCs w:val="20"/>
                <w:lang w:val="de-DE"/>
              </w:rPr>
            </w:pPr>
            <w:bookmarkStart w:id="25" w:name="_Hlk71366731"/>
            <w:r>
              <w:rPr>
                <w:b/>
                <w:bCs/>
                <w:sz w:val="20"/>
                <w:szCs w:val="20"/>
                <w:lang w:val="de-DE"/>
              </w:rPr>
              <w:t>Proposal 2</w:t>
            </w:r>
          </w:p>
          <w:p>
            <w:pPr>
              <w:pStyle w:val="15"/>
              <w:numPr>
                <w:ilvl w:val="0"/>
                <w:numId w:val="47"/>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7"/>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7"/>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7"/>
              </w:numPr>
              <w:spacing w:line="260" w:lineRule="exact"/>
              <w:rPr>
                <w:b/>
                <w:i/>
                <w:sz w:val="20"/>
                <w:szCs w:val="20"/>
                <w:lang w:val="en-US"/>
              </w:rPr>
            </w:pPr>
            <w:r>
              <w:rPr>
                <w:b/>
                <w:i/>
                <w:sz w:val="20"/>
                <w:szCs w:val="20"/>
                <w:lang w:val="en-US"/>
              </w:rPr>
              <w:t>Option 3: The parameters of the approximate function which is used to represent the beam response of the PRS resource.</w:t>
            </w:r>
          </w:p>
          <w:bookmarkEnd w:id="25"/>
          <w:p>
            <w:pPr>
              <w:pStyle w:val="15"/>
              <w:spacing w:line="260" w:lineRule="exact"/>
              <w:rPr>
                <w:b/>
                <w:bCs/>
                <w:sz w:val="20"/>
                <w:szCs w:val="20"/>
                <w:lang w:val="de-DE"/>
              </w:rPr>
            </w:pPr>
            <w:r>
              <w:rPr>
                <w:b/>
                <w:bCs/>
                <w:sz w:val="20"/>
                <w:szCs w:val="20"/>
                <w:lang w:val="de-DE"/>
              </w:rPr>
              <w:t>Proposal 3</w:t>
            </w:r>
          </w:p>
          <w:p>
            <w:pPr>
              <w:pStyle w:val="15"/>
              <w:numPr>
                <w:ilvl w:val="0"/>
                <w:numId w:val="47"/>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eastAsia="Calibri" w:cs="Times New Roman"/>
                <w:b/>
                <w: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_Ref68781317 \r \h  \* MERGEFORMAT </w:instrText>
            </w:r>
            <w:r>
              <w:rPr>
                <w:lang w:val="de-DE"/>
              </w:rPr>
              <w:fldChar w:fldCharType="separate"/>
            </w:r>
            <w:r>
              <w:rPr>
                <w:rFonts w:eastAsia="Calibri"/>
                <w:lang w:val="en-US"/>
              </w:rPr>
              <w:t>[4]</w:t>
            </w:r>
            <w:r>
              <w:rPr>
                <w:lang w:val="de-DE"/>
              </w:rPr>
              <w:fldChar w:fldCharType="end"/>
            </w:r>
          </w:p>
          <w:p>
            <w:pPr>
              <w:jc w:val="center"/>
              <w:rPr>
                <w:rFonts w:eastAsia="Calibri"/>
                <w:lang w:val="en-US"/>
              </w:rPr>
            </w:pPr>
          </w:p>
        </w:tc>
        <w:tc>
          <w:tcPr>
            <w:tcW w:w="8641" w:type="dxa"/>
            <w:shd w:val="clear" w:color="auto" w:fill="auto"/>
          </w:tcPr>
          <w:p>
            <w:pPr>
              <w:rPr>
                <w:lang w:val="en-GB"/>
              </w:rPr>
            </w:pPr>
          </w:p>
          <w:p>
            <w:pPr>
              <w:tabs>
                <w:tab w:val="left" w:pos="720"/>
              </w:tabs>
              <w:rPr>
                <w:b/>
                <w:i/>
                <w:lang w:val="en-US"/>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Pr>
                <w:rFonts w:hint="eastAsia"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de-DE" w:eastAsia="zh-CN"/>
              </w:rPr>
            </w:pPr>
            <w:r>
              <w:rPr>
                <w:rFonts w:hint="eastAsia" w:ascii="Times New Roman" w:hAnsi="Times New Roman" w:cs="Times New Roman"/>
                <w:b/>
                <w:i/>
                <w:sz w:val="20"/>
                <w:szCs w:val="20"/>
                <w:lang w:val="de-DE" w:eastAsia="zh-CN"/>
              </w:rPr>
              <w:t>Analog beamforming vector.</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Pr>
                <w:rFonts w:hint="eastAsia" w:ascii="Times New Roman" w:hAnsi="Times New Roman" w:cs="Times New Roman"/>
                <w:b/>
                <w:i/>
                <w:sz w:val="20"/>
                <w:szCs w:val="20"/>
                <w:lang w:val="en-US" w:eastAsia="zh-CN"/>
              </w:rPr>
              <w:t>Digital beamforming vector, such as codebook used for precoding.</w:t>
            </w:r>
          </w:p>
          <w:p>
            <w:pPr>
              <w:rPr>
                <w:rFonts w:eastAsia="Calibri"/>
                <w:lang w:val="en-US"/>
              </w:rPr>
            </w:pPr>
          </w:p>
          <w:p>
            <w:pPr>
              <w:tabs>
                <w:tab w:val="left" w:pos="720"/>
              </w:tabs>
              <w:rPr>
                <w:b/>
                <w:i/>
                <w:lang w:val="en-US"/>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for all RF channels, or 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of 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and gain</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RF channels and specific RF channels</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Pr>
                <w:rFonts w:hint="eastAsia" w:ascii="Times New Roman" w:hAnsi="Times New Roman" w:cs="Times New Roman"/>
                <w:b/>
                <w:i/>
                <w:sz w:val="20"/>
                <w:szCs w:val="20"/>
                <w:lang w:val="en-US" w:eastAsia="zh-CN"/>
              </w:rPr>
              <w:t>Timing delay</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from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time delay </w:t>
            </w:r>
            <w:r>
              <w:rPr>
                <w:rFonts w:hint="eastAsia" w:ascii="Times New Roman" w:hAnsi="Times New Roman" w:cs="Times New Roman"/>
                <w:b/>
                <w:i/>
                <w:sz w:val="20"/>
                <w:szCs w:val="20"/>
                <w:lang w:val="en-US" w:eastAsia="zh-CN"/>
              </w:rPr>
              <w:t>difference</w:t>
            </w:r>
            <w:r>
              <w:rPr>
                <w:rFonts w:ascii="Times New Roman" w:hAnsi="Times New Roman" w:cs="Times New Roman"/>
                <w:b/>
                <w:i/>
                <w:sz w:val="20"/>
                <w:szCs w:val="20"/>
                <w:lang w:val="en-US" w:eastAsia="zh-CN"/>
              </w:rPr>
              <w:t>s</w:t>
            </w:r>
            <w:r>
              <w:rPr>
                <w:rFonts w:hint="eastAsia" w:ascii="Times New Roman" w:hAnsi="Times New Roman" w:cs="Times New Roman"/>
                <w:b/>
                <w:i/>
                <w:sz w:val="20"/>
                <w:szCs w:val="20"/>
                <w:lang w:val="en-US" w:eastAsia="zh-CN"/>
              </w:rPr>
              <w:t xml:space="preserve"> 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p>
          <w:p>
            <w:pPr>
              <w:pStyle w:val="188"/>
              <w:numPr>
                <w:ilvl w:val="0"/>
                <w:numId w:val="48"/>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Pr>
                <w:rFonts w:hint="eastAsia" w:ascii="Times New Roman" w:hAnsi="Times New Roman" w:cs="Times New Roman"/>
                <w:b/>
                <w:i/>
                <w:sz w:val="20"/>
                <w:szCs w:val="20"/>
                <w:lang w:val="en-US" w:eastAsia="zh-CN"/>
              </w:rPr>
              <w:t xml:space="preserve">Gain of </w:t>
            </w:r>
            <w:r>
              <w:rPr>
                <w:rFonts w:ascii="Times New Roman" w:hAnsi="Times New Roman" w:cs="Times New Roman"/>
                <w:b/>
                <w:i/>
                <w:sz w:val="20"/>
                <w:szCs w:val="20"/>
                <w:lang w:val="en-US" w:eastAsia="zh-CN"/>
              </w:rPr>
              <w:t>all</w:t>
            </w:r>
            <w:r>
              <w:rPr>
                <w:rFonts w:hint="eastAsia" w:ascii="Times New Roman" w:hAnsi="Times New Roman" w:cs="Times New Roman"/>
                <w:b/>
                <w:i/>
                <w:sz w:val="20"/>
                <w:szCs w:val="20"/>
                <w:lang w:val="en-US" w:eastAsia="zh-CN"/>
              </w:rPr>
              <w:t xml:space="preserve"> antenna element</w:t>
            </w:r>
            <w:r>
              <w:rPr>
                <w:rFonts w:ascii="Times New Roman" w:hAnsi="Times New Roman" w:cs="Times New Roman"/>
                <w:b/>
                <w:i/>
                <w:sz w:val="20"/>
                <w:szCs w:val="20"/>
                <w:lang w:val="en-US" w:eastAsia="zh-CN"/>
              </w:rPr>
              <w:t xml:space="preserve">s, or </w:t>
            </w:r>
            <w:r>
              <w:rPr>
                <w:rFonts w:hint="eastAsia" w:ascii="Times New Roman" w:hAnsi="Times New Roman" w:cs="Times New Roman"/>
                <w:b/>
                <w:i/>
                <w:sz w:val="20"/>
                <w:szCs w:val="20"/>
                <w:lang w:val="en-US" w:eastAsia="zh-CN"/>
              </w:rPr>
              <w:t>gain difference</w:t>
            </w:r>
            <w:r>
              <w:rPr>
                <w:rFonts w:ascii="Times New Roman" w:hAnsi="Times New Roman" w:cs="Times New Roman"/>
                <w:b/>
                <w:i/>
                <w:sz w:val="20"/>
                <w:szCs w:val="20"/>
                <w:lang w:val="en-US" w:eastAsia="zh-CN"/>
              </w:rPr>
              <w:t xml:space="preserve"> </w:t>
            </w:r>
            <w:r>
              <w:rPr>
                <w:rFonts w:hint="eastAsia" w:ascii="Times New Roman" w:hAnsi="Times New Roman" w:cs="Times New Roman"/>
                <w:b/>
                <w:i/>
                <w:sz w:val="20"/>
                <w:szCs w:val="20"/>
                <w:lang w:val="en-US" w:eastAsia="zh-CN"/>
              </w:rPr>
              <w:t xml:space="preserve">between all antenna elements and </w:t>
            </w:r>
            <w:r>
              <w:rPr>
                <w:rFonts w:ascii="Times New Roman" w:hAnsi="Times New Roman" w:cs="Times New Roman"/>
                <w:b/>
                <w:i/>
                <w:sz w:val="20"/>
                <w:szCs w:val="20"/>
                <w:lang w:val="en-US" w:eastAsia="zh-CN"/>
              </w:rPr>
              <w:t xml:space="preserve">a </w:t>
            </w:r>
            <w:r>
              <w:rPr>
                <w:rFonts w:hint="eastAsia" w:ascii="Times New Roman" w:hAnsi="Times New Roman" w:cs="Times New Roman"/>
                <w:b/>
                <w:i/>
                <w:sz w:val="20"/>
                <w:szCs w:val="20"/>
                <w:lang w:val="en-US" w:eastAsia="zh-CN"/>
              </w:rPr>
              <w:t>specific antenna element</w:t>
            </w:r>
            <w:r>
              <w:rPr>
                <w:rFonts w:ascii="Times New Roman" w:hAnsi="Times New Roman" w:cs="Times New Roman"/>
                <w:b/>
                <w:i/>
                <w:sz w:val="20"/>
                <w:szCs w:val="20"/>
                <w:lang w:val="en-US" w:eastAsia="zh-CN"/>
              </w:rPr>
              <w: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_Ref72150110 \r \h  \* MERGEFORMAT </w:instrText>
            </w:r>
            <w:r>
              <w:rPr>
                <w:lang w:val="de-DE"/>
              </w:rPr>
              <w:fldChar w:fldCharType="separate"/>
            </w:r>
            <w:r>
              <w:rPr>
                <w:rFonts w:eastAsia="Calibri"/>
                <w:lang w:val="en-US"/>
              </w:rPr>
              <w:t>[7]</w:t>
            </w:r>
            <w:r>
              <w:rPr>
                <w:lang w:val="de-DE"/>
              </w:rPr>
              <w:fldChar w:fldCharType="end"/>
            </w:r>
          </w:p>
        </w:tc>
        <w:tc>
          <w:tcPr>
            <w:tcW w:w="8641" w:type="dxa"/>
            <w:shd w:val="clear" w:color="auto" w:fill="auto"/>
          </w:tcPr>
          <w:p>
            <w:pPr>
              <w:rPr>
                <w:b/>
                <w:bCs/>
                <w:i/>
                <w:iCs/>
                <w:lang w:val="en-US"/>
              </w:rPr>
            </w:pPr>
            <w:r>
              <w:rPr>
                <w:b/>
                <w:bCs/>
                <w:i/>
                <w:iCs/>
                <w:lang w:val="en-US"/>
              </w:rPr>
              <w:t xml:space="preserve">Proposal 1: Study further at least the following options for beam/antenna information delivery: </w:t>
            </w:r>
          </w:p>
          <w:p>
            <w:pPr>
              <w:pStyle w:val="146"/>
              <w:numPr>
                <w:ilvl w:val="0"/>
                <w:numId w:val="49"/>
              </w:numPr>
              <w:contextualSpacing/>
              <w:rPr>
                <w:b/>
                <w:bCs/>
                <w:i/>
                <w:iCs/>
                <w:lang w:val="en-US"/>
              </w:rPr>
            </w:pPr>
            <w:r>
              <w:rPr>
                <w:b/>
                <w:bCs/>
                <w:i/>
                <w:iCs/>
                <w:lang w:val="en-US"/>
              </w:rPr>
              <w:t>Quantized version of the relative Power/Angle response per PRS resource per TRP</w:t>
            </w:r>
          </w:p>
          <w:p>
            <w:pPr>
              <w:pStyle w:val="146"/>
              <w:numPr>
                <w:ilvl w:val="1"/>
                <w:numId w:val="49"/>
              </w:numPr>
              <w:contextualSpacing/>
              <w:rPr>
                <w:b/>
                <w:bCs/>
                <w:i/>
                <w:iCs/>
                <w:lang w:val="en-US"/>
              </w:rPr>
            </w:pPr>
            <w:r>
              <w:rPr>
                <w:b/>
                <w:bCs/>
                <w:i/>
                <w:iCs/>
                <w:lang w:val="en-US"/>
              </w:rPr>
              <w:t xml:space="preserve">Opt. 1: Provide the angle(s) that a relative RSRP level is valid, from a pre-defined/configured RSRP-level set. </w:t>
            </w:r>
          </w:p>
          <w:p>
            <w:pPr>
              <w:pStyle w:val="146"/>
              <w:numPr>
                <w:ilvl w:val="2"/>
                <w:numId w:val="49"/>
              </w:numPr>
              <w:contextualSpacing/>
              <w:rPr>
                <w:b/>
                <w:bCs/>
                <w:i/>
                <w:iCs/>
                <w:lang w:val="en-US"/>
              </w:rPr>
            </w:pPr>
            <w:r>
              <w:rPr>
                <w:b/>
                <w:bCs/>
                <w:i/>
                <w:iCs/>
                <w:lang w:val="en-US"/>
              </w:rPr>
              <w:t>E.g., Angles for the [-1, -3, -5, -6, -9, -10, -12, -15, -20] dB levels</w:t>
            </w:r>
          </w:p>
          <w:p>
            <w:pPr>
              <w:pStyle w:val="146"/>
              <w:numPr>
                <w:ilvl w:val="1"/>
                <w:numId w:val="49"/>
              </w:numPr>
              <w:contextualSpacing/>
              <w:rPr>
                <w:b/>
                <w:bCs/>
                <w:i/>
                <w:iCs/>
                <w:lang w:val="en-US"/>
              </w:rPr>
            </w:pPr>
            <w:r>
              <w:rPr>
                <w:b/>
                <w:bCs/>
                <w:i/>
                <w:iCs/>
                <w:lang w:val="en-US"/>
              </w:rPr>
              <w:t>Opt. 2: Provide the relative RSRP for multiple tuples of (AoD, ZoD)</w:t>
            </w:r>
          </w:p>
          <w:p>
            <w:pPr>
              <w:pStyle w:val="146"/>
              <w:numPr>
                <w:ilvl w:val="0"/>
                <w:numId w:val="49"/>
              </w:numPr>
              <w:contextualSpacing/>
              <w:rPr>
                <w:b/>
                <w:bCs/>
                <w:i/>
                <w:iCs/>
                <w:lang w:val="en-US"/>
              </w:rPr>
            </w:pPr>
            <w:r>
              <w:rPr>
                <w:b/>
                <w:bCs/>
                <w:i/>
                <w:iCs/>
                <w:lang w:val="en-US"/>
              </w:rPr>
              <w:t>Consider Delta Signaling to reduce further the overhead</w:t>
            </w:r>
          </w:p>
          <w:p>
            <w:pPr>
              <w:rPr>
                <w:b/>
                <w:i/>
                <w:lang w:val="en-US"/>
              </w:rPr>
            </w:pPr>
          </w:p>
          <w:p>
            <w:pPr>
              <w:rPr>
                <w:b/>
                <w:bCs/>
                <w:i/>
                <w:iCs/>
                <w:lang w:val="en-US"/>
              </w:rPr>
            </w:pPr>
            <w:r>
              <w:rPr>
                <w:b/>
                <w:bCs/>
                <w:i/>
                <w:iCs/>
                <w:lang w:val="en-US"/>
              </w:rPr>
              <w:t xml:space="preserve">Proposal 2: Introduce more than one levels of quantization for the beam information to trade-off beam representation accuracy and overhead. </w:t>
            </w:r>
          </w:p>
          <w:p>
            <w:pPr>
              <w:rPr>
                <w:b/>
                <w:bCs/>
                <w:i/>
                <w:iCs/>
                <w:lang w:val="en-US"/>
              </w:rPr>
            </w:pPr>
          </w:p>
          <w:p>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_Ref68785989 \r \h  \* MERGEFORMAT </w:instrText>
            </w:r>
            <w:r>
              <w:rPr>
                <w:lang w:val="de-DE"/>
              </w:rPr>
              <w:fldChar w:fldCharType="separate"/>
            </w:r>
            <w:r>
              <w:rPr>
                <w:rFonts w:eastAsia="Calibri"/>
                <w:lang w:val="en-US"/>
              </w:rPr>
              <w:t>[8]</w:t>
            </w:r>
            <w:r>
              <w:rPr>
                <w:lang w:val="de-DE"/>
              </w:rPr>
              <w:fldChar w:fldCharType="end"/>
            </w:r>
          </w:p>
        </w:tc>
        <w:tc>
          <w:tcPr>
            <w:tcW w:w="8641" w:type="dxa"/>
            <w:shd w:val="clear" w:color="auto" w:fill="auto"/>
          </w:tcPr>
          <w:p>
            <w:pPr>
              <w:pStyle w:val="233"/>
              <w:rPr>
                <w:b/>
                <w:bCs/>
                <w:i/>
                <w:iCs/>
                <w:lang w:val="en-US"/>
              </w:rPr>
            </w:pPr>
            <w:bookmarkStart w:id="26" w:name="_Hlk71485695"/>
            <w:r>
              <w:rPr>
                <w:b/>
                <w:bCs/>
                <w:i/>
                <w:iCs/>
                <w:lang w:val="en-US"/>
              </w:rPr>
              <w:t>Proposal 1: The TRP can provide the following information to the LMF:</w:t>
            </w:r>
          </w:p>
          <w:p>
            <w:pPr>
              <w:pStyle w:val="233"/>
              <w:numPr>
                <w:ilvl w:val="0"/>
                <w:numId w:val="50"/>
              </w:numPr>
              <w:rPr>
                <w:b/>
                <w:bCs/>
                <w:i/>
                <w:iCs/>
                <w:lang w:val="en-US"/>
              </w:rPr>
            </w:pPr>
            <w:r>
              <w:rPr>
                <w:b/>
                <w:bCs/>
                <w:i/>
                <w:iCs/>
                <w:lang w:val="en-US"/>
              </w:rPr>
              <w:t>The antenna modeling of the TRP Tx antennas, e.g., including the number antennas, antenna spacing.</w:t>
            </w:r>
          </w:p>
          <w:p>
            <w:pPr>
              <w:pStyle w:val="233"/>
              <w:numPr>
                <w:ilvl w:val="0"/>
                <w:numId w:val="50"/>
              </w:numPr>
              <w:rPr>
                <w:b/>
                <w:bCs/>
                <w:i/>
                <w:iCs/>
                <w:lang w:val="en-US"/>
              </w:rPr>
            </w:pPr>
            <w:r>
              <w:rPr>
                <w:b/>
                <w:bCs/>
                <w:i/>
                <w:iCs/>
                <w:lang w:val="en-US"/>
              </w:rPr>
              <w:t>The precoder applied on each DL PRS resource.</w:t>
            </w:r>
          </w:p>
          <w:bookmarkEnd w:id="26"/>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_Ref72154312 \r \h  \* MERGEFORMAT </w:instrText>
            </w:r>
            <w:r>
              <w:rPr>
                <w:lang w:val="de-DE"/>
              </w:rPr>
              <w:fldChar w:fldCharType="separate"/>
            </w:r>
            <w:r>
              <w:rPr>
                <w:rFonts w:eastAsia="Calibri"/>
                <w:lang w:val="en-US"/>
              </w:rPr>
              <w:t>[11]</w:t>
            </w:r>
            <w:r>
              <w:rPr>
                <w:lang w:val="de-DE"/>
              </w:rPr>
              <w:fldChar w:fldCharType="end"/>
            </w:r>
          </w:p>
        </w:tc>
        <w:tc>
          <w:tcPr>
            <w:tcW w:w="8641" w:type="dxa"/>
            <w:shd w:val="clear" w:color="auto" w:fill="auto"/>
          </w:tcPr>
          <w:p>
            <w:pPr>
              <w:rPr>
                <w:rFonts w:ascii="Times New Roman" w:hAnsi="Times New Roman" w:cs="Times New Roman"/>
                <w:b/>
                <w:bCs/>
                <w:szCs w:val="21"/>
                <w:lang w:val="en-US"/>
              </w:rPr>
            </w:pPr>
            <w:r>
              <w:rPr>
                <w:rFonts w:ascii="Times New Roman" w:hAnsi="Times New Roman" w:cs="Times New Roman"/>
                <w:b/>
                <w:bCs/>
                <w:szCs w:val="21"/>
                <w:lang w:val="en-US"/>
              </w:rPr>
              <w:t>Proposal 1: Beam/antenna information can be provided via LPP ProvideAssistanceData</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_Ref68788316 \r \h  \* MERGEFORMAT </w:instrText>
            </w:r>
            <w:r>
              <w:rPr>
                <w:lang w:val="de-DE"/>
              </w:rPr>
              <w:fldChar w:fldCharType="separate"/>
            </w:r>
            <w:r>
              <w:rPr>
                <w:rFonts w:eastAsia="Calibri"/>
                <w:lang w:val="en-US"/>
              </w:rPr>
              <w:t>[12]</w:t>
            </w:r>
            <w:r>
              <w:rPr>
                <w:lang w:val="de-DE"/>
              </w:rPr>
              <w:fldChar w:fldCharType="end"/>
            </w:r>
          </w:p>
        </w:tc>
        <w:tc>
          <w:tcPr>
            <w:tcW w:w="8641" w:type="dxa"/>
            <w:shd w:val="clear" w:color="auto" w:fill="auto"/>
          </w:tcPr>
          <w:p>
            <w:pPr>
              <w:pStyle w:val="188"/>
              <w:overflowPunct w:val="0"/>
              <w:autoSpaceDE w:val="0"/>
              <w:autoSpaceDN w:val="0"/>
              <w:adjustRightInd w:val="0"/>
              <w:spacing w:after="120" w:line="240" w:lineRule="auto"/>
              <w:textAlignment w:val="baseline"/>
              <w:rPr>
                <w:b/>
                <w:bCs/>
                <w:lang w:val="de-DE"/>
              </w:rPr>
            </w:pPr>
            <w:r>
              <w:rPr>
                <w:b/>
                <w:bCs/>
                <w:lang w:val="de-DE"/>
              </w:rPr>
              <w:t>Proposal 1</w:t>
            </w:r>
          </w:p>
          <w:p>
            <w:pPr>
              <w:pStyle w:val="188"/>
              <w:numPr>
                <w:ilvl w:val="1"/>
                <w:numId w:val="51"/>
              </w:numPr>
              <w:overflowPunct w:val="0"/>
              <w:autoSpaceDE w:val="0"/>
              <w:autoSpaceDN w:val="0"/>
              <w:adjustRightInd w:val="0"/>
              <w:spacing w:after="120" w:line="240" w:lineRule="auto"/>
              <w:rPr>
                <w:lang w:val="en-US"/>
              </w:rPr>
            </w:pPr>
            <w:r>
              <w:rPr>
                <w:b/>
                <w:bCs/>
                <w:lang w:val="en-US"/>
              </w:rPr>
              <w:t>Support enhancement for the DL-AOD estimation in Rel-17 by utilizing the gNB/TRP beam/antenna information, including the following:</w:t>
            </w:r>
          </w:p>
          <w:p>
            <w:pPr>
              <w:pStyle w:val="188"/>
              <w:numPr>
                <w:ilvl w:val="2"/>
                <w:numId w:val="51"/>
              </w:numPr>
              <w:overflowPunct w:val="0"/>
              <w:autoSpaceDE w:val="0"/>
              <w:autoSpaceDN w:val="0"/>
              <w:adjustRightInd w:val="0"/>
              <w:spacing w:after="120" w:line="240" w:lineRule="auto"/>
              <w:rPr>
                <w:lang w:val="de-DE"/>
              </w:rPr>
            </w:pPr>
            <w:r>
              <w:rPr>
                <w:b/>
                <w:bCs/>
                <w:lang w:val="de-DE"/>
              </w:rPr>
              <w:t>gNB/TRP beam information:</w:t>
            </w:r>
          </w:p>
          <w:p>
            <w:pPr>
              <w:pStyle w:val="188"/>
              <w:numPr>
                <w:ilvl w:val="3"/>
                <w:numId w:val="51"/>
              </w:numPr>
              <w:overflowPunct w:val="0"/>
              <w:autoSpaceDE w:val="0"/>
              <w:autoSpaceDN w:val="0"/>
              <w:adjustRightInd w:val="0"/>
              <w:spacing w:after="120" w:line="240" w:lineRule="auto"/>
              <w:rPr>
                <w:b/>
                <w:bCs/>
                <w:lang w:val="en-US"/>
              </w:rPr>
            </w:pPr>
            <w:r>
              <w:rPr>
                <w:b/>
                <w:bCs/>
                <w:lang w:val="en-US"/>
              </w:rPr>
              <w:t>Phase value per antenna element / port</w:t>
            </w:r>
          </w:p>
          <w:p>
            <w:pPr>
              <w:pStyle w:val="188"/>
              <w:numPr>
                <w:ilvl w:val="3"/>
                <w:numId w:val="51"/>
              </w:numPr>
              <w:overflowPunct w:val="0"/>
              <w:autoSpaceDE w:val="0"/>
              <w:autoSpaceDN w:val="0"/>
              <w:adjustRightInd w:val="0"/>
              <w:spacing w:after="120" w:line="240" w:lineRule="auto"/>
              <w:rPr>
                <w:b/>
                <w:bCs/>
                <w:lang w:val="en-US"/>
              </w:rPr>
            </w:pPr>
            <w:r>
              <w:rPr>
                <w:b/>
                <w:bCs/>
                <w:lang w:val="en-US"/>
              </w:rPr>
              <w:t>Amplitude value per antenna element (optionally)</w:t>
            </w:r>
          </w:p>
          <w:p>
            <w:pPr>
              <w:pStyle w:val="188"/>
              <w:numPr>
                <w:ilvl w:val="2"/>
                <w:numId w:val="51"/>
              </w:numPr>
              <w:overflowPunct w:val="0"/>
              <w:autoSpaceDE w:val="0"/>
              <w:autoSpaceDN w:val="0"/>
              <w:adjustRightInd w:val="0"/>
              <w:spacing w:after="120" w:line="240" w:lineRule="auto"/>
              <w:rPr>
                <w:b/>
                <w:bCs/>
                <w:lang w:val="en-US"/>
              </w:rPr>
            </w:pPr>
            <w:r>
              <w:rPr>
                <w:b/>
                <w:bCs/>
                <w:lang w:val="en-US"/>
              </w:rPr>
              <w:t>gNB/TRP antenna array information:</w:t>
            </w:r>
          </w:p>
          <w:p>
            <w:pPr>
              <w:pStyle w:val="188"/>
              <w:numPr>
                <w:ilvl w:val="3"/>
                <w:numId w:val="51"/>
              </w:numPr>
              <w:overflowPunct w:val="0"/>
              <w:autoSpaceDE w:val="0"/>
              <w:autoSpaceDN w:val="0"/>
              <w:adjustRightInd w:val="0"/>
              <w:spacing w:after="120" w:line="240" w:lineRule="auto"/>
              <w:rPr>
                <w:b/>
                <w:bCs/>
                <w:lang w:val="en-US"/>
              </w:rPr>
            </w:pPr>
            <w:r>
              <w:rPr>
                <w:b/>
                <w:bCs/>
                <w:lang w:val="en-US"/>
              </w:rPr>
              <w:t>Antenna array orientation in space with respect to the global coordinate system (when information is provided to UE)</w:t>
            </w:r>
          </w:p>
          <w:p>
            <w:pPr>
              <w:pStyle w:val="188"/>
              <w:numPr>
                <w:ilvl w:val="3"/>
                <w:numId w:val="51"/>
              </w:numPr>
              <w:overflowPunct w:val="0"/>
              <w:autoSpaceDE w:val="0"/>
              <w:autoSpaceDN w:val="0"/>
              <w:adjustRightInd w:val="0"/>
              <w:spacing w:after="120" w:line="240" w:lineRule="auto"/>
              <w:rPr>
                <w:b/>
                <w:bCs/>
                <w:lang w:val="en-US"/>
              </w:rPr>
            </w:pPr>
            <w:r>
              <w:rPr>
                <w:b/>
                <w:bCs/>
                <w:lang w:val="en-US"/>
              </w:rPr>
              <w:t>Antenna pattern of the single antenna element (optionally)</w:t>
            </w:r>
          </w:p>
          <w:p>
            <w:pPr>
              <w:pStyle w:val="188"/>
              <w:numPr>
                <w:ilvl w:val="3"/>
                <w:numId w:val="51"/>
              </w:numPr>
              <w:overflowPunct w:val="0"/>
              <w:autoSpaceDE w:val="0"/>
              <w:autoSpaceDN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pPr>
              <w:pStyle w:val="188"/>
              <w:numPr>
                <w:ilvl w:val="3"/>
                <w:numId w:val="51"/>
              </w:numPr>
              <w:overflowPunct w:val="0"/>
              <w:autoSpaceDE w:val="0"/>
              <w:autoSpaceDN w:val="0"/>
              <w:adjustRightInd w:val="0"/>
              <w:spacing w:after="120" w:line="240" w:lineRule="auto"/>
              <w:rPr>
                <w:b/>
                <w:bCs/>
                <w:lang w:val="en-US"/>
              </w:rPr>
            </w:pPr>
            <w:r>
              <w:rPr>
                <w:b/>
                <w:bCs/>
                <w:lang w:val="en-US"/>
              </w:rPr>
              <w:t>In general case, provide the coordinates of the antenna array elements in the local coordinate system</w:t>
            </w:r>
          </w:p>
          <w:p>
            <w:pPr>
              <w:ind w:firstLine="567"/>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lang w:val="de-DE"/>
              </w:rPr>
              <w:fldChar w:fldCharType="begin"/>
            </w:r>
            <w:r>
              <w:rPr>
                <w:lang w:val="de-DE"/>
              </w:rPr>
              <w:instrText xml:space="preserve"> REF _Ref68790524 \r \h  \* MERGEFORMAT </w:instrText>
            </w:r>
            <w:r>
              <w:rPr>
                <w:lang w:val="de-DE"/>
              </w:rPr>
              <w:fldChar w:fldCharType="separate"/>
            </w:r>
            <w:r>
              <w:rPr>
                <w:rFonts w:eastAsia="Calibri"/>
                <w:lang w:val="en-US"/>
              </w:rPr>
              <w:t>[14]</w:t>
            </w:r>
            <w:r>
              <w:rPr>
                <w:lang w:val="de-DE"/>
              </w:rPr>
              <w:fldChar w:fldCharType="end"/>
            </w:r>
          </w:p>
        </w:tc>
        <w:tc>
          <w:tcPr>
            <w:tcW w:w="8641" w:type="dxa"/>
            <w:shd w:val="clear" w:color="auto" w:fill="auto"/>
          </w:tcPr>
          <w:p>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[17]</w:t>
            </w:r>
          </w:p>
        </w:tc>
        <w:tc>
          <w:tcPr>
            <w:tcW w:w="8641" w:type="dxa"/>
            <w:shd w:val="clear" w:color="auto" w:fill="auto"/>
          </w:tcPr>
          <w:p>
            <w:pPr>
              <w:rPr>
                <w:lang w:val="en-US"/>
              </w:rPr>
            </w:pPr>
            <w:r>
              <w:rPr>
                <w:b/>
                <w:bCs/>
                <w:lang w:val="en-US"/>
              </w:rPr>
              <w:t>Proposal 6</w:t>
            </w:r>
            <w:r>
              <w:rPr>
                <w:lang w:val="en-US"/>
              </w:rPr>
              <w:t xml:space="preserve">: Any additional beam/antenna information reported by the TRP should be optional. </w:t>
            </w:r>
          </w:p>
          <w:p>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en-US"/>
              </w:rPr>
            </w:pPr>
            <w:r>
              <w:rPr>
                <w:b/>
                <w:bCs/>
                <w:lang w:val="en-US"/>
              </w:rPr>
              <w:t>Proposal 8</w:t>
            </w:r>
            <w:r>
              <w:rPr>
                <w:lang w:val="en-US"/>
              </w:rPr>
              <w:t>: Include additional assistance data for UE based positioning, including TRP polarization and geometry.</w:t>
            </w:r>
          </w:p>
          <w:p>
            <w:pPr>
              <w:ind w:left="1418" w:hanging="1417"/>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lang w:val="en-US"/>
              </w:rPr>
            </w:pPr>
            <w:r>
              <w:rPr>
                <w:rFonts w:eastAsia="Calibri"/>
                <w:lang w:val="en-US"/>
              </w:rPr>
              <w:t>[20]</w:t>
            </w:r>
          </w:p>
        </w:tc>
        <w:tc>
          <w:tcPr>
            <w:tcW w:w="8641" w:type="dxa"/>
            <w:shd w:val="clear" w:color="auto" w:fill="auto"/>
          </w:tcPr>
          <w:p>
            <w:pPr>
              <w:ind w:left="1418" w:hanging="1417"/>
              <w:rPr>
                <w:b/>
                <w:bCs/>
                <w:lang w:val="en-US"/>
              </w:rPr>
            </w:pPr>
          </w:p>
          <w:p>
            <w:pPr>
              <w:ind w:left="1418" w:hanging="1417"/>
              <w:rPr>
                <w:b/>
                <w:bCs/>
                <w:lang w:val="en-US"/>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2"/>
              </w:numPr>
              <w:spacing w:before="100" w:beforeAutospacing="1" w:after="100" w:afterAutospacing="1"/>
              <w:rPr>
                <w:b/>
                <w:bCs/>
                <w:lang w:val="en-US"/>
              </w:rPr>
            </w:pPr>
            <w:r>
              <w:rPr>
                <w:b/>
                <w:bCs/>
                <w:lang w:val="en-US"/>
              </w:rPr>
              <w:t>a gain level for the reported main lobe and a the side lobe levels</w:t>
            </w:r>
          </w:p>
          <w:p>
            <w:pPr>
              <w:pStyle w:val="146"/>
              <w:numPr>
                <w:ilvl w:val="0"/>
                <w:numId w:val="52"/>
              </w:numPr>
              <w:spacing w:before="100" w:beforeAutospacing="1" w:after="100" w:afterAutospacing="1"/>
              <w:rPr>
                <w:b/>
                <w:bCs/>
                <w:lang w:val="en-US"/>
              </w:rPr>
            </w:pPr>
            <w:r>
              <w:rPr>
                <w:b/>
                <w:bCs/>
                <w:lang w:val="en-US"/>
              </w:rPr>
              <w:t>a relative gain level a gain level for the reported main lobe and a the side lobe levels</w:t>
            </w:r>
          </w:p>
          <w:p>
            <w:pPr>
              <w:rPr>
                <w:rFonts w:eastAsia="Calibri"/>
                <w:b/>
                <w:bCs/>
                <w:i/>
                <w:iCs/>
                <w:lang w:val="en-US"/>
              </w:rPr>
            </w:pPr>
          </w:p>
        </w:tc>
      </w:tr>
    </w:tbl>
    <w:p>
      <w:pPr>
        <w:pStyle w:val="86"/>
      </w:pPr>
    </w:p>
    <w:p>
      <w:r>
        <w:t>Based on the proposals, the following ca be summarized:</w:t>
      </w:r>
    </w:p>
    <w:p>
      <w:pPr>
        <w:pStyle w:val="146"/>
        <w:numPr>
          <w:ilvl w:val="0"/>
          <w:numId w:val="50"/>
        </w:numPr>
      </w:pPr>
      <w:r>
        <w:t xml:space="preserve"> 6 companies [2][3][4][8][12][14] propose to have the gnodeB report the antenna configuration including the number of elements (vertical and horizontal), antenna spacing, and precoder information</w:t>
      </w:r>
    </w:p>
    <w:p>
      <w:pPr>
        <w:pStyle w:val="146"/>
        <w:numPr>
          <w:ilvl w:val="0"/>
          <w:numId w:val="50"/>
        </w:numPr>
      </w:pPr>
      <w:r>
        <w:t xml:space="preserve">4 companies [3][7][17][20] propose to use a gain/angle table for each PRS resource. In [5] it is proposed to limit the table to the span of the uncertainty window. </w:t>
      </w:r>
    </w:p>
    <w:p>
      <w:pPr>
        <w:pStyle w:val="146"/>
        <w:numPr>
          <w:ilvl w:val="1"/>
          <w:numId w:val="50"/>
        </w:numPr>
      </w:pPr>
      <w:r>
        <w:t xml:space="preserve">In [7], overhead reduction is discussed and it is proposed to link PRSs with equal beam gain tables via their PRS ID. </w:t>
      </w:r>
    </w:p>
    <w:p>
      <w:pPr>
        <w:pStyle w:val="146"/>
        <w:numPr>
          <w:ilvl w:val="0"/>
          <w:numId w:val="50"/>
        </w:numPr>
      </w:pPr>
      <w:r>
        <w:t>In [4], the issue of timing delay is raised. In the FL view, this issue is more suitable to AI 8.5.1</w:t>
      </w:r>
    </w:p>
    <w:p>
      <w:pPr>
        <w:pStyle w:val="146"/>
        <w:numPr>
          <w:ilvl w:val="0"/>
          <w:numId w:val="50"/>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0"/>
        </w:numPr>
        <w:rPr>
          <w:b/>
          <w:bCs/>
        </w:rPr>
      </w:pPr>
      <w:r>
        <w:rPr>
          <w:b/>
          <w:bCs/>
        </w:rPr>
        <w:t xml:space="preserve">Option 1: the gNB  reports the antenna configuration including </w:t>
      </w:r>
    </w:p>
    <w:p>
      <w:pPr>
        <w:pStyle w:val="146"/>
        <w:numPr>
          <w:ilvl w:val="1"/>
          <w:numId w:val="50"/>
        </w:numPr>
        <w:rPr>
          <w:b/>
          <w:bCs/>
        </w:rPr>
      </w:pPr>
      <w:r>
        <w:rPr>
          <w:b/>
          <w:bCs/>
        </w:rPr>
        <w:t xml:space="preserve">the number of antenna elements (vertical and horizontal), </w:t>
      </w:r>
    </w:p>
    <w:p>
      <w:pPr>
        <w:pStyle w:val="146"/>
        <w:numPr>
          <w:ilvl w:val="1"/>
          <w:numId w:val="50"/>
        </w:numPr>
        <w:rPr>
          <w:b/>
          <w:bCs/>
        </w:rPr>
      </w:pPr>
      <w:r>
        <w:rPr>
          <w:b/>
          <w:bCs/>
        </w:rPr>
        <w:t>antenna spacing dh and dv</w:t>
      </w:r>
    </w:p>
    <w:p>
      <w:pPr>
        <w:pStyle w:val="146"/>
        <w:numPr>
          <w:ilvl w:val="1"/>
          <w:numId w:val="50"/>
        </w:numPr>
        <w:rPr>
          <w:b/>
          <w:bCs/>
        </w:rPr>
      </w:pPr>
      <w:r>
        <w:rPr>
          <w:b/>
          <w:bCs/>
        </w:rPr>
        <w:t xml:space="preserve">precoder information </w:t>
      </w:r>
    </w:p>
    <w:p>
      <w:pPr>
        <w:pStyle w:val="146"/>
        <w:numPr>
          <w:ilvl w:val="2"/>
          <w:numId w:val="50"/>
        </w:numPr>
        <w:rPr>
          <w:b/>
          <w:bCs/>
        </w:rPr>
      </w:pPr>
      <w:r>
        <w:rPr>
          <w:b/>
          <w:bCs/>
        </w:rPr>
        <w:t>for DFT-based beams, precoder information is reported with PMI</w:t>
      </w:r>
    </w:p>
    <w:p>
      <w:pPr>
        <w:pStyle w:val="146"/>
        <w:numPr>
          <w:ilvl w:val="2"/>
          <w:numId w:val="50"/>
        </w:numPr>
        <w:rPr>
          <w:b/>
          <w:bCs/>
        </w:rPr>
      </w:pPr>
      <w:r>
        <w:rPr>
          <w:b/>
          <w:bCs/>
        </w:rPr>
        <w:t>FFS for non-DFT beams</w:t>
      </w:r>
    </w:p>
    <w:p>
      <w:pPr>
        <w:pStyle w:val="146"/>
        <w:numPr>
          <w:ilvl w:val="0"/>
          <w:numId w:val="50"/>
        </w:numPr>
        <w:rPr>
          <w:b/>
          <w:bCs/>
        </w:rPr>
      </w:pPr>
      <w:r>
        <w:rPr>
          <w:b/>
          <w:bCs/>
        </w:rPr>
        <w:t>Option 2: the gNB reports a mapping of angle and beam gains for each of the PRS resources.</w:t>
      </w:r>
    </w:p>
    <w:p>
      <w:pPr>
        <w:pStyle w:val="146"/>
        <w:numPr>
          <w:ilvl w:val="1"/>
          <w:numId w:val="50"/>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prefer to support both and not downselect. The tradeoff is clear and each option has the pros/cons. </w:t>
            </w:r>
          </w:p>
          <w:p>
            <w:pPr>
              <w:pStyle w:val="146"/>
              <w:numPr>
                <w:ilvl w:val="0"/>
                <w:numId w:val="50"/>
              </w:numPr>
              <w:rPr>
                <w:rFonts w:eastAsia="等线"/>
                <w:lang w:val="de-DE"/>
              </w:rPr>
            </w:pPr>
            <w:r>
              <w:rPr>
                <w:rFonts w:eastAsia="等线"/>
                <w:lang w:val="de-DE"/>
              </w:rPr>
              <w:t xml:space="preserve">Option 1 is optimized for DFT-based implemetnations and can reduce a lot the overhead compared to Option 2. </w:t>
            </w:r>
          </w:p>
          <w:p>
            <w:pPr>
              <w:pStyle w:val="146"/>
              <w:numPr>
                <w:ilvl w:val="0"/>
                <w:numId w:val="50"/>
              </w:numPr>
              <w:rPr>
                <w:rFonts w:eastAsia="等线"/>
                <w:lang w:val="de-DE"/>
              </w:rPr>
            </w:pPr>
            <w:r>
              <w:rPr>
                <w:rFonts w:eastAsia="等线"/>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utoSpaceDE w:val="0"/>
              <w:autoSpaceDN w:val="0"/>
              <w:adjustRightInd w:val="0"/>
              <w:spacing w:after="120" w:line="240" w:lineRule="auto"/>
              <w:rPr>
                <w:rFonts w:eastAsia="等线"/>
                <w:lang w:val="de-DE"/>
              </w:rPr>
            </w:pPr>
            <w:r>
              <w:rPr>
                <w:rFonts w:eastAsia="等线"/>
                <w:lang w:val="de-DE"/>
              </w:rPr>
              <w:t xml:space="preserve">A comment/question for Option 1: </w:t>
            </w:r>
          </w:p>
          <w:p>
            <w:pPr>
              <w:pStyle w:val="188"/>
              <w:numPr>
                <w:ilvl w:val="0"/>
                <w:numId w:val="50"/>
              </w:numPr>
              <w:overflowPunct w:val="0"/>
              <w:autoSpaceDE w:val="0"/>
              <w:autoSpaceDN w:val="0"/>
              <w:adjustRightInd w:val="0"/>
              <w:spacing w:after="120" w:line="240" w:lineRule="auto"/>
              <w:rPr>
                <w:b/>
                <w:bCs/>
                <w:lang w:val="en-US"/>
              </w:rPr>
            </w:pPr>
            <w:r>
              <w:rPr>
                <w:rFonts w:eastAsia="等线"/>
                <w:lang w:val="de-DE"/>
              </w:rPr>
              <w:t>Wouldnt the Antenna pattern of a single antenna element be needed to be optionally provided if the antenna elements are not omni?</w:t>
            </w:r>
          </w:p>
          <w:p>
            <w:pPr>
              <w:pStyle w:val="188"/>
              <w:overflowPunct w:val="0"/>
              <w:autoSpaceDE w:val="0"/>
              <w:autoSpaceDN w:val="0"/>
              <w:adjustRightInd w:val="0"/>
              <w:spacing w:after="120" w:line="240" w:lineRule="auto"/>
              <w:rPr>
                <w:rFonts w:eastAsia="等线"/>
                <w:lang w:val="de-DE"/>
              </w:rPr>
            </w:pPr>
            <w:r>
              <w:rPr>
                <w:rFonts w:eastAsia="等线"/>
                <w:lang w:val="de-DE"/>
              </w:rPr>
              <w:t xml:space="preserve">With regards to the comment from HW, we would like to check it further, so prefer to include that clarification in the proposal. </w:t>
            </w:r>
          </w:p>
          <w:p>
            <w:pPr>
              <w:pStyle w:val="188"/>
              <w:overflowPunct w:val="0"/>
              <w:autoSpaceDE w:val="0"/>
              <w:autoSpaceDN w:val="0"/>
              <w:adjustRightInd w:val="0"/>
              <w:spacing w:after="120" w:line="240" w:lineRule="auto"/>
              <w:rPr>
                <w:rFonts w:eastAsia="等线"/>
                <w:lang w:val="de-DE"/>
              </w:rPr>
            </w:pPr>
            <w:r>
              <w:rPr>
                <w:rFonts w:eastAsia="等线"/>
                <w:lang w:val="de-DE"/>
              </w:rPr>
              <w:t xml:space="preserve">Based on the above, we make the following alternative proposal: </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0"/>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0"/>
              </w:numPr>
              <w:rPr>
                <w:b/>
                <w:bCs/>
                <w:lang w:val="de-DE"/>
              </w:rPr>
            </w:pPr>
            <w:r>
              <w:rPr>
                <w:b/>
                <w:bCs/>
                <w:lang w:val="de-DE"/>
              </w:rPr>
              <w:t xml:space="preserve">the number of antenna elements (vertical and horizontal) </w:t>
            </w:r>
          </w:p>
          <w:p>
            <w:pPr>
              <w:pStyle w:val="146"/>
              <w:numPr>
                <w:ilvl w:val="1"/>
                <w:numId w:val="50"/>
              </w:numPr>
              <w:rPr>
                <w:b/>
                <w:bCs/>
                <w:lang w:val="de-DE"/>
              </w:rPr>
            </w:pPr>
            <w:r>
              <w:rPr>
                <w:b/>
                <w:bCs/>
                <w:lang w:val="de-DE"/>
              </w:rPr>
              <w:t>antenna spacing dh and dv</w:t>
            </w:r>
          </w:p>
          <w:p>
            <w:pPr>
              <w:pStyle w:val="146"/>
              <w:numPr>
                <w:ilvl w:val="1"/>
                <w:numId w:val="50"/>
              </w:numPr>
              <w:rPr>
                <w:b/>
                <w:bCs/>
                <w:lang w:val="de-DE"/>
              </w:rPr>
            </w:pPr>
            <w:r>
              <w:rPr>
                <w:b/>
                <w:bCs/>
                <w:lang w:val="de-DE"/>
              </w:rPr>
              <w:t xml:space="preserve">For DFT-based beams, precoder information </w:t>
            </w:r>
            <w:r>
              <w:rPr>
                <w:b/>
                <w:bCs/>
                <w:color w:val="FF0000"/>
                <w:lang w:val="de-DE"/>
              </w:rPr>
              <w:t>for each PRS resource</w:t>
            </w:r>
          </w:p>
          <w:p>
            <w:pPr>
              <w:pStyle w:val="146"/>
              <w:numPr>
                <w:ilvl w:val="2"/>
                <w:numId w:val="50"/>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0"/>
              </w:numPr>
              <w:rPr>
                <w:b/>
                <w:bCs/>
                <w:strike/>
                <w:color w:val="FF0000"/>
                <w:lang w:val="de-DE"/>
              </w:rPr>
            </w:pPr>
            <w:r>
              <w:rPr>
                <w:b/>
                <w:bCs/>
                <w:strike/>
                <w:color w:val="FF0000"/>
                <w:lang w:val="de-DE"/>
              </w:rPr>
              <w:t>FFS for non-DFT beams</w:t>
            </w:r>
          </w:p>
          <w:p>
            <w:pPr>
              <w:pStyle w:val="146"/>
              <w:numPr>
                <w:ilvl w:val="1"/>
                <w:numId w:val="50"/>
              </w:numPr>
              <w:rPr>
                <w:b/>
                <w:bCs/>
                <w:color w:val="FF0000"/>
                <w:lang w:val="de-DE"/>
              </w:rPr>
            </w:pPr>
            <w:r>
              <w:rPr>
                <w:b/>
                <w:bCs/>
                <w:color w:val="FF0000"/>
                <w:lang w:val="de-DE"/>
              </w:rPr>
              <w:t>Antenna Element pattern Information</w:t>
            </w:r>
          </w:p>
          <w:p>
            <w:pPr>
              <w:pStyle w:val="146"/>
              <w:numPr>
                <w:ilvl w:val="2"/>
                <w:numId w:val="50"/>
              </w:numPr>
              <w:rPr>
                <w:b/>
                <w:bCs/>
                <w:color w:val="FF0000"/>
                <w:lang w:val="de-DE"/>
              </w:rPr>
            </w:pPr>
            <w:r>
              <w:rPr>
                <w:b/>
                <w:bCs/>
                <w:color w:val="FF0000"/>
                <w:lang w:val="de-DE"/>
              </w:rPr>
              <w:t>FFS: Details</w:t>
            </w:r>
          </w:p>
          <w:p>
            <w:pPr>
              <w:pStyle w:val="146"/>
              <w:numPr>
                <w:ilvl w:val="0"/>
                <w:numId w:val="50"/>
              </w:numPr>
              <w:rPr>
                <w:b/>
                <w:bCs/>
                <w:lang w:val="de-DE"/>
              </w:rPr>
            </w:pPr>
            <w:r>
              <w:rPr>
                <w:b/>
                <w:bCs/>
                <w:lang w:val="de-DE"/>
              </w:rPr>
              <w:t>Option 2: the gNB reports a mapping of angle and beam gains for each of the PRS resources.</w:t>
            </w:r>
          </w:p>
          <w:p>
            <w:pPr>
              <w:pStyle w:val="146"/>
              <w:numPr>
                <w:ilvl w:val="1"/>
                <w:numId w:val="50"/>
              </w:numPr>
              <w:rPr>
                <w:b/>
                <w:bCs/>
                <w:lang w:val="de-DE"/>
              </w:rPr>
            </w:pPr>
            <w:r>
              <w:rPr>
                <w:b/>
                <w:bCs/>
                <w:lang w:val="de-DE"/>
              </w:rPr>
              <w:t>FFS: representation of the mapping (e.g. parametric function approximating the beam response, or gain/angle table)</w:t>
            </w:r>
          </w:p>
          <w:p>
            <w:pPr>
              <w:rPr>
                <w:rFonts w:eastAsia="等线"/>
                <w:lang w:val="de-DE"/>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N</w:t>
            </w:r>
            <w:r>
              <w:rPr>
                <w:rFonts w:hint="eastAsia" w:eastAsia="等线"/>
                <w:lang w:val="sv-SE"/>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ascii="Calibri" w:hAnsi="Calibri" w:eastAsia="等线"/>
                <w:lang w:val="en-US"/>
              </w:rPr>
            </w:pPr>
            <w:r>
              <w:rPr>
                <w:rFonts w:hint="eastAsia" w:ascii="Calibri" w:hAnsi="Calibri" w:eastAsia="等线"/>
                <w:lang w:val="en-US"/>
              </w:rPr>
              <w:t>For option1, we have similar view with Huawei, and for option 2, we think our views for beamwidth information to reduce overhead is not captured</w:t>
            </w:r>
            <w:bookmarkStart w:id="47" w:name="_GoBack"/>
            <w:bookmarkEnd w:id="47"/>
            <w:r>
              <w:rPr>
                <w:rFonts w:ascii="Calibri" w:hAnsi="Calibri" w:eastAsia="等线"/>
                <w:lang w:val="en-US"/>
              </w:rPr>
              <w:t>.</w:t>
            </w:r>
          </w:p>
          <w:p>
            <w:pPr>
              <w:rPr>
                <w:rFonts w:ascii="Calibri" w:hAnsi="Calibri" w:eastAsia="等线"/>
                <w:lang w:val="en-US"/>
              </w:rPr>
            </w:pPr>
            <w:r>
              <w:rPr>
                <w:rFonts w:hint="eastAsia" w:ascii="Calibri" w:hAnsi="Calibri" w:eastAsia="等线"/>
                <w:lang w:val="en-US"/>
              </w:rPr>
              <w:t>T</w:t>
            </w:r>
            <w:r>
              <w:rPr>
                <w:rFonts w:ascii="Calibri" w:hAnsi="Calibri" w:eastAsia="等线"/>
                <w:lang w:val="en-US"/>
              </w:rPr>
              <w:t xml:space="preserve">o QC, for option1, we wonder why limiting to UPA antenna configuration. </w:t>
            </w:r>
          </w:p>
          <w:p>
            <w:pPr>
              <w:rPr>
                <w:rFonts w:ascii="Calibri" w:hAnsi="Calibri" w:eastAsia="等线"/>
                <w:lang w:val="en-US"/>
              </w:rPr>
            </w:pPr>
            <w:r>
              <w:rPr>
                <w:rFonts w:hint="eastAsia" w:ascii="Calibri" w:hAnsi="Calibri" w:eastAsia="等线"/>
                <w:lang w:val="en-US"/>
              </w:rPr>
              <w:t>So we propose</w:t>
            </w:r>
          </w:p>
          <w:p>
            <w:pPr>
              <w:rPr>
                <w:rFonts w:ascii="Calibri" w:hAnsi="Calibri" w:eastAsia="Calibri"/>
                <w:b/>
                <w:bCs/>
                <w:lang w:val="de-DE"/>
              </w:rPr>
            </w:pPr>
            <w:r>
              <w:rPr>
                <w:rFonts w:ascii="Calibri" w:hAnsi="Calibri" w:eastAsia="Calibri"/>
                <w:b/>
                <w:bCs/>
                <w:lang w:val="de-DE"/>
              </w:rPr>
              <w:t xml:space="preserve">For the beam/antenna information to be optionally provided to the LMF by the gnodeB, </w:t>
            </w:r>
            <w:r>
              <w:rPr>
                <w:rFonts w:ascii="Calibri" w:hAnsi="Calibri" w:eastAsia="Calibri"/>
                <w:b/>
                <w:bCs/>
                <w:strike/>
                <w:color w:val="FF0000"/>
                <w:lang w:val="de-DE"/>
              </w:rPr>
              <w:t>select one or more of the following</w:t>
            </w:r>
            <w:r>
              <w:rPr>
                <w:rFonts w:ascii="Calibri" w:hAnsi="Calibri" w:eastAsia="Calibri"/>
                <w:b/>
                <w:bCs/>
                <w:color w:val="FF0000"/>
                <w:lang w:val="de-DE"/>
              </w:rPr>
              <w:t xml:space="preserve"> support both the following options</w:t>
            </w:r>
            <w:r>
              <w:rPr>
                <w:rFonts w:ascii="Calibri" w:hAnsi="Calibri" w:eastAsia="Calibri"/>
                <w:b/>
                <w:bCs/>
                <w:lang w:val="de-DE"/>
              </w:rPr>
              <w:t>:</w:t>
            </w:r>
          </w:p>
          <w:p>
            <w:pPr>
              <w:pStyle w:val="146"/>
              <w:numPr>
                <w:ilvl w:val="0"/>
                <w:numId w:val="50"/>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scaled="0"/>
                  </w14:gradFill>
                </w14:textFill>
              </w:rPr>
              <w:t xml:space="preserve">] </w:t>
            </w:r>
            <w:r>
              <w:rPr>
                <w:b/>
                <w:bCs/>
                <w:lang w:val="de-DE"/>
              </w:rPr>
              <w:t xml:space="preserve">antenna configuration including </w:t>
            </w:r>
          </w:p>
          <w:p>
            <w:pPr>
              <w:pStyle w:val="146"/>
              <w:numPr>
                <w:ilvl w:val="1"/>
                <w:numId w:val="50"/>
              </w:numPr>
              <w:rPr>
                <w:b/>
                <w:bCs/>
                <w:lang w:val="de-DE"/>
              </w:rPr>
            </w:pPr>
            <w:r>
              <w:rPr>
                <w:b/>
                <w:bCs/>
                <w:lang w:val="de-DE"/>
              </w:rPr>
              <w:t xml:space="preserve">the number of antenna elements (vertical and horizontal) </w:t>
            </w:r>
          </w:p>
          <w:p>
            <w:pPr>
              <w:pStyle w:val="146"/>
              <w:numPr>
                <w:ilvl w:val="1"/>
                <w:numId w:val="50"/>
              </w:numPr>
              <w:rPr>
                <w:b/>
                <w:bCs/>
                <w:lang w:val="de-DE"/>
              </w:rPr>
            </w:pPr>
            <w:r>
              <w:rPr>
                <w:b/>
                <w:bCs/>
                <w:lang w:val="de-DE"/>
              </w:rPr>
              <w:t>antenna spacing dh and dv</w:t>
            </w:r>
          </w:p>
          <w:p>
            <w:pPr>
              <w:pStyle w:val="146"/>
              <w:numPr>
                <w:ilvl w:val="1"/>
                <w:numId w:val="50"/>
              </w:numPr>
              <w:rPr>
                <w:b/>
                <w:bCs/>
                <w:lang w:val="de-DE"/>
              </w:rPr>
            </w:pPr>
            <w:r>
              <w:rPr>
                <w:b/>
                <w:bCs/>
                <w:lang w:val="de-DE"/>
              </w:rPr>
              <w:t xml:space="preserve">For DFT-based beams,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pPr>
              <w:pStyle w:val="146"/>
              <w:numPr>
                <w:ilvl w:val="2"/>
                <w:numId w:val="50"/>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0"/>
              </w:numPr>
              <w:rPr>
                <w:b/>
                <w:bCs/>
                <w:strike/>
                <w:color w:val="FF0000"/>
                <w:lang w:val="de-DE"/>
              </w:rPr>
            </w:pPr>
            <w:r>
              <w:rPr>
                <w:b/>
                <w:bCs/>
                <w:strike/>
                <w:color w:val="FF0000"/>
                <w:lang w:val="de-DE"/>
              </w:rPr>
              <w:t>FFS for non-DFT beams</w:t>
            </w:r>
          </w:p>
          <w:p>
            <w:pPr>
              <w:pStyle w:val="146"/>
              <w:numPr>
                <w:ilvl w:val="1"/>
                <w:numId w:val="50"/>
              </w:numPr>
              <w:rPr>
                <w:b/>
                <w:bCs/>
                <w:color w:val="FF0000"/>
                <w:lang w:val="de-DE"/>
              </w:rPr>
            </w:pPr>
            <w:r>
              <w:rPr>
                <w:b/>
                <w:bCs/>
                <w:color w:val="FF0000"/>
                <w:lang w:val="de-DE"/>
              </w:rPr>
              <w:t>Antenna Element pattern Information</w:t>
            </w:r>
          </w:p>
          <w:p>
            <w:pPr>
              <w:pStyle w:val="146"/>
              <w:numPr>
                <w:ilvl w:val="2"/>
                <w:numId w:val="50"/>
              </w:numPr>
              <w:rPr>
                <w:b/>
                <w:bCs/>
                <w:color w:val="FF0000"/>
                <w:lang w:val="de-DE"/>
              </w:rPr>
            </w:pPr>
            <w:r>
              <w:rPr>
                <w:b/>
                <w:bCs/>
                <w:color w:val="FF0000"/>
                <w:lang w:val="de-DE"/>
              </w:rPr>
              <w:t>FFS: Details</w:t>
            </w:r>
          </w:p>
          <w:p>
            <w:pPr>
              <w:pStyle w:val="146"/>
              <w:numPr>
                <w:ilvl w:val="0"/>
                <w:numId w:val="50"/>
              </w:numPr>
              <w:rPr>
                <w:b/>
                <w:bCs/>
                <w:lang w:val="de-DE"/>
              </w:rPr>
            </w:pPr>
            <w:r>
              <w:rPr>
                <w:b/>
                <w:bCs/>
                <w:lang w:val="de-DE"/>
              </w:rPr>
              <w:t>Option 2: the gNB reports a mapping of angle and beam gains for each of the PRS resources.</w:t>
            </w:r>
          </w:p>
          <w:p>
            <w:pPr>
              <w:pStyle w:val="146"/>
              <w:numPr>
                <w:ilvl w:val="1"/>
                <w:numId w:val="50"/>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u w:val="single"/>
                <w:lang w:val="en-US"/>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sv-SE"/>
              </w:rPr>
            </w:pPr>
            <w:r>
              <w:rPr>
                <w:rFonts w:ascii="Calibri" w:hAnsi="Calibri" w:eastAsia="Calibri"/>
                <w:b/>
                <w:bCs/>
                <w:color w:val="FF0000"/>
                <w:lang w:val="de-DE"/>
              </w:rPr>
              <w:t xml:space="preserve">In either option, </w:t>
            </w:r>
            <w:r>
              <w:rPr>
                <w:rFonts w:ascii="Calibri" w:hAnsi="Calibri" w:eastAsia="Calibri"/>
                <w:b/>
                <w:bCs/>
                <w:color w:val="FF0000"/>
                <w:lang w:val="en-US"/>
              </w:rPr>
              <w:t>the gNB beam/antenna information can be provided to the UE for UE-based DL-AoD</w:t>
            </w:r>
          </w:p>
        </w:tc>
      </w:tr>
    </w:tbl>
    <w:p/>
    <w:p>
      <w:pPr>
        <w:pStyle w:val="5"/>
      </w:pPr>
      <w:r>
        <w:t>Summary of 1</w:t>
      </w:r>
      <w:r>
        <w:rPr>
          <w:vertAlign w:val="superscript"/>
        </w:rPr>
        <w:t>st</w:t>
      </w:r>
      <w:r>
        <w:t xml:space="preserve"> round of comments  </w:t>
      </w:r>
    </w:p>
    <w:p>
      <w:pPr>
        <w:pStyle w:val="86"/>
      </w:pPr>
      <w:r>
        <w:rPr>
          <w:b w:val="0"/>
          <w:bCs w:val="0"/>
        </w:rPr>
        <w:t xml:space="preserve"> </w:t>
      </w:r>
    </w:p>
    <w:p>
      <w:pPr>
        <w:pStyle w:val="4"/>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sz w:val="20"/>
                <w:lang w:val="en-US"/>
              </w:rPr>
            </w:pPr>
            <w:r>
              <w:rPr>
                <w:sz w:val="20"/>
                <w:highlight w:val="green"/>
                <w:lang w:val="en-US"/>
              </w:rPr>
              <w:t>Agreement:</w:t>
            </w:r>
          </w:p>
          <w:p>
            <w:pPr>
              <w:numPr>
                <w:ilvl w:val="0"/>
                <w:numId w:val="53"/>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5"/>
              </w:numPr>
              <w:rPr>
                <w:sz w:val="20"/>
                <w:lang w:val="en-US"/>
              </w:rPr>
            </w:pPr>
            <w:r>
              <w:rPr>
                <w:sz w:val="20"/>
                <w:lang w:val="en-US"/>
              </w:rPr>
              <w:t>Option 1: Indication of expected DL-AoD/ZoD value and uncertainty (of the expected DL-AoD/ZoD value) range(s) is signaled by the LMF to the UE</w:t>
            </w:r>
          </w:p>
          <w:p>
            <w:pPr>
              <w:numPr>
                <w:ilvl w:val="2"/>
                <w:numId w:val="45"/>
              </w:numPr>
              <w:rPr>
                <w:sz w:val="20"/>
                <w:lang w:val="en-US"/>
              </w:rPr>
            </w:pPr>
            <w:r>
              <w:rPr>
                <w:rFonts w:cs="Times"/>
                <w:sz w:val="20"/>
                <w:lang w:val="en-US"/>
              </w:rPr>
              <w:t>Single Expected DL-AoD/ZoD and uncertainty (of the expected DL-AoD/ZoD value) range(s) can be provided to the UE for each [TRP]</w:t>
            </w:r>
          </w:p>
          <w:p>
            <w:pPr>
              <w:numPr>
                <w:ilvl w:val="1"/>
                <w:numId w:val="45"/>
              </w:numPr>
              <w:rPr>
                <w:sz w:val="20"/>
                <w:lang w:val="en-US"/>
              </w:rPr>
            </w:pPr>
            <w:r>
              <w:rPr>
                <w:sz w:val="20"/>
                <w:lang w:val="en-US"/>
              </w:rPr>
              <w:t xml:space="preserve">Option 2: Indication of expected DL-AoA/ZoA value and uncertainty (of the expected DL-AoA/ZoA value) range(s) is signaled by the LMF to the UE </w:t>
            </w:r>
          </w:p>
          <w:p>
            <w:pPr>
              <w:numPr>
                <w:ilvl w:val="2"/>
                <w:numId w:val="45"/>
              </w:numPr>
              <w:rPr>
                <w:rFonts w:cs="Times"/>
                <w:sz w:val="20"/>
                <w:lang w:val="en-US"/>
              </w:rPr>
            </w:pPr>
            <w:r>
              <w:rPr>
                <w:rFonts w:cs="Times"/>
                <w:sz w:val="20"/>
                <w:lang w:val="en-US"/>
              </w:rPr>
              <w:t>Single Expected DL-AoA/ZoA and uncertainty (of the expected DL-AoA/ZoA value) range(s) can be provided to the UE for each [TRP]</w:t>
            </w:r>
          </w:p>
          <w:p>
            <w:pPr>
              <w:numPr>
                <w:ilvl w:val="1"/>
                <w:numId w:val="45"/>
              </w:numPr>
              <w:rPr>
                <w:sz w:val="20"/>
                <w:lang w:val="en-US"/>
              </w:rPr>
            </w:pPr>
            <w:r>
              <w:rPr>
                <w:sz w:val="20"/>
                <w:lang w:val="en-US"/>
              </w:rPr>
              <w:t>Option 3: Indication of expected AoD/ZoD or AoA/ZoA value and uncertainty is not introduced.</w:t>
            </w:r>
          </w:p>
          <w:p>
            <w:pPr>
              <w:numPr>
                <w:ilvl w:val="1"/>
                <w:numId w:val="53"/>
              </w:numPr>
              <w:rPr>
                <w:rFonts w:cs="Times"/>
                <w:sz w:val="20"/>
                <w:lang w:val="en-US"/>
              </w:rPr>
            </w:pPr>
            <w:r>
              <w:rPr>
                <w:rFonts w:cs="Times"/>
                <w:sz w:val="20"/>
                <w:lang w:val="en-US"/>
              </w:rPr>
              <w:t>FFS: details of signaling</w:t>
            </w:r>
          </w:p>
          <w:p>
            <w:pPr>
              <w:numPr>
                <w:ilvl w:val="0"/>
                <w:numId w:val="53"/>
              </w:numPr>
              <w:rPr>
                <w:rFonts w:cs="Times"/>
                <w:lang w:val="en-US"/>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_Ref72147110 \r \h </w:instrText>
            </w:r>
            <w:r>
              <w:rPr>
                <w:rFonts w:eastAsia="Calibri"/>
                <w:lang w:val="de-DE"/>
              </w:rPr>
              <w:fldChar w:fldCharType="separate"/>
            </w:r>
            <w:r>
              <w:rPr>
                <w:rFonts w:eastAsia="Calibri"/>
                <w:lang w:val="en-US"/>
              </w:rPr>
              <w:t>[2]</w:t>
            </w:r>
            <w:r>
              <w:rPr>
                <w:rFonts w:eastAsia="Calibri"/>
                <w:lang w:val="de-DE"/>
              </w:rPr>
              <w:fldChar w:fldCharType="end"/>
            </w:r>
          </w:p>
        </w:tc>
        <w:tc>
          <w:tcPr>
            <w:tcW w:w="8641" w:type="dxa"/>
          </w:tcPr>
          <w:p>
            <w:pPr>
              <w:rPr>
                <w:b/>
                <w:i/>
                <w:lang w:val="en-US"/>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utoSpaceDE w:val="0"/>
              <w:autoSpaceDN w:val="0"/>
              <w:adjustRightInd w:val="0"/>
              <w:snapToGrid w:val="0"/>
              <w:spacing w:before="0" w:after="120" w:line="240" w:lineRule="auto"/>
              <w:rPr>
                <w:b/>
                <w:i/>
                <w:lang w:val="en-US"/>
              </w:rPr>
            </w:pPr>
            <w:r>
              <w:rPr>
                <w:b/>
                <w:i/>
                <w:lang w:val="en-US"/>
              </w:rPr>
              <w:t>Single Expected DL-AoA/ZoA and uncertainty (of the expected DL-AoA/ZoA value) range(s) can be provided to the UE for each [TRP]</w:t>
            </w:r>
          </w:p>
          <w:p>
            <w:pPr>
              <w:pStyle w:val="196"/>
              <w:numPr>
                <w:ilvl w:val="0"/>
                <w:numId w:val="21"/>
              </w:numPr>
              <w:autoSpaceDE w:val="0"/>
              <w:autoSpaceDN w:val="0"/>
              <w:adjustRightInd w:val="0"/>
              <w:snapToGrid w:val="0"/>
              <w:spacing w:before="0" w:after="120" w:line="240" w:lineRule="auto"/>
              <w:rPr>
                <w:b/>
                <w:i/>
                <w:lang w:val="en-US"/>
              </w:rPr>
            </w:pPr>
            <w:r>
              <w:rPr>
                <w:b/>
                <w:i/>
                <w:lang w:val="en-US"/>
              </w:rPr>
              <w:t>Note: This is also applicable to DL-TDOA and Multi-RTT methods.</w:t>
            </w:r>
          </w:p>
          <w:p>
            <w:pPr>
              <w:rPr>
                <w:lang w:val="en-US"/>
              </w:rPr>
            </w:pP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_Ref72147426 \r \h </w:instrText>
            </w:r>
            <w:r>
              <w:rPr>
                <w:rFonts w:eastAsia="Calibri"/>
                <w:lang w:val="de-DE"/>
              </w:rPr>
              <w:fldChar w:fldCharType="separate"/>
            </w:r>
            <w:r>
              <w:rPr>
                <w:rFonts w:eastAsia="Calibri"/>
                <w:lang w:val="en-US"/>
              </w:rPr>
              <w:t>[3]</w:t>
            </w:r>
            <w:r>
              <w:rPr>
                <w:rFonts w:eastAsia="Calibri"/>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27" w:name="_Hlk71366862"/>
            <w:r>
              <w:rPr>
                <w:b/>
                <w:bCs/>
                <w:sz w:val="20"/>
                <w:szCs w:val="20"/>
                <w:lang w:val="de-DE"/>
              </w:rPr>
              <w:t>Proposal 4</w:t>
            </w:r>
          </w:p>
          <w:p>
            <w:pPr>
              <w:pStyle w:val="15"/>
              <w:numPr>
                <w:ilvl w:val="0"/>
                <w:numId w:val="25"/>
              </w:numPr>
              <w:spacing w:line="260" w:lineRule="exact"/>
              <w:rPr>
                <w:b/>
                <w:i/>
                <w:sz w:val="20"/>
                <w:szCs w:val="20"/>
                <w:lang w:val="en-US"/>
              </w:rPr>
            </w:pPr>
            <w:r>
              <w:rPr>
                <w:b/>
                <w:i/>
                <w:sz w:val="20"/>
                <w:szCs w:val="20"/>
                <w:lang w:val="en-US"/>
              </w:rPr>
              <w:t>The validity of the expected DL-AoD may need to be considered since the expected DL-AoD will easily be changed with the UE movement.</w:t>
            </w:r>
          </w:p>
          <w:bookmarkEnd w:id="27"/>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en-US"/>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28" w:name="_Hlk71366834"/>
            <w:r>
              <w:rPr>
                <w:rFonts w:cs="Arial"/>
                <w:b/>
                <w:bCs/>
                <w:sz w:val="20"/>
                <w:szCs w:val="20"/>
                <w:lang w:val="de-DE"/>
              </w:rPr>
              <w:t>Proposal 6</w:t>
            </w:r>
          </w:p>
          <w:p>
            <w:pPr>
              <w:pStyle w:val="15"/>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bookmarkEnd w:id="28"/>
          <w:p>
            <w:pPr>
              <w:pStyle w:val="15"/>
              <w:spacing w:line="260" w:lineRule="exact"/>
              <w:rPr>
                <w:rFonts w:cs="Arial"/>
                <w:b/>
                <w:bCs/>
                <w:sz w:val="20"/>
                <w:szCs w:val="20"/>
                <w:lang w:val="de-DE"/>
              </w:rPr>
            </w:pPr>
            <w:bookmarkStart w:id="29" w:name="_Hlk71366873"/>
            <w:r>
              <w:rPr>
                <w:rFonts w:cs="Arial"/>
                <w:b/>
                <w:bCs/>
                <w:sz w:val="20"/>
                <w:szCs w:val="20"/>
                <w:lang w:val="de-DE"/>
              </w:rPr>
              <w:t>Proposal 7:</w:t>
            </w:r>
          </w:p>
          <w:p>
            <w:pPr>
              <w:pStyle w:val="15"/>
              <w:numPr>
                <w:ilvl w:val="0"/>
                <w:numId w:val="25"/>
              </w:numPr>
              <w:spacing w:line="260" w:lineRule="exact"/>
              <w:rPr>
                <w:b/>
                <w:i/>
                <w:sz w:val="20"/>
                <w:szCs w:val="20"/>
                <w:lang w:val="en-US"/>
              </w:rPr>
            </w:pPr>
            <w:r>
              <w:rPr>
                <w:b/>
                <w:i/>
                <w:sz w:val="20"/>
                <w:szCs w:val="20"/>
                <w:lang w:val="en-US"/>
              </w:rPr>
              <w:t>Expected DL-AoD is provided to the UE for each TRP.</w:t>
            </w:r>
          </w:p>
          <w:bookmarkEnd w:id="29"/>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_Ref72149689 \r \h </w:instrText>
            </w:r>
            <w:r>
              <w:rPr>
                <w:rFonts w:eastAsia="Calibri"/>
                <w:lang w:val="de-DE"/>
              </w:rPr>
              <w:fldChar w:fldCharType="separate"/>
            </w:r>
            <w:r>
              <w:rPr>
                <w:rFonts w:eastAsia="Calibri"/>
                <w:lang w:val="en-US"/>
              </w:rPr>
              <w:t>[4]</w:t>
            </w:r>
            <w:r>
              <w:rPr>
                <w:rFonts w:eastAsia="Calibri"/>
                <w:lang w:val="de-DE"/>
              </w:rPr>
              <w:fldChar w:fldCharType="end"/>
            </w:r>
          </w:p>
        </w:tc>
        <w:tc>
          <w:tcPr>
            <w:tcW w:w="8641" w:type="dxa"/>
          </w:tcPr>
          <w:p>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en-US"/>
              </w:rPr>
            </w:pPr>
          </w:p>
          <w:p>
            <w:pPr>
              <w:rPr>
                <w:b/>
                <w:i/>
                <w:lang w:val="en-US"/>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lang w:val="de-DE"/>
              </w:rPr>
              <w:fldChar w:fldCharType="begin"/>
            </w:r>
            <w:r>
              <w:rPr>
                <w:lang w:val="de-DE"/>
              </w:rPr>
              <w:instrText xml:space="preserve"> REF _Ref68782617 \r \h  \* MERGEFORMAT </w:instrText>
            </w:r>
            <w:r>
              <w:rPr>
                <w:lang w:val="de-DE"/>
              </w:rPr>
              <w:fldChar w:fldCharType="separate"/>
            </w:r>
            <w:r>
              <w:rPr>
                <w:rFonts w:eastAsia="Calibri"/>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en-US"/>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4"/>
              </w:numPr>
              <w:snapToGrid w:val="0"/>
              <w:spacing w:before="120" w:beforeLines="50" w:after="120" w:afterLines="50"/>
              <w:rPr>
                <w:rFonts w:ascii="Times" w:hAnsi="Times" w:eastAsia="宋体"/>
                <w:i/>
                <w:sz w:val="20"/>
                <w:lang w:val="en-US"/>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5"/>
              </w:numPr>
              <w:snapToGrid w:val="0"/>
              <w:spacing w:before="120" w:beforeLines="50" w:after="120" w:afterLines="50"/>
              <w:rPr>
                <w:rFonts w:ascii="Times" w:hAnsi="Times" w:eastAsia="宋体"/>
                <w:i/>
                <w:sz w:val="20"/>
                <w:lang w:val="en-US"/>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_Ref72150110 \r \h </w:instrText>
            </w:r>
            <w:r>
              <w:rPr>
                <w:rFonts w:eastAsia="Calibri"/>
                <w:lang w:val="de-DE"/>
              </w:rPr>
              <w:fldChar w:fldCharType="separate"/>
            </w:r>
            <w:r>
              <w:rPr>
                <w:rFonts w:eastAsia="Calibri"/>
                <w:lang w:val="en-US"/>
              </w:rPr>
              <w:t>[7]</w:t>
            </w:r>
            <w:r>
              <w:rPr>
                <w:rFonts w:eastAsia="Calibri"/>
                <w:lang w:val="de-DE"/>
              </w:rPr>
              <w:fldChar w:fldCharType="end"/>
            </w:r>
          </w:p>
        </w:tc>
        <w:tc>
          <w:tcPr>
            <w:tcW w:w="8641" w:type="dxa"/>
          </w:tcPr>
          <w:p>
            <w:pPr>
              <w:rPr>
                <w:b/>
                <w:bCs/>
                <w:i/>
                <w:iCs/>
                <w:lang w:val="en-US"/>
              </w:rPr>
            </w:pPr>
            <w:r>
              <w:rPr>
                <w:b/>
                <w:bCs/>
                <w:i/>
                <w:iCs/>
                <w:lang w:val="en-US"/>
              </w:rPr>
              <w:t xml:space="preserve">Proposal 5: With regards to expected Angle of Departure, support Option 1 with the following signaling details: </w:t>
            </w:r>
          </w:p>
          <w:p>
            <w:pPr>
              <w:numPr>
                <w:ilvl w:val="0"/>
                <w:numId w:val="56"/>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6"/>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6"/>
              </w:numPr>
              <w:rPr>
                <w:b/>
                <w:bCs/>
                <w:i/>
                <w:iCs/>
                <w:lang w:val="en-US"/>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6"/>
              </w:numPr>
              <w:rPr>
                <w:b/>
                <w:bCs/>
                <w:i/>
                <w:iCs/>
                <w:lang w:val="en-US"/>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en-US"/>
              </w:rPr>
            </w:pPr>
            <w:bookmarkStart w:id="30" w:name="_Hlk71485735"/>
            <w:r>
              <w:rPr>
                <w:lang w:val="en-US"/>
              </w:rPr>
              <w:t>Proposal 3: On uncertainty window for DL-AoD, support Option 3, i..e, not introduce expected AoD/ZoD or AoA/ZoA and uncertainty</w:t>
            </w:r>
          </w:p>
          <w:bookmarkEnd w:id="30"/>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_Ref72154312 \r \h </w:instrText>
            </w:r>
            <w:r>
              <w:rPr>
                <w:rFonts w:eastAsia="Calibri"/>
                <w:lang w:val="de-DE"/>
              </w:rPr>
              <w:fldChar w:fldCharType="separate"/>
            </w:r>
            <w:r>
              <w:rPr>
                <w:rFonts w:eastAsia="Calibri"/>
                <w:lang w:val="en-US"/>
              </w:rPr>
              <w:t>[11]</w:t>
            </w:r>
            <w:r>
              <w:rPr>
                <w:rFonts w:eastAsia="Calibri"/>
                <w:lang w:val="de-DE"/>
              </w:rPr>
              <w:fldChar w:fldCharType="end"/>
            </w:r>
          </w:p>
        </w:tc>
        <w:tc>
          <w:tcPr>
            <w:tcW w:w="8641" w:type="dxa"/>
          </w:tcPr>
          <w:p>
            <w:pPr>
              <w:spacing w:before="240"/>
              <w:rPr>
                <w:rFonts w:ascii="Times New Roman" w:hAnsi="Times New Roman" w:cs="Times New Roman"/>
                <w:b/>
                <w:bCs/>
                <w:szCs w:val="21"/>
                <w:lang w:val="en-GB"/>
              </w:rPr>
            </w:pPr>
            <w:r>
              <w:rPr>
                <w:rFonts w:ascii="Times New Roman" w:hAnsi="Times New Roman" w:cs="Times New Roman"/>
                <w:b/>
                <w:bCs/>
                <w:szCs w:val="21"/>
                <w:lang w:val="en-GB"/>
              </w:rPr>
              <w:t>Proposal 2 : With regards to expected uncertainty window for AoD, support Option 1 “Indication of expected DL-AoD/ZoD value and uncertainty (of the expected DL-AoD/ZoD value) range(s) is signaled by the LMF to the UE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_Ref72155137 \r \h </w:instrText>
            </w:r>
            <w:r>
              <w:rPr>
                <w:rFonts w:eastAsia="Calibri"/>
                <w:lang w:val="de-DE"/>
              </w:rPr>
              <w:fldChar w:fldCharType="separate"/>
            </w:r>
            <w:r>
              <w:rPr>
                <w:rFonts w:eastAsia="Calibri"/>
                <w:lang w:val="en-US"/>
              </w:rPr>
              <w:t>[12]</w:t>
            </w:r>
            <w:r>
              <w:rPr>
                <w:rFonts w:eastAsia="Calibri"/>
                <w:lang w:val="de-DE"/>
              </w:rPr>
              <w:fldChar w:fldCharType="end"/>
            </w:r>
          </w:p>
        </w:tc>
        <w:tc>
          <w:tcPr>
            <w:tcW w:w="8641" w:type="dxa"/>
          </w:tcPr>
          <w:p>
            <w:pPr>
              <w:pStyle w:val="188"/>
              <w:rPr>
                <w:b/>
                <w:bCs/>
                <w:lang w:val="en-GB"/>
              </w:rPr>
            </w:pPr>
            <w:r>
              <w:rPr>
                <w:b/>
                <w:bCs/>
                <w:lang w:val="en-GB"/>
              </w:rPr>
              <w:t>Proposal 4</w:t>
            </w:r>
          </w:p>
          <w:p>
            <w:pPr>
              <w:pStyle w:val="188"/>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en-US"/>
              </w:rPr>
            </w:pPr>
          </w:p>
          <w:p>
            <w:pPr>
              <w:pStyle w:val="188"/>
              <w:rPr>
                <w:lang w:val="en-US"/>
              </w:rPr>
            </w:pPr>
          </w:p>
          <w:p>
            <w:pPr>
              <w:pStyle w:val="188"/>
              <w:overflowPunct w:val="0"/>
              <w:autoSpaceDE w:val="0"/>
              <w:autoSpaceDN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_Ref72155909 \r \h </w:instrText>
            </w:r>
            <w:r>
              <w:rPr>
                <w:rFonts w:eastAsia="Calibri"/>
                <w:lang w:val="de-DE"/>
              </w:rPr>
              <w:fldChar w:fldCharType="separate"/>
            </w:r>
            <w:r>
              <w:rPr>
                <w:rFonts w:eastAsia="Calibri"/>
                <w:lang w:val="en-US"/>
              </w:rPr>
              <w:t>[13]</w:t>
            </w:r>
            <w:r>
              <w:rPr>
                <w:rFonts w:eastAsia="Calibri"/>
                <w:lang w:val="de-DE"/>
              </w:rPr>
              <w:fldChar w:fldCharType="end"/>
            </w:r>
          </w:p>
        </w:tc>
        <w:tc>
          <w:tcPr>
            <w:tcW w:w="8641" w:type="dxa"/>
          </w:tcPr>
          <w:p>
            <w:pPr>
              <w:rPr>
                <w:sz w:val="20"/>
                <w:szCs w:val="20"/>
                <w:lang w:val="en-US"/>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de-DE"/>
              </w:rPr>
              <w:fldChar w:fldCharType="begin"/>
            </w:r>
            <w:r>
              <w:rPr>
                <w:rFonts w:eastAsia="Calibri"/>
                <w:lang w:val="en-US"/>
              </w:rPr>
              <w:instrText xml:space="preserve"> REF _Ref68796140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utoSpaceDE w:val="0"/>
              <w:autoSpaceDN w:val="0"/>
              <w:adjustRightInd w:val="0"/>
              <w:spacing w:before="120" w:line="280" w:lineRule="atLeast"/>
              <w:ind w:left="-11" w:leftChars="-5"/>
              <w:rPr>
                <w:rFonts w:ascii="Times New Roman" w:hAnsi="Times New Roman"/>
                <w:i/>
                <w:lang w:val="de-DE" w:eastAsia="ko-KR"/>
              </w:rPr>
            </w:pPr>
            <w:r>
              <w:rPr>
                <w:rFonts w:ascii="Times New Roman" w:hAnsi="Times New Roman"/>
                <w:b/>
                <w:i/>
                <w:lang w:val="de-DE" w:eastAsia="ko-KR"/>
              </w:rPr>
              <w:t>Proposal 1:</w:t>
            </w:r>
          </w:p>
          <w:p>
            <w:pPr>
              <w:pStyle w:val="146"/>
              <w:numPr>
                <w:ilvl w:val="0"/>
                <w:numId w:val="38"/>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indication of expected uncertainty window to enhance DL-AoD, the configuration of both </w:t>
            </w:r>
            <w:r>
              <w:rPr>
                <w:rFonts w:ascii="Times New Roman" w:hAnsi="Times New Roman"/>
                <w:lang w:val="en-US"/>
              </w:rPr>
              <w:t>expected DL-AoA/ZoA value and uncertainty (option 2) is supported.</w:t>
            </w:r>
          </w:p>
          <w:p>
            <w:pPr>
              <w:pStyle w:val="146"/>
              <w:wordWrap w:val="0"/>
              <w:overflowPunct w:val="0"/>
              <w:autoSpaceDE w:val="0"/>
              <w:autoSpaceDN w:val="0"/>
              <w:adjustRightInd w:val="0"/>
              <w:spacing w:before="120"/>
              <w:ind w:left="0"/>
              <w:rPr>
                <w:rFonts w:ascii="Times New Roman" w:hAnsi="Times New Roman"/>
                <w:b/>
                <w:i/>
                <w:lang w:val="de-DE" w:eastAsia="ko-KR"/>
              </w:rPr>
            </w:pPr>
            <w:r>
              <w:rPr>
                <w:rFonts w:ascii="Times New Roman" w:hAnsi="Times New Roman"/>
                <w:b/>
                <w:i/>
                <w:lang w:val="de-DE" w:eastAsia="ko-KR"/>
              </w:rPr>
              <w:t xml:space="preserve">Proposal 2: </w:t>
            </w:r>
          </w:p>
          <w:p>
            <w:pPr>
              <w:pStyle w:val="146"/>
              <w:numPr>
                <w:ilvl w:val="0"/>
                <w:numId w:val="38"/>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Pr>
                <w:rFonts w:ascii="Times New Roman" w:hAnsi="Times New Roman"/>
                <w:lang w:val="en-US"/>
              </w:rPr>
              <w:t>expected uncertainty window</w:t>
            </w:r>
            <w:r>
              <w:rPr>
                <w:rFonts w:ascii="Times New Roman" w:hAnsi="Times New Roman"/>
                <w:lang w:val="en-US" w:eastAsia="ko-KR"/>
              </w:rPr>
              <w:t xml:space="preserve"> with is useful or not, pre-calculated location of UE needs to be additionally provided for the UE-based positioning measurement.</w:t>
            </w:r>
          </w:p>
          <w:p>
            <w:pPr>
              <w:rPr>
                <w:rFonts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[17]</w:t>
            </w:r>
          </w:p>
        </w:tc>
        <w:tc>
          <w:tcPr>
            <w:tcW w:w="8641" w:type="dxa"/>
          </w:tcPr>
          <w:p>
            <w:pPr>
              <w:rPr>
                <w:lang w:val="en-US"/>
              </w:rPr>
            </w:pPr>
            <w:r>
              <w:rPr>
                <w:b/>
                <w:bCs/>
                <w:lang w:val="en-US"/>
              </w:rPr>
              <w:t>Proposal 12</w:t>
            </w:r>
            <w:r>
              <w:rPr>
                <w:lang w:val="en-US"/>
              </w:rPr>
              <w:t>: Support Option 2 - Indication of expected DL-AoA/ZoA value and uncertainty (of the expected DL-AoA/ZoA value) range(s) is signaled by the LMF to the UE.</w:t>
            </w:r>
          </w:p>
          <w:p>
            <w:pPr>
              <w:rPr>
                <w:lang w:val="en-US"/>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en-US"/>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en-US"/>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[18]</w:t>
            </w:r>
          </w:p>
        </w:tc>
        <w:tc>
          <w:tcPr>
            <w:tcW w:w="8641" w:type="dxa"/>
          </w:tcPr>
          <w:p>
            <w:pPr>
              <w:pStyle w:val="30"/>
              <w:rPr>
                <w:i/>
                <w:lang w:val="en-US"/>
              </w:rPr>
            </w:pPr>
            <w:r>
              <w:rPr>
                <w:i/>
                <w:lang w:val="en-US"/>
              </w:rPr>
              <w:t xml:space="preserve">Proposal 6: Slightly prefer Option 1 for LoS path. </w:t>
            </w:r>
          </w:p>
          <w:p>
            <w:pPr>
              <w:pStyle w:val="30"/>
              <w:numPr>
                <w:ilvl w:val="0"/>
                <w:numId w:val="57"/>
              </w:numPr>
              <w:autoSpaceDE w:val="0"/>
              <w:autoSpaceDN w:val="0"/>
              <w:adjustRightInd w:val="0"/>
              <w:snapToGrid w:val="0"/>
              <w:rPr>
                <w:lang w:val="en-US"/>
              </w:rPr>
            </w:pPr>
            <w:r>
              <w:rPr>
                <w:i/>
                <w:lang w:val="en-US" w:eastAsia="zh-CN"/>
              </w:rPr>
              <w:t>Indication of expected DL-AoD/ZoD value and uncertainty (of the expected DL-AoD/ZoD value) range(s) is signaled by the LMF to the UE</w:t>
            </w:r>
            <w:r>
              <w:rPr>
                <w:i/>
                <w:lang w:val="en-US"/>
              </w:rPr>
              <w:t>.</w:t>
            </w:r>
          </w:p>
          <w:p>
            <w:pPr>
              <w:rPr>
                <w:rFonts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[19]</w:t>
            </w:r>
          </w:p>
        </w:tc>
        <w:tc>
          <w:tcPr>
            <w:tcW w:w="8641" w:type="dxa"/>
          </w:tcPr>
          <w:p>
            <w:pPr>
              <w:spacing w:after="120" w:afterLines="50"/>
              <w:rPr>
                <w:b/>
                <w:lang w:val="en-US"/>
              </w:rPr>
            </w:pPr>
            <w:r>
              <w:rPr>
                <w:b/>
                <w:lang w:val="en-US"/>
              </w:rPr>
              <w:t>Proposal 1:</w:t>
            </w:r>
          </w:p>
          <w:p>
            <w:pPr>
              <w:pStyle w:val="146"/>
              <w:numPr>
                <w:ilvl w:val="0"/>
                <w:numId w:val="58"/>
              </w:numPr>
              <w:spacing w:after="120" w:afterLines="50"/>
              <w:rPr>
                <w:b/>
                <w:lang w:val="en-US"/>
              </w:rPr>
            </w:pPr>
            <w:r>
              <w:rPr>
                <w:b/>
                <w:lang w:val="en-US"/>
              </w:rPr>
              <w:t>We support one of the following options</w:t>
            </w:r>
          </w:p>
          <w:p>
            <w:pPr>
              <w:pStyle w:val="146"/>
              <w:numPr>
                <w:ilvl w:val="1"/>
                <w:numId w:val="58"/>
              </w:numPr>
              <w:rPr>
                <w:b/>
                <w:lang w:val="en-US"/>
              </w:rPr>
            </w:pPr>
            <w:r>
              <w:rPr>
                <w:b/>
                <w:lang w:val="en-US"/>
              </w:rPr>
              <w:t>Option 1: Indication of expected DL-AoD/ZoD value and uncertainty (of the expected DL-AoD/ZoD value) range(s) is signaled by the LMF to the UE</w:t>
            </w:r>
          </w:p>
          <w:p>
            <w:pPr>
              <w:pStyle w:val="146"/>
              <w:numPr>
                <w:ilvl w:val="1"/>
                <w:numId w:val="58"/>
              </w:numPr>
              <w:rPr>
                <w:b/>
                <w:lang w:val="en-US"/>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en-US"/>
              </w:rPr>
            </w:pPr>
            <w:r>
              <w:rPr>
                <w:rFonts w:eastAsia="Calibri"/>
                <w:lang w:val="en-US"/>
              </w:rPr>
              <w:t>[22]</w:t>
            </w:r>
          </w:p>
        </w:tc>
        <w:tc>
          <w:tcPr>
            <w:tcW w:w="8641" w:type="dxa"/>
          </w:tcPr>
          <w:p>
            <w:pPr>
              <w:pStyle w:val="86"/>
              <w:tabs>
                <w:tab w:val="clear" w:pos="1730"/>
              </w:tabs>
              <w:rPr>
                <w:lang w:val="en-US"/>
              </w:rPr>
            </w:pPr>
            <w:bookmarkStart w:id="31" w:name="_Toc71675979"/>
            <w:r>
              <w:rPr>
                <w:lang w:val="en-US"/>
              </w:rPr>
              <w:t>Proposal 12 LMF can optionally signal to the UE an indication that consist of a list of IDs of DL PRS Resources associated to beams that are within a DL-AOD uncertainty region.</w:t>
            </w:r>
            <w:bookmarkEnd w:id="31"/>
          </w:p>
          <w:p>
            <w:pPr>
              <w:spacing w:after="120" w:afterLines="50"/>
              <w:rPr>
                <w:b/>
                <w:lang w:val="en-US"/>
              </w:rPr>
            </w:pPr>
          </w:p>
        </w:tc>
      </w:tr>
    </w:tbl>
    <w:p>
      <w:pPr>
        <w:pStyle w:val="86"/>
      </w:pPr>
    </w:p>
    <w:p>
      <w:r>
        <w:t>The companies’ proposals are based on the study agreement from RAN1#104b-e. The options are supported as follow:</w:t>
      </w:r>
    </w:p>
    <w:p>
      <w:pPr>
        <w:numPr>
          <w:ilvl w:val="1"/>
          <w:numId w:val="45"/>
        </w:numPr>
        <w:rPr>
          <w:sz w:val="20"/>
        </w:rPr>
      </w:pPr>
      <w:r>
        <w:rPr>
          <w:sz w:val="20"/>
        </w:rPr>
        <w:t xml:space="preserve">Option 1: Indication of expected DL-AoD/ZoD value and uncertainty </w:t>
      </w:r>
    </w:p>
    <w:p>
      <w:pPr>
        <w:numPr>
          <w:ilvl w:val="2"/>
          <w:numId w:val="45"/>
        </w:numPr>
        <w:rPr>
          <w:sz w:val="20"/>
        </w:rPr>
      </w:pPr>
      <w:r>
        <w:rPr>
          <w:sz w:val="20"/>
        </w:rPr>
        <w:t>Supported by 10 companies [3][4] [5][7][11][12][13][15][17][18]</w:t>
      </w:r>
    </w:p>
    <w:p>
      <w:pPr>
        <w:numPr>
          <w:ilvl w:val="1"/>
          <w:numId w:val="45"/>
        </w:numPr>
        <w:rPr>
          <w:sz w:val="20"/>
        </w:rPr>
      </w:pPr>
      <w:r>
        <w:rPr>
          <w:sz w:val="20"/>
        </w:rPr>
        <w:t xml:space="preserve">Option 2: Indication of expected DL-AoA/ZoA value and uncertainty </w:t>
      </w:r>
    </w:p>
    <w:p>
      <w:pPr>
        <w:numPr>
          <w:ilvl w:val="2"/>
          <w:numId w:val="45"/>
        </w:numPr>
        <w:rPr>
          <w:sz w:val="20"/>
        </w:rPr>
      </w:pPr>
      <w:r>
        <w:rPr>
          <w:sz w:val="20"/>
        </w:rPr>
        <w:t>Supported by 4 companies [2] [4][16][17]</w:t>
      </w:r>
    </w:p>
    <w:p>
      <w:pPr>
        <w:numPr>
          <w:ilvl w:val="1"/>
          <w:numId w:val="45"/>
        </w:numPr>
        <w:rPr>
          <w:sz w:val="20"/>
        </w:rPr>
      </w:pPr>
      <w:r>
        <w:rPr>
          <w:sz w:val="20"/>
        </w:rPr>
        <w:t>Option 3: Indication of expected AoD/ZoD or AoA/ZoA value and uncertainty is not introduced.</w:t>
      </w:r>
    </w:p>
    <w:p>
      <w:pPr>
        <w:numPr>
          <w:ilvl w:val="2"/>
          <w:numId w:val="45"/>
        </w:numPr>
        <w:rPr>
          <w:sz w:val="20"/>
        </w:rPr>
      </w:pPr>
      <w:r>
        <w:rPr>
          <w:sz w:val="20"/>
        </w:rPr>
        <w:t>Supported by 1 company [8]</w:t>
      </w:r>
    </w:p>
    <w:p/>
    <w:p>
      <w:r>
        <w:t>In [2], it is also proposed to have the AoA window signalled for all DL and DL+UL methods</w:t>
      </w:r>
    </w:p>
    <w:p>
      <w:r>
        <w:t xml:space="preserve">In [3] it is proposed to introduce a capability for the UE RX beam identification based on the signalled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59"/>
        </w:numPr>
        <w:rPr>
          <w:b/>
          <w:bCs/>
        </w:rPr>
      </w:pPr>
      <w:r>
        <w:rPr>
          <w:b/>
          <w:bCs/>
        </w:rPr>
        <w:t>Option 1: Indication of expected DL-AoD/ZoD value and uncertainty (of the expected DL-AoD/ZoD value) range(s) is signaled by the LMF to the UE</w:t>
      </w:r>
    </w:p>
    <w:p>
      <w:pPr>
        <w:pStyle w:val="146"/>
        <w:numPr>
          <w:ilvl w:val="2"/>
          <w:numId w:val="59"/>
        </w:numPr>
        <w:rPr>
          <w:b/>
          <w:bCs/>
        </w:rPr>
      </w:pPr>
      <w:r>
        <w:rPr>
          <w:b/>
          <w:bCs/>
        </w:rPr>
        <w:t>Single Expected DL-AoD/ZoD and uncertainty (of the expected DL-AoD/ZoD value) range(s) can be provided to the UE for each [TRP]</w:t>
      </w:r>
    </w:p>
    <w:p>
      <w:pPr>
        <w:pStyle w:val="146"/>
        <w:numPr>
          <w:ilvl w:val="0"/>
          <w:numId w:val="59"/>
        </w:numPr>
        <w:rPr>
          <w:b/>
          <w:bCs/>
        </w:rPr>
      </w:pPr>
      <w:r>
        <w:rPr>
          <w:b/>
          <w:bCs/>
        </w:rPr>
        <w:t xml:space="preserve">Option 2: Indication of expected DL-AoA/ZoA value and uncertainty (of the expected DL-AoA/ZoA value) range(s) is signaled by the LMF to the UE </w:t>
      </w:r>
    </w:p>
    <w:p>
      <w:pPr>
        <w:pStyle w:val="146"/>
        <w:numPr>
          <w:ilvl w:val="2"/>
          <w:numId w:val="59"/>
        </w:numPr>
        <w:rPr>
          <w:b/>
          <w:bCs/>
        </w:rPr>
      </w:pPr>
      <w:bookmarkStart w:id="32" w:name="OLE_LINK1"/>
      <w:r>
        <w:rPr>
          <w:b/>
          <w:bCs/>
        </w:rPr>
        <w:t>Single Expected DL-AoA/ZoA and uncertainty (of the expected DL-AoA/ZoA value) range(s) can be provided to the UE for each [TRP]</w:t>
      </w:r>
    </w:p>
    <w:bookmarkEnd w:id="32"/>
    <w:p>
      <w:pPr>
        <w:pStyle w:val="146"/>
        <w:numPr>
          <w:ilvl w:val="0"/>
          <w:numId w:val="59"/>
        </w:numPr>
        <w:rPr>
          <w:b/>
          <w:bCs/>
        </w:rPr>
      </w:pPr>
      <w:r>
        <w:rPr>
          <w:b/>
          <w:bCs/>
        </w:rPr>
        <w:t>FFS: details of signaling</w:t>
      </w:r>
    </w:p>
    <w:p>
      <w:pPr>
        <w:pStyle w:val="146"/>
        <w:numPr>
          <w:ilvl w:val="0"/>
          <w:numId w:val="59"/>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InterDigital</w:t>
            </w:r>
          </w:p>
        </w:tc>
        <w:tc>
          <w:tcPr>
            <w:tcW w:w="7554" w:type="dxa"/>
          </w:tcPr>
          <w:p>
            <w:pPr>
              <w:rPr>
                <w:rFonts w:eastAsia="等线"/>
                <w:lang w:val="en-US"/>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ZTE</w:t>
            </w:r>
          </w:p>
        </w:tc>
        <w:tc>
          <w:tcPr>
            <w:tcW w:w="7554" w:type="dxa"/>
          </w:tcPr>
          <w:p>
            <w:pPr>
              <w:rPr>
                <w:rFonts w:eastAsia="等线"/>
                <w:lang w:val="en-US"/>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en-US"/>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en-US"/>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59"/>
              </w:numPr>
              <w:rPr>
                <w:rFonts w:eastAsia="等线"/>
                <w:lang w:val="en-US"/>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lang w:val="en-GB"/>
              </w:rPr>
              <w:t>E</w:t>
            </w:r>
            <w:r>
              <w:rPr>
                <w:lang w:val="en-GB"/>
              </w:rPr>
              <w:t>ither the option 1 or the option 2</w:t>
            </w:r>
            <w:r>
              <w:rPr>
                <w:rFonts w:hint="eastAsia"/>
                <w:lang w:val="en-GB"/>
              </w:rPr>
              <w:t xml:space="preserve"> is fine for us, but not both of them</w:t>
            </w:r>
            <w:r>
              <w:rPr>
                <w:rFonts w:hint="eastAsia"/>
                <w:lang w:val="en-US"/>
              </w:rPr>
              <w:t>.</w:t>
            </w:r>
            <w:r>
              <w:rPr>
                <w:rFonts w:hint="eastAsia"/>
                <w:lang w:val="en-GB"/>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GB"/>
              </w:rPr>
            </w:pPr>
            <w:r>
              <w:rPr>
                <w:lang w:val="en-GB"/>
              </w:rPr>
              <w:t>As explained in our tdoc, we think either Option 1 or Option 2 are not well justified. However, for progress, we can be ok with Option 1 if Option 1 is majority view. And we do not support Option 2.</w:t>
            </w:r>
          </w:p>
          <w:p>
            <w:pPr>
              <w:rPr>
                <w:lang w:val="en-GB"/>
              </w:rPr>
            </w:pPr>
            <w:r>
              <w:rPr>
                <w:lang w:val="en-GB"/>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en-US"/>
              </w:rPr>
            </w:pPr>
            <w:r>
              <w:rPr>
                <w:rFonts w:eastAsia="等线"/>
                <w:lang w:val="en-US"/>
              </w:rPr>
              <w:t xml:space="preserve">Support Options 1 and 2. </w:t>
            </w:r>
          </w:p>
          <w:p>
            <w:pPr>
              <w:rPr>
                <w:lang w:val="en-GB"/>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en-US"/>
              </w:rPr>
            </w:pPr>
            <w:r>
              <w:rPr>
                <w:rFonts w:hint="eastAsia" w:eastAsia="等线"/>
                <w:lang w:val="en-US"/>
              </w:rPr>
              <w:t>R</w:t>
            </w:r>
            <w:r>
              <w:rPr>
                <w:rFonts w:eastAsia="等线"/>
                <w:lang w:val="en-US"/>
              </w:rPr>
              <w:t>eply to OPPO:</w:t>
            </w:r>
          </w:p>
          <w:p>
            <w:pPr>
              <w:rPr>
                <w:rFonts w:eastAsia="等线"/>
                <w:lang w:val="en-US"/>
              </w:rPr>
            </w:pPr>
          </w:p>
          <w:p>
            <w:pPr>
              <w:rPr>
                <w:rFonts w:eastAsia="等线"/>
                <w:lang w:val="en-US"/>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sv-SE"/>
              </w:rPr>
              <w:t xml:space="preserve">Support the proposal and prefer Option 1. </w:t>
            </w:r>
            <w:r>
              <w:rPr>
                <w:rFonts w:hint="eastAsia" w:eastAsia="等线"/>
                <w:lang w:val="sv-SE"/>
              </w:rPr>
              <w:t>Option 1 and Option 2</w:t>
            </w:r>
            <w:r>
              <w:rPr>
                <w:rFonts w:eastAsia="等线"/>
                <w:lang w:val="sv-SE"/>
              </w:rPr>
              <w:t xml:space="preserve"> are equivalent in the scenario of LoS path, but not in the scenarip of NLoS path. 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ascii="Calibri" w:hAnsi="Calibri" w:eastAsia="等线"/>
                <w:lang w:val="en-US"/>
              </w:rPr>
            </w:pPr>
            <w:r>
              <w:rPr>
                <w:rFonts w:ascii="Calibri" w:hAnsi="Calibri" w:eastAsia="等线"/>
                <w:lang w:val="de-DE"/>
              </w:rPr>
              <w:t>Support Option 1</w:t>
            </w:r>
            <w:r>
              <w:rPr>
                <w:rFonts w:hint="eastAsia" w:ascii="Calibri" w:hAnsi="Calibri" w:eastAsia="等线"/>
                <w:lang w:val="en-US"/>
              </w:rPr>
              <w:t>, and we are not okay to support both option.</w:t>
            </w:r>
          </w:p>
          <w:p>
            <w:pPr>
              <w:rPr>
                <w:rFonts w:ascii="Calibri" w:hAnsi="Calibri" w:eastAsia="等线"/>
                <w:lang w:val="en-US"/>
              </w:rPr>
            </w:pPr>
            <w:r>
              <w:rPr>
                <w:rFonts w:hint="eastAsia" w:ascii="Calibri" w:hAnsi="Calibri" w:eastAsia="等线"/>
                <w:lang w:val="en-US"/>
              </w:rPr>
              <w:t xml:space="preserve">We propose to remove the </w:t>
            </w:r>
            <w:r>
              <w:rPr>
                <w:rFonts w:ascii="Calibri" w:hAnsi="Calibri" w:eastAsia="等线"/>
                <w:lang w:val="en-US"/>
              </w:rPr>
              <w:t>bracket</w:t>
            </w:r>
            <w:r>
              <w:rPr>
                <w:rFonts w:hint="eastAsia" w:ascii="Calibri" w:hAnsi="Calibri" w:eastAsia="等线"/>
                <w:lang w:val="en-US"/>
              </w:rPr>
              <w:t xml:space="preserve"> of [TRP],and ARP is not okay for us. </w:t>
            </w:r>
          </w:p>
          <w:p>
            <w:pPr>
              <w:spacing w:after="120" w:line="260" w:lineRule="exact"/>
              <w:rPr>
                <w:rFonts w:ascii="Calibri" w:hAnsi="Calibri" w:eastAsia="等线"/>
                <w:lang w:val="en-US"/>
              </w:rPr>
            </w:pPr>
            <w:r>
              <w:rPr>
                <w:rFonts w:hint="eastAsia" w:ascii="Calibri" w:hAnsi="Calibri" w:eastAsia="等线"/>
                <w:lang w:val="en-US"/>
              </w:rPr>
              <w:t>Firstly, i</w:t>
            </w:r>
            <w:r>
              <w:rPr>
                <w:rFonts w:ascii="Calibri" w:hAnsi="Calibri"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ascii="Calibri" w:hAnsi="Calibri" w:eastAsia="等线"/>
                <w:lang w:val="en-US"/>
              </w:rPr>
            </w:pPr>
            <w:r>
              <w:rPr>
                <w:rFonts w:hint="eastAsia" w:ascii="Calibri" w:hAnsi="Calibri" w:eastAsia="等线"/>
                <w:lang w:val="en-US"/>
              </w:rPr>
              <w:t>Secondly,</w:t>
            </w:r>
            <w:r>
              <w:rPr>
                <w:rFonts w:ascii="Calibri" w:hAnsi="Calibri" w:eastAsia="等线"/>
                <w:lang w:val="en-US"/>
              </w:rPr>
              <w:t xml:space="preserve">in Rel-16, expected RSTD is provided to the UE for each TRP. And we don’t see the reason letting expected AoD provided per ARP which is different with expected RSTD. </w:t>
            </w:r>
          </w:p>
          <w:p>
            <w:pPr>
              <w:rPr>
                <w:rFonts w:ascii="Calibri" w:hAnsi="Calibri" w:eastAsia="等线"/>
                <w:lang w:val="en-US"/>
              </w:rPr>
            </w:pPr>
            <w:r>
              <w:rPr>
                <w:rFonts w:hint="eastAsia" w:ascii="Calibri" w:hAnsi="Calibri" w:eastAsia="等线"/>
                <w:lang w:val="en-US"/>
              </w:rPr>
              <w:t>Lastly, i</w:t>
            </w:r>
            <w:r>
              <w:rPr>
                <w:rFonts w:ascii="Calibri" w:hAnsi="Calibri"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ascii="Calibri" w:hAnsi="Calibri" w:eastAsia="等线"/>
                <w:lang w:val="en-US"/>
              </w:rPr>
            </w:pPr>
            <w:r>
              <w:rPr>
                <w:rFonts w:ascii="Calibri" w:hAnsi="Calibri" w:eastAsia="等线"/>
                <w:lang w:val="en-US"/>
              </w:rPr>
              <w:t xml:space="preserve">So we prefer </w:t>
            </w:r>
            <w:r>
              <w:rPr>
                <w:rFonts w:hint="eastAsia" w:ascii="Calibri" w:hAnsi="Calibri" w:eastAsia="等线"/>
                <w:lang w:val="en-US"/>
              </w:rPr>
              <w:t xml:space="preserve">to remove the </w:t>
            </w:r>
            <w:r>
              <w:rPr>
                <w:rFonts w:ascii="Calibri" w:hAnsi="Calibri" w:eastAsia="等线"/>
                <w:lang w:val="en-US"/>
              </w:rPr>
              <w:t>bracket</w:t>
            </w:r>
            <w:r>
              <w:rPr>
                <w:rFonts w:hint="eastAsia" w:ascii="Calibri" w:hAnsi="Calibri" w:eastAsia="等线"/>
                <w:lang w:val="en-US"/>
              </w:rPr>
              <w:t xml:space="preserve"> of [TRP]</w:t>
            </w:r>
            <w:r>
              <w:rPr>
                <w:rFonts w:ascii="Calibri" w:hAnsi="Calibri" w:eastAsia="等线"/>
                <w:lang w:val="en-US"/>
              </w:rPr>
              <w:t>.</w:t>
            </w:r>
          </w:p>
          <w:p>
            <w:pPr>
              <w:rPr>
                <w:rFonts w:eastAsia="等线"/>
                <w:b/>
                <w:bCs/>
                <w:lang w:val="sv-SE"/>
              </w:rPr>
            </w:pPr>
          </w:p>
        </w:tc>
      </w:tr>
    </w:tbl>
    <w:p>
      <w:pPr>
        <w:pStyle w:val="5"/>
      </w:pPr>
      <w:r>
        <w:t>Summary of 1</w:t>
      </w:r>
      <w:r>
        <w:rPr>
          <w:vertAlign w:val="superscript"/>
        </w:rPr>
        <w:t>st</w:t>
      </w:r>
      <w:r>
        <w:t xml:space="preserve"> round of comments and updated proposal</w:t>
      </w:r>
    </w:p>
    <w:p>
      <w:r>
        <w:t xml:space="preserve"> </w:t>
      </w:r>
    </w:p>
    <w:p/>
    <w:p>
      <w:pPr>
        <w:pStyle w:val="3"/>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Source</w:t>
            </w:r>
          </w:p>
        </w:tc>
        <w:tc>
          <w:tcPr>
            <w:tcW w:w="8641" w:type="dxa"/>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_Ref72150475 \r \h </w:instrText>
            </w:r>
            <w:r>
              <w:rPr>
                <w:rFonts w:eastAsia="Calibri"/>
                <w:lang w:val="de-DE"/>
              </w:rPr>
              <w:fldChar w:fldCharType="separate"/>
            </w:r>
            <w:r>
              <w:rPr>
                <w:rFonts w:eastAsia="Calibri"/>
                <w:lang w:val="en-US"/>
              </w:rPr>
              <w:t>[8]</w:t>
            </w:r>
            <w:r>
              <w:rPr>
                <w:rFonts w:eastAsia="Calibri"/>
                <w:lang w:val="de-DE"/>
              </w:rPr>
              <w:fldChar w:fldCharType="end"/>
            </w:r>
          </w:p>
        </w:tc>
        <w:tc>
          <w:tcPr>
            <w:tcW w:w="8641" w:type="dxa"/>
          </w:tcPr>
          <w:p>
            <w:pPr>
              <w:pStyle w:val="223"/>
              <w:rPr>
                <w:lang w:val="en-US"/>
              </w:rPr>
            </w:pPr>
            <w:r>
              <w:rPr>
                <w:rFonts w:eastAsia="Calibri"/>
                <w:lang w:val="en-US"/>
              </w:rPr>
              <w:t xml:space="preserve"> </w:t>
            </w:r>
            <w:bookmarkStart w:id="33" w:name="_Hlk71485790"/>
            <w:r>
              <w:rPr>
                <w:lang w:val="en-US"/>
              </w:rPr>
              <w:t>Proposal 6: Support UE-specific beam refinement on DL PRS resource for DL-AoD measurement.</w:t>
            </w:r>
          </w:p>
          <w:bookmarkEnd w:id="33"/>
          <w:p>
            <w:pPr>
              <w:pStyle w:val="223"/>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_Ref72156850 \r \h </w:instrText>
            </w:r>
            <w:r>
              <w:rPr>
                <w:rFonts w:eastAsia="Calibri"/>
                <w:lang w:val="de-DE"/>
              </w:rPr>
              <w:fldChar w:fldCharType="separate"/>
            </w:r>
            <w:r>
              <w:rPr>
                <w:rFonts w:eastAsia="Calibri"/>
                <w:lang w:val="en-US"/>
              </w:rPr>
              <w:t>[15]</w:t>
            </w:r>
            <w:r>
              <w:rPr>
                <w:rFonts w:eastAsia="Calibri"/>
                <w:lang w:val="de-DE"/>
              </w:rPr>
              <w:fldChar w:fldCharType="end"/>
            </w:r>
          </w:p>
        </w:tc>
        <w:tc>
          <w:tcPr>
            <w:tcW w:w="8641" w:type="dxa"/>
          </w:tcPr>
          <w:p>
            <w:pPr>
              <w:rPr>
                <w:rFonts w:eastAsia="等线"/>
                <w:b/>
                <w:i/>
                <w:lang w:val="en-US"/>
              </w:rPr>
            </w:pPr>
            <w:r>
              <w:rPr>
                <w:rFonts w:eastAsia="等线"/>
                <w:b/>
                <w:i/>
                <w:lang w:val="en-US"/>
              </w:rPr>
              <w:t xml:space="preserve">Proposal 2: Support differential beamforming technique for DL-AOD positioning methods. </w:t>
            </w:r>
          </w:p>
          <w:p>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de-DE"/>
              </w:rPr>
              <w:fldChar w:fldCharType="begin"/>
            </w:r>
            <w:r>
              <w:rPr>
                <w:rFonts w:eastAsia="Calibri"/>
                <w:lang w:val="en-US"/>
              </w:rPr>
              <w:instrText xml:space="preserve"> REF _Ref72157408 \r \h </w:instrText>
            </w:r>
            <w:r>
              <w:rPr>
                <w:rFonts w:eastAsia="Calibri"/>
                <w:lang w:val="de-DE"/>
              </w:rPr>
              <w:fldChar w:fldCharType="separate"/>
            </w:r>
            <w:r>
              <w:rPr>
                <w:rFonts w:eastAsia="Calibri"/>
                <w:lang w:val="en-US"/>
              </w:rPr>
              <w:t>[16]</w:t>
            </w:r>
            <w:r>
              <w:rPr>
                <w:rFonts w:eastAsia="Calibri"/>
                <w:lang w:val="de-DE"/>
              </w:rPr>
              <w:fldChar w:fldCharType="end"/>
            </w:r>
          </w:p>
        </w:tc>
        <w:tc>
          <w:tcPr>
            <w:tcW w:w="8641" w:type="dxa"/>
          </w:tcPr>
          <w:p>
            <w:pPr>
              <w:overflowPunct w:val="0"/>
              <w:autoSpaceDE w:val="0"/>
              <w:autoSpaceDN w:val="0"/>
              <w:adjustRightInd w:val="0"/>
              <w:spacing w:before="120" w:line="280" w:lineRule="atLeast"/>
              <w:ind w:left="-11" w:leftChars="-5"/>
              <w:rPr>
                <w:rFonts w:ascii="Times New Roman" w:hAnsi="Times New Roman"/>
                <w:b/>
                <w:i/>
                <w:szCs w:val="20"/>
                <w:lang w:val="de-DE" w:eastAsia="ko-KR"/>
              </w:rPr>
            </w:pPr>
            <w:r>
              <w:rPr>
                <w:rFonts w:ascii="Times New Roman" w:hAnsi="Times New Roman"/>
                <w:b/>
                <w:i/>
                <w:szCs w:val="20"/>
                <w:lang w:val="de-DE" w:eastAsia="ko-KR"/>
              </w:rPr>
              <w:t>Proposal 5:</w:t>
            </w:r>
          </w:p>
          <w:p>
            <w:pPr>
              <w:pStyle w:val="146"/>
              <w:numPr>
                <w:ilvl w:val="0"/>
                <w:numId w:val="38"/>
              </w:numPr>
              <w:overflowPunct w:val="0"/>
              <w:autoSpaceDE w:val="0"/>
              <w:autoSpaceDN w:val="0"/>
              <w:adjustRightInd w:val="0"/>
              <w:spacing w:before="120"/>
              <w:rPr>
                <w:rFonts w:ascii="Times New Roman" w:hAnsi="Times New Roman"/>
                <w:szCs w:val="20"/>
                <w:lang w:val="en-US" w:eastAsia="ko-KR"/>
              </w:rPr>
            </w:pPr>
            <w:r>
              <w:rPr>
                <w:rFonts w:ascii="Times New Roman" w:hAnsi="Times New Roman"/>
                <w:szCs w:val="20"/>
                <w:lang w:val="en-US" w:eastAsia="ko-KR"/>
              </w:rPr>
              <w:t>To overcome beam resolution problem, 2-step beam adjustment procedure needs to be considered.</w:t>
            </w:r>
          </w:p>
          <w:p>
            <w:pPr>
              <w:rPr>
                <w:rFonts w:ascii="Times New Roman" w:hAnsi="Times New Roman" w:eastAsia="Calibri"/>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[17]</w:t>
            </w:r>
          </w:p>
        </w:tc>
        <w:tc>
          <w:tcPr>
            <w:tcW w:w="8641" w:type="dxa"/>
          </w:tcPr>
          <w:p>
            <w:pPr>
              <w:rPr>
                <w:lang w:val="en-US"/>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0"/>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0"/>
              </w:numPr>
              <w:contextualSpacing/>
              <w:rPr>
                <w:sz w:val="20"/>
                <w:szCs w:val="20"/>
                <w:lang w:val="en-US"/>
              </w:rPr>
            </w:pPr>
            <w:r>
              <w:rPr>
                <w:sz w:val="20"/>
                <w:szCs w:val="20"/>
                <w:lang w:val="en-US"/>
              </w:rPr>
              <w:t>UE-assisted positioning: LMF should be aware of the BO and compensate it when computing the position estimate.</w:t>
            </w:r>
          </w:p>
          <w:p>
            <w:pPr>
              <w:pStyle w:val="146"/>
              <w:numPr>
                <w:ilvl w:val="0"/>
                <w:numId w:val="60"/>
              </w:numPr>
              <w:contextualSpacing/>
              <w:rPr>
                <w:sz w:val="20"/>
                <w:szCs w:val="20"/>
                <w:lang w:val="en-US"/>
              </w:rPr>
            </w:pPr>
            <w:r>
              <w:rPr>
                <w:sz w:val="20"/>
                <w:szCs w:val="20"/>
                <w:lang w:val="en-US"/>
              </w:rPr>
              <w:t xml:space="preserve">Signaling aspects: </w:t>
            </w:r>
          </w:p>
          <w:p>
            <w:pPr>
              <w:pStyle w:val="146"/>
              <w:numPr>
                <w:ilvl w:val="1"/>
                <w:numId w:val="60"/>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0"/>
              </w:numPr>
              <w:contextualSpacing/>
              <w:rPr>
                <w:sz w:val="20"/>
                <w:szCs w:val="20"/>
                <w:lang w:val="en-US"/>
              </w:rPr>
            </w:pPr>
            <w:r>
              <w:rPr>
                <w:sz w:val="20"/>
                <w:szCs w:val="20"/>
                <w:lang w:val="en-US"/>
              </w:rPr>
              <w:t xml:space="preserve">UE measurement reports to facilitate BO identification and potential correction. </w:t>
            </w:r>
          </w:p>
          <w:p>
            <w:pPr>
              <w:rPr>
                <w:rFonts w:eastAsia="Calibri"/>
                <w:lang w:val="en-US"/>
              </w:rPr>
            </w:pPr>
          </w:p>
          <w:p>
            <w:pPr>
              <w:rPr>
                <w:rFonts w:eastAsia="Calibri"/>
                <w:lang w:val="en-US"/>
              </w:rPr>
            </w:pPr>
          </w:p>
          <w:p>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0"/>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0"/>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0"/>
              </w:numPr>
              <w:contextualSpacing/>
              <w:rPr>
                <w:lang w:val="en-US"/>
              </w:rPr>
            </w:pPr>
            <w:r>
              <w:rPr>
                <w:sz w:val="20"/>
                <w:szCs w:val="20"/>
                <w:lang w:val="en-US"/>
              </w:rPr>
              <w:t xml:space="preserve">Ability of reference device to determine beam offset errors are present. </w:t>
            </w:r>
          </w:p>
          <w:p>
            <w:pPr>
              <w:pStyle w:val="146"/>
              <w:numPr>
                <w:ilvl w:val="0"/>
                <w:numId w:val="60"/>
              </w:numPr>
              <w:contextualSpacing/>
              <w:rPr>
                <w:lang w:val="en-US"/>
              </w:rPr>
            </w:pPr>
          </w:p>
          <w:p>
            <w:pPr>
              <w:contextualSpacing/>
              <w:rPr>
                <w:lang w:val="en-US"/>
              </w:rPr>
            </w:pPr>
            <w:r>
              <w:rPr>
                <w:b/>
                <w:bCs/>
                <w:lang w:val="en-US"/>
              </w:rPr>
              <w:t>Proposal 10</w:t>
            </w:r>
            <w:r>
              <w:rPr>
                <w:lang w:val="en-US"/>
              </w:rPr>
              <w:t>: Consider two stage beam-sweeping for DL-AoD together with on-demand PRS transmission and reception</w:t>
            </w:r>
          </w:p>
          <w:p>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en-US"/>
              </w:rPr>
            </w:pP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[18]</w:t>
            </w:r>
          </w:p>
        </w:tc>
        <w:tc>
          <w:tcPr>
            <w:tcW w:w="8641" w:type="dxa"/>
          </w:tcPr>
          <w:p>
            <w:pPr>
              <w:pStyle w:val="30"/>
              <w:rPr>
                <w:i/>
                <w:lang w:val="en-US"/>
              </w:rPr>
            </w:pPr>
            <w:r>
              <w:rPr>
                <w:i/>
                <w:lang w:val="en-US"/>
              </w:rPr>
              <w:t>Proposal 5: Estimate the angle error by a reference node whose accurate location is known.</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en-US"/>
              </w:rPr>
            </w:pPr>
            <w:r>
              <w:rPr>
                <w:rFonts w:eastAsia="Calibri"/>
                <w:lang w:val="en-US"/>
              </w:rPr>
              <w:t>[21]</w:t>
            </w:r>
          </w:p>
        </w:tc>
        <w:tc>
          <w:tcPr>
            <w:tcW w:w="8641" w:type="dxa"/>
          </w:tcPr>
          <w:p>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en-US"/>
              </w:rPr>
            </w:pPr>
          </w:p>
        </w:tc>
      </w:tr>
    </w:tbl>
    <w:p>
      <w:pPr>
        <w:pStyle w:val="86"/>
      </w:pPr>
    </w:p>
    <w:p>
      <w:pPr>
        <w:pStyle w:val="86"/>
      </w:pPr>
    </w:p>
    <w:p>
      <w:pPr>
        <w:pStyle w:val="2"/>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4" w:name="_In-sequence_SDU_delivery"/>
      <w:bookmarkEnd w:id="34"/>
      <w:r>
        <w:rPr>
          <w:rFonts w:ascii="Arial" w:hAnsi="Arial" w:eastAsia="Times New Roman" w:cs="Arial"/>
          <w:b/>
          <w:bCs/>
          <w:color w:val="000000"/>
        </w:rPr>
        <w:t xml:space="preserve"> TBD</w:t>
      </w:r>
    </w:p>
    <w:p>
      <w:pPr>
        <w:pStyle w:val="146"/>
      </w:pPr>
    </w:p>
    <w:p>
      <w:pPr>
        <w:pStyle w:val="2"/>
        <w:rPr>
          <w:lang w:val="en-US"/>
        </w:rPr>
      </w:pPr>
      <w:r>
        <w:rPr>
          <w:lang w:val="en-US"/>
        </w:rPr>
        <w:t>References</w:t>
      </w:r>
    </w:p>
    <w:p>
      <w:pPr>
        <w:pStyle w:val="80"/>
      </w:pPr>
      <w:r>
        <w:t>R1-2104228, Accuracy improvements for DL-AoD positioning solutions , BUPT</w:t>
      </w:r>
    </w:p>
    <w:p>
      <w:pPr>
        <w:pStyle w:val="80"/>
      </w:pPr>
      <w:bookmarkStart w:id="35" w:name="_Ref72147110"/>
      <w:r>
        <w:t>R1-2104279, Enhancement for DL AoD positioning, Huawei, HiSilicon</w:t>
      </w:r>
      <w:bookmarkEnd w:id="35"/>
    </w:p>
    <w:p>
      <w:pPr>
        <w:pStyle w:val="80"/>
      </w:pPr>
      <w:bookmarkStart w:id="36" w:name="_Ref72147426"/>
      <w:r>
        <w:t>R1-2104361, Discussion on potential enhancements for DL-AoD method, vivo</w:t>
      </w:r>
      <w:bookmarkEnd w:id="36"/>
    </w:p>
    <w:p>
      <w:pPr>
        <w:pStyle w:val="80"/>
      </w:pPr>
      <w:bookmarkStart w:id="37" w:name="_Ref72149689"/>
      <w:r>
        <w:t>R1-2104522, Discussion on accuracy improvements for DL-AoD positioning solutions, CATT</w:t>
      </w:r>
      <w:bookmarkEnd w:id="37"/>
    </w:p>
    <w:p>
      <w:pPr>
        <w:pStyle w:val="80"/>
      </w:pPr>
      <w:r>
        <w:t>R1-2104592, Accuracy improvements for DL-AoD positioning solutions, ZTE</w:t>
      </w:r>
    </w:p>
    <w:p>
      <w:pPr>
        <w:pStyle w:val="80"/>
      </w:pPr>
      <w:bookmarkStart w:id="38" w:name="_Ref72150002"/>
      <w:r>
        <w:t>R1-2104613, Discussion on DL-AoD enhancements, CMCC</w:t>
      </w:r>
      <w:bookmarkEnd w:id="38"/>
    </w:p>
    <w:p>
      <w:pPr>
        <w:pStyle w:val="80"/>
      </w:pPr>
      <w:bookmarkStart w:id="39" w:name="_Ref72150110"/>
      <w:r>
        <w:t>R1-2104673, Potential Enhancements on DL-AoD positioning, Qualcomm Incorporated</w:t>
      </w:r>
      <w:bookmarkEnd w:id="39"/>
    </w:p>
    <w:p>
      <w:pPr>
        <w:pStyle w:val="80"/>
      </w:pPr>
      <w:bookmarkStart w:id="40" w:name="_Ref72150475"/>
      <w:r>
        <w:t>R1-2104741, Enhancements for DL-AoD positioning, OPPO</w:t>
      </w:r>
      <w:bookmarkEnd w:id="40"/>
    </w:p>
    <w:p>
      <w:pPr>
        <w:pStyle w:val="80"/>
      </w:pPr>
      <w:bookmarkStart w:id="41" w:name="_Ref72154220"/>
      <w:r>
        <w:t>R1-2104842, Discussion on enhancements for DL-AoD positioning, CAICT</w:t>
      </w:r>
      <w:bookmarkEnd w:id="41"/>
    </w:p>
    <w:p>
      <w:pPr>
        <w:pStyle w:val="80"/>
      </w:pPr>
      <w:r>
        <w:t>R1-2104844, Carrier Phase Based Downlink Angle of Departure Measurement , DanKook University</w:t>
      </w:r>
    </w:p>
    <w:p>
      <w:pPr>
        <w:pStyle w:val="80"/>
      </w:pPr>
      <w:bookmarkStart w:id="42" w:name="_Ref72154312"/>
      <w:r>
        <w:t>R1-2104873, Discussion on enhancements for DL-AoD positioning solutions, InterDigital, Inc.</w:t>
      </w:r>
      <w:bookmarkEnd w:id="42"/>
    </w:p>
    <w:p>
      <w:pPr>
        <w:pStyle w:val="80"/>
      </w:pPr>
      <w:bookmarkStart w:id="43" w:name="_Ref72155137"/>
      <w:r>
        <w:t>R1-2104907, NR Positioning DL-AoD Enhancements, Intel Corporation</w:t>
      </w:r>
      <w:bookmarkEnd w:id="43"/>
    </w:p>
    <w:p>
      <w:pPr>
        <w:pStyle w:val="80"/>
      </w:pPr>
      <w:bookmarkStart w:id="44" w:name="_Ref72155909"/>
      <w:r>
        <w:t>R1-2105107, Positioning Accuracy enhancements for DL-AoD, Apple</w:t>
      </w:r>
      <w:bookmarkEnd w:id="44"/>
    </w:p>
    <w:p>
      <w:pPr>
        <w:pStyle w:val="80"/>
      </w:pPr>
      <w:r>
        <w:t>R1-2105170, Discussion on accuracy improvements for DL-AoD positioning method, Sony</w:t>
      </w:r>
    </w:p>
    <w:p>
      <w:pPr>
        <w:pStyle w:val="80"/>
      </w:pPr>
      <w:bookmarkStart w:id="45" w:name="_Ref72156850"/>
      <w:r>
        <w:t>R1-2105312, Discussion on accuracy improvements for DL-AoD positioning solutions, Samsung</w:t>
      </w:r>
      <w:bookmarkEnd w:id="45"/>
    </w:p>
    <w:p>
      <w:pPr>
        <w:pStyle w:val="80"/>
      </w:pPr>
      <w:bookmarkStart w:id="46" w:name="_Ref72157408"/>
      <w:r>
        <w:t>R1-2105484, Discussion on accuracy improvement for DL-AoD positioning, LG Electronics</w:t>
      </w:r>
      <w:bookmarkEnd w:id="46"/>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8" w:type="default"/>
      <w:head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lorent Munier" w:date="2021-05-17T12:35:00Z" w:initials="FM">
    <w:p w14:paraId="561844E3">
      <w:pPr>
        <w:pStyle w:val="33"/>
        <w:rPr>
          <w:lang w:val="sv-SE"/>
        </w:rPr>
      </w:pPr>
      <w:r>
        <w:rPr>
          <w:lang w:val="sv-SE"/>
        </w:rPr>
        <w:t>Assumes DFT based precoders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1844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36</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38</w:t>
    </w:r>
    <w:r>
      <w:rPr>
        <w:rStyle w:val="68"/>
      </w:rPr>
      <w:fldChar w:fldCharType="end"/>
    </w:r>
    <w:r>
      <w:rPr>
        <w:rStyle w:val="6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2">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4">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6">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49">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1">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2">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5">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9">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40"/>
  </w:num>
  <w:num w:numId="35">
    <w:abstractNumId w:val="0"/>
  </w:num>
  <w:num w:numId="36">
    <w:abstractNumId w:val="21"/>
  </w:num>
  <w:num w:numId="37">
    <w:abstractNumId w:val="30"/>
  </w:num>
  <w:num w:numId="38">
    <w:abstractNumId w:val="34"/>
  </w:num>
  <w:num w:numId="39">
    <w:abstractNumId w:val="55"/>
  </w:num>
  <w:num w:numId="40">
    <w:abstractNumId w:val="8"/>
  </w:num>
  <w:num w:numId="41">
    <w:abstractNumId w:val="57"/>
  </w:num>
  <w:num w:numId="42">
    <w:abstractNumId w:val="13"/>
  </w:num>
  <w:num w:numId="43">
    <w:abstractNumId w:val="22"/>
  </w:num>
  <w:num w:numId="44">
    <w:abstractNumId w:val="15"/>
  </w:num>
  <w:num w:numId="45">
    <w:abstractNumId w:val="53"/>
  </w:num>
  <w:num w:numId="46">
    <w:abstractNumId w:val="27"/>
  </w:num>
  <w:num w:numId="47">
    <w:abstractNumId w:val="59"/>
  </w:num>
  <w:num w:numId="48">
    <w:abstractNumId w:val="10"/>
  </w:num>
  <w:num w:numId="49">
    <w:abstractNumId w:val="56"/>
  </w:num>
  <w:num w:numId="50">
    <w:abstractNumId w:val="39"/>
  </w:num>
  <w:num w:numId="51">
    <w:abstractNumId w:val="58"/>
  </w:num>
  <w:num w:numId="52">
    <w:abstractNumId w:val="31"/>
  </w:num>
  <w:num w:numId="53">
    <w:abstractNumId w:val="44"/>
  </w:num>
  <w:num w:numId="54">
    <w:abstractNumId w:val="6"/>
  </w:num>
  <w:num w:numId="55">
    <w:abstractNumId w:val="18"/>
  </w:num>
  <w:num w:numId="56">
    <w:abstractNumId w:val="49"/>
  </w:num>
  <w:num w:numId="57">
    <w:abstractNumId w:val="52"/>
  </w:num>
  <w:num w:numId="58">
    <w:abstractNumId w:val="11"/>
  </w:num>
  <w:num w:numId="59">
    <w:abstractNumId w:val="17"/>
  </w:num>
  <w:num w:numId="60">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2"/>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rPr>
      <w:rFonts w:ascii="Times New Roman" w:hAnsi="Times New Roman" w:eastAsia="宋体" w:cs="Times New Roman"/>
      <w:sz w:val="20"/>
    </w:r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ascii="Times New Roman" w:hAnsi="Times New Roman" w:eastAsia="Times New Roman" w:cs="Times New Roman"/>
      <w:sz w:val="20"/>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2A850-404F-4BF7-9967-356CA140C78E}">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33FBA88C-B440-41C3-A65A-A50BD2049B1F}">
  <ds:schemaRefs/>
</ds:datastoreItem>
</file>

<file path=customXml/itemProps5.xml><?xml version="1.0" encoding="utf-8"?>
<ds:datastoreItem xmlns:ds="http://schemas.openxmlformats.org/officeDocument/2006/customXml" ds:itemID="{C847689D-EACE-4F3B-B39D-72AF5556FA09}">
  <ds:schemaRefs/>
</ds:datastoreItem>
</file>

<file path=customXml/itemProps6.xml><?xml version="1.0" encoding="utf-8"?>
<ds:datastoreItem xmlns:ds="http://schemas.openxmlformats.org/officeDocument/2006/customXml" ds:itemID="{65B62CC1-DC3E-4FD6-B077-752A6AD05053}">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38</Pages>
  <Words>9770</Words>
  <Characters>55693</Characters>
  <Lines>464</Lines>
  <Paragraphs>130</Paragraphs>
  <TotalTime>2</TotalTime>
  <ScaleCrop>false</ScaleCrop>
  <LinksUpToDate>false</LinksUpToDate>
  <CharactersWithSpaces>65333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2021-05-20T06:55:00Z</dcterms:created>
  <dc:creator>Deep</dc:creator>
  <cp:keywords>3GPP; Ericsson; TDoc</cp:keywords>
  <cp:lastModifiedBy>vivo-Yuan</cp:lastModifiedBy>
  <cp:lastPrinted>2021-01-22T08:59:00Z</cp:lastPrinted>
  <dcterms:modified xsi:type="dcterms:W3CDTF">2021-05-20T07:22:50Z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y fmtid="{D5CDD505-2E9C-101B-9397-08002B2CF9AE}" pid="23" name="ICV">
    <vt:lpwstr>6A58EE4245BD4C5FB0F2F4F3A0D18E79</vt:lpwstr>
  </property>
</Properties>
</file>