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Ericssson, [Intel]</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[MediaTek], [ZTE, Sanechips]</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ZTE, Sanechips</w:t>
            </w:r>
          </w:p>
        </w:tc>
        <w:tc>
          <w:tcPr>
            <w:tcW w:w="7683" w:type="dxa"/>
          </w:tcPr>
          <w:p w14:paraId="368781F5" w14:textId="77777777" w:rsidR="00E415A0" w:rsidRPr="000E611D" w:rsidRDefault="00E415A0" w:rsidP="00E415A0">
            <w:pPr>
              <w:pStyle w:val="ListParagraph"/>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ListParagraph"/>
              <w:numPr>
                <w:ilvl w:val="0"/>
                <w:numId w:val="40"/>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12C6C0E3" w14:textId="77777777" w:rsidR="00E415A0" w:rsidRDefault="00E415A0" w:rsidP="00E415A0">
            <w:pPr>
              <w:pStyle w:val="ListParagraph"/>
              <w:numPr>
                <w:ilvl w:val="0"/>
                <w:numId w:val="40"/>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E415A0">
            <w:pPr>
              <w:pStyle w:val="ListParagraph"/>
              <w:numPr>
                <w:ilvl w:val="0"/>
                <w:numId w:val="40"/>
              </w:numPr>
              <w:spacing w:afterLines="50" w:after="120"/>
              <w:ind w:leftChars="0"/>
              <w:jc w:val="both"/>
              <w:rPr>
                <w:sz w:val="22"/>
                <w:lang w:val="en-US"/>
              </w:rPr>
            </w:pPr>
            <w:r w:rsidRPr="00E415A0">
              <w:rPr>
                <w:sz w:val="22"/>
                <w:lang w:val="en-US"/>
              </w:rPr>
              <w:t>Regarding evaluation, we have done extensive evaluation in our tdoc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after="0" w:line="276" w:lineRule="auto"/>
              <w:ind w:leftChars="0"/>
              <w:jc w:val="both"/>
            </w:pPr>
            <w:r>
              <w:lastRenderedPageBreak/>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w:t>
            </w:r>
            <w:r w:rsidRPr="00BD7E14">
              <w:rPr>
                <w:rFonts w:eastAsia="MS Mincho" w:cs="Batang"/>
                <w:bCs/>
                <w:sz w:val="22"/>
                <w:szCs w:val="22"/>
              </w:rPr>
              <w:lastRenderedPageBreak/>
              <w:t xml:space="preserve">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lastRenderedPageBreak/>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thoughput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cornor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litmied considering there are so many legacy UEs in the same BWP.</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lastRenderedPageBreak/>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lastRenderedPageBreak/>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w:lastRenderedPageBreak/>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3D62C8" w:rsidRDefault="003D62C8"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3D62C8" w:rsidRDefault="003D62C8"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DE665"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3D62C8" w:rsidRDefault="003D62C8"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3D62C8" w:rsidRDefault="003D62C8"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247AF"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lastRenderedPageBreak/>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3D62C8" w:rsidRDefault="003D62C8" w:rsidP="00DA3A05">
                                  <w:pPr>
                                    <w:pStyle w:val="Caption"/>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3D62C8" w:rsidRDefault="003D62C8"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0A70E"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1" w:name="_Ref68606046"/>
            <w:bookmarkStart w:id="12" w:name="_Ref68606037"/>
            <w:r>
              <w:lastRenderedPageBreak/>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lastRenderedPageBreak/>
              <w:t>ZTE, Sanechips</w:t>
            </w:r>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lastRenderedPageBreak/>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4"/>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 xml:space="preserve">Using raw CSI-RS channel estimates (K=1) that doesn’t utilize the processing gain of the use of pseudo-orthogonal sequences in different </w:t>
            </w:r>
            <w:r>
              <w:lastRenderedPageBreak/>
              <w:t>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w:t>
            </w:r>
            <w:r>
              <w:rPr>
                <w:rFonts w:eastAsia="Malgun Gothic"/>
                <w:lang w:eastAsia="ko-KR"/>
              </w:rPr>
              <w:lastRenderedPageBreak/>
              <w:t>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commens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frist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The network can report TA-based gNB RxTx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 xml:space="preserve">where the eNB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ind w:left="360"/>
            </w:pPr>
            <w:bookmarkStart w:id="28" w:name="_Toc71039793"/>
            <w:r>
              <w:t>Type2:</w:t>
            </w:r>
            <w:bookmarkEnd w:id="28"/>
          </w:p>
          <w:p w14:paraId="078F627F" w14:textId="77777777" w:rsidR="00D4281F" w:rsidRDefault="00D4281F" w:rsidP="00D4281F">
            <w:pPr>
              <w:pStyle w:val="Proposal"/>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0" w:name="_Toc71039795"/>
            <w:r>
              <w:t>T</w:t>
            </w:r>
            <w:r>
              <w:rPr>
                <w:vertAlign w:val="subscript"/>
              </w:rPr>
              <w:t>ADV</w:t>
            </w:r>
            <w:r>
              <w:t xml:space="preserve"> = (gNB Rx – Tx time difference),</w:t>
            </w:r>
            <w:bookmarkEnd w:id="30"/>
          </w:p>
          <w:p w14:paraId="5962B3F1" w14:textId="77777777" w:rsidR="00D4281F" w:rsidRDefault="00D4281F" w:rsidP="00D4281F">
            <w:pPr>
              <w:pStyle w:val="Proposal"/>
              <w:ind w:left="360"/>
              <w:rPr>
                <w:lang w:eastAsia="ja-JP"/>
              </w:rPr>
            </w:pPr>
            <w:bookmarkStart w:id="31" w:name="_Toc71039796"/>
            <w:r>
              <w:t xml:space="preserve">where the gNB Rx – Tx time difference corresponds to a received uplink radio frame containing PRACH from the respective </w:t>
            </w:r>
            <w:proofErr w:type="gramStart"/>
            <w:r>
              <w:t>UE.</w:t>
            </w:r>
            <w:r>
              <w:rPr>
                <w:vertAlign w:val="subscript"/>
              </w:rPr>
              <w:t>.</w:t>
            </w:r>
            <w:bookmarkEnd w:id="31"/>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Extend the gnodeB Rx-Tx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r>
              <w:t>T</w:t>
            </w:r>
            <w:r>
              <w:rPr>
                <w:vertAlign w:val="subscript"/>
              </w:rPr>
              <w:t>gNB-RX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lastRenderedPageBreak/>
              <w:t>ZTE, Sanechips</w:t>
            </w:r>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We are not supportive of disussing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DA37E4">
            <w:pPr>
              <w:spacing w:afterLines="50" w:after="120"/>
              <w:jc w:val="both"/>
              <w:rPr>
                <w:rFonts w:hint="eastAsia"/>
                <w:sz w:val="22"/>
                <w:lang w:val="en-US"/>
              </w:rPr>
            </w:pPr>
            <w:r>
              <w:rPr>
                <w:sz w:val="22"/>
                <w:lang w:val="en-US"/>
              </w:rPr>
              <w:t>Ericsson</w:t>
            </w:r>
          </w:p>
        </w:tc>
        <w:tc>
          <w:tcPr>
            <w:tcW w:w="7683" w:type="dxa"/>
          </w:tcPr>
          <w:p w14:paraId="0A9057D3" w14:textId="77777777" w:rsidR="0008093F" w:rsidRDefault="0008093F" w:rsidP="00DA37E4">
            <w:pPr>
              <w:spacing w:afterLines="50" w:after="120"/>
              <w:jc w:val="both"/>
              <w:rPr>
                <w:rFonts w:hint="eastAsia"/>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eastAsia="zh-CN"/>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SimSun"/>
                <w:noProof/>
                <w:sz w:val="22"/>
                <w:szCs w:val="22"/>
                <w:lang w:val="en-US" w:eastAsia="en-US"/>
              </w:rPr>
            </w:r>
            <w:r w:rsidR="0008093F"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3.75pt;mso-width-percent:0;mso-height-percent:0;mso-width-percent:0;mso-height-percent:0" o:ole="">
                  <v:imagedata r:id="rId28" o:title=""/>
                </v:shape>
                <o:OLEObject Type="Embed" ProgID="Visio.Drawing.15" ShapeID="_x0000_i1025" DrawAspect="Content" ObjectID="_1683360312" r:id="rId29"/>
              </w:object>
            </w:r>
            <w:r w:rsidR="000D6221">
              <w:rPr>
                <w:noProof/>
                <w:lang w:eastAsia="zh-CN"/>
              </w:rPr>
              <w:t xml:space="preserve"> </w:t>
            </w:r>
          </w:p>
          <w:p w14:paraId="61A5678D" w14:textId="77777777" w:rsidR="000D6221" w:rsidRDefault="000D6221" w:rsidP="000D6221">
            <w:pPr>
              <w:pStyle w:val="Caption"/>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w:t>
            </w:r>
            <w:proofErr w:type="gramStart"/>
            <w:r>
              <w:t>i.e.</w:t>
            </w:r>
            <w:proofErr w:type="gramEnd"/>
            <w:r>
              <w:t xml:space="preserv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w:t>
            </w:r>
            <w:proofErr w:type="gramStart"/>
            <w:r>
              <w:t>, ,</w:t>
            </w:r>
            <w:proofErr w:type="gramEnd"/>
            <w:r>
              <w:t xml:space="preserve">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w:t>
            </w:r>
            <w:r>
              <w:rPr>
                <w:rFonts w:eastAsia="SimSun" w:hint="eastAsia"/>
                <w:sz w:val="22"/>
                <w:lang w:val="en-US" w:eastAsia="zh-CN"/>
              </w:rPr>
              <w:lastRenderedPageBreak/>
              <w:t xml:space="preserve">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E905F5">
            <w:pPr>
              <w:pStyle w:val="ListParagraph"/>
              <w:numPr>
                <w:ilvl w:val="0"/>
                <w:numId w:val="45"/>
              </w:numPr>
              <w:spacing w:afterLines="50" w:after="120"/>
              <w:ind w:leftChars="0"/>
              <w:jc w:val="both"/>
              <w:rPr>
                <w:b/>
                <w:bCs/>
                <w:sz w:val="22"/>
                <w:lang w:val="en-US"/>
              </w:rPr>
            </w:pPr>
            <w:r w:rsidRPr="00DA39C9">
              <w:rPr>
                <w:b/>
                <w:bCs/>
                <w:sz w:val="22"/>
                <w:lang w:val="en-US"/>
              </w:rPr>
              <w:t>We are supportive of solving the scheduling restrictions issue in general and not specific to PUSCH repetiton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lastRenderedPageBreak/>
              <w:t>Qualcomm</w:t>
            </w:r>
          </w:p>
        </w:tc>
        <w:tc>
          <w:tcPr>
            <w:tcW w:w="7683" w:type="dxa"/>
          </w:tcPr>
          <w:p w14:paraId="0B886ADF" w14:textId="71323770" w:rsidR="00602EDE" w:rsidRDefault="00602EDE" w:rsidP="00CB27B0">
            <w:pPr>
              <w:spacing w:afterLines="50" w:after="120"/>
              <w:jc w:val="both"/>
              <w:rPr>
                <w:sz w:val="22"/>
                <w:lang w:val="en-US"/>
              </w:rPr>
            </w:pPr>
            <w:r>
              <w:rPr>
                <w:rFonts w:eastAsia="SimSun"/>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47"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7"/>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gNB signal approratie PDCCH in the right CSS or update the TCI for USS? Its not </w:t>
            </w:r>
            <w:r>
              <w:rPr>
                <w:sz w:val="22"/>
                <w:lang w:val="en-US"/>
              </w:rPr>
              <w:lastRenderedPageBreak/>
              <w:t>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lastRenderedPageBreak/>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CB27B0">
            <w:pPr>
              <w:pStyle w:val="ListParagraph"/>
              <w:numPr>
                <w:ilvl w:val="0"/>
                <w:numId w:val="48"/>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CB27B0">
            <w:pPr>
              <w:pStyle w:val="ListParagraph"/>
              <w:numPr>
                <w:ilvl w:val="0"/>
                <w:numId w:val="48"/>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CB27B0">
            <w:pPr>
              <w:pStyle w:val="ListParagraph"/>
              <w:numPr>
                <w:ilvl w:val="0"/>
                <w:numId w:val="48"/>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CB27B0">
            <w:pPr>
              <w:pStyle w:val="ListParagraph"/>
              <w:numPr>
                <w:ilvl w:val="0"/>
                <w:numId w:val="48"/>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 xml:space="preserve">reduce the RLM operation complexity if it </w:t>
            </w:r>
            <w:r w:rsidRPr="00C36DA6">
              <w:rPr>
                <w:i/>
                <w:iCs/>
                <w:sz w:val="22"/>
                <w:lang w:val="en-US"/>
              </w:rPr>
              <w:lastRenderedPageBreak/>
              <w:t>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48"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CB27B0">
            <w:pPr>
              <w:pStyle w:val="ListParagraph"/>
              <w:numPr>
                <w:ilvl w:val="0"/>
                <w:numId w:val="49"/>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CB27B0">
            <w:pPr>
              <w:pStyle w:val="ListParagraph"/>
              <w:numPr>
                <w:ilvl w:val="0"/>
                <w:numId w:val="49"/>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B35BCF">
            <w:pPr>
              <w:pStyle w:val="ListParagraph"/>
              <w:numPr>
                <w:ilvl w:val="0"/>
                <w:numId w:val="49"/>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 xml:space="preserve">it is meaningless to use </w:t>
            </w:r>
            <w:r w:rsidRPr="00A62957">
              <w:rPr>
                <w:sz w:val="22"/>
                <w:lang w:val="en-US"/>
              </w:rPr>
              <w:lastRenderedPageBreak/>
              <w:t>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49"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49"/>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 xml:space="preserve">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w:t>
            </w:r>
            <w:r>
              <w:rPr>
                <w:sz w:val="22"/>
                <w:lang w:val="en-US"/>
              </w:rPr>
              <w:lastRenderedPageBreak/>
              <w:t>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0" w:name="_Hlk57121077"/>
            <w:bookmarkStart w:id="51"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0"/>
          <w:bookmarkEnd w:id="51"/>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ListParagraph"/>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lastRenderedPageBreak/>
              <w:t>As one may see from the above, no new PHY-layer behaviors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2"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2"/>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3"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3"/>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Caption"/>
            </w:pPr>
            <w:bookmarkStart w:id="54" w:name="Observation_4"/>
            <w:r>
              <w:lastRenderedPageBreak/>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4"/>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5"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5"/>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WUS/SCell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ListParagraph"/>
              <w:numPr>
                <w:ilvl w:val="0"/>
                <w:numId w:val="22"/>
              </w:numPr>
              <w:spacing w:after="200"/>
              <w:ind w:leftChars="0" w:left="540" w:hanging="270"/>
              <w:contextualSpacing/>
              <w:rPr>
                <w:sz w:val="22"/>
                <w:szCs w:val="22"/>
              </w:rPr>
            </w:pPr>
            <w:r w:rsidRPr="00231AAA">
              <w:rPr>
                <w:sz w:val="22"/>
                <w:szCs w:val="22"/>
              </w:rPr>
              <w:t xml:space="preserve">Clarify that, if secondary DRX group is configured, DRX active time for a serving cell refers to DRX active time of its associated DRX </w:t>
            </w:r>
            <w:proofErr w:type="gramStart"/>
            <w:r w:rsidRPr="00231AAA">
              <w:rPr>
                <w:sz w:val="22"/>
                <w:szCs w:val="22"/>
              </w:rPr>
              <w:t>group;</w:t>
            </w:r>
            <w:proofErr w:type="gramEnd"/>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6" w:name="_Hlk71824828"/>
      <w:r w:rsidRPr="00202BBC">
        <w:rPr>
          <w:rFonts w:ascii="Arial" w:eastAsia="MS Mincho" w:hAnsi="Arial"/>
          <w:sz w:val="28"/>
          <w:szCs w:val="32"/>
          <w:lang w:val="en-US"/>
        </w:rPr>
        <w:t>Removal of DM-RS restriction for DL MU-MIMO</w:t>
      </w:r>
      <w:bookmarkEnd w:id="56"/>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7"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7"/>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r>
            <w:r w:rsidR="0008093F"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2.05pt;height:153.6pt;mso-width-percent:0;mso-height-percent:0;mso-width-percent:0;mso-height-percent:0" o:ole="">
                  <v:imagedata r:id="rId37" o:title=""/>
                </v:shape>
                <o:OLEObject Type="Embed" ProgID="Visio.Drawing.15" ShapeID="_x0000_i1026" DrawAspect="Content" ObjectID="_1683360313"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r>
            <w:r w:rsidR="0008093F"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05pt;mso-width-percent:0;mso-height-percent:0;mso-width-percent:0;mso-height-percent:0" o:ole="">
                  <v:imagedata r:id="rId39" o:title=""/>
                </v:shape>
                <o:OLEObject Type="Embed" ProgID="Visio.Drawing.15" ShapeID="_x0000_i1027" DrawAspect="Content" ObjectID="_1683360314"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58" w:name="_Ref71571417"/>
            <w:r>
              <w:t xml:space="preserve">Figure </w:t>
            </w:r>
            <w:r>
              <w:fldChar w:fldCharType="begin"/>
            </w:r>
            <w:r>
              <w:instrText xml:space="preserve"> SEQ Figure \* ARABIC </w:instrText>
            </w:r>
            <w:r>
              <w:fldChar w:fldCharType="separate"/>
            </w:r>
            <w:r>
              <w:rPr>
                <w:noProof/>
              </w:rPr>
              <w:t>2</w:t>
            </w:r>
            <w:r>
              <w:fldChar w:fldCharType="end"/>
            </w:r>
            <w:bookmarkEnd w:id="58"/>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59" w:name="_Ref71573639"/>
            <w:r>
              <w:t xml:space="preserve">Figure </w:t>
            </w:r>
            <w:r>
              <w:fldChar w:fldCharType="begin"/>
            </w:r>
            <w:r>
              <w:instrText xml:space="preserve"> SEQ Figure \* ARABIC </w:instrText>
            </w:r>
            <w:r>
              <w:fldChar w:fldCharType="separate"/>
            </w:r>
            <w:r>
              <w:rPr>
                <w:noProof/>
              </w:rPr>
              <w:t>3</w:t>
            </w:r>
            <w:r>
              <w:fldChar w:fldCharType="end"/>
            </w:r>
            <w:bookmarkEnd w:id="59"/>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tdoc R1-1715449, please see the figures below where DMRS TD-OCC cannot work well especially when phase noise is servious,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zh-CN"/>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SimSun" w:hint="eastAsia"/>
                <w:lang w:val="en-US" w:eastAsia="zh-CN"/>
              </w:rPr>
              <w:t xml:space="preserve">Fig  2.2-3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 xml:space="preserve">We are open to discuss further and evaluate the feasibility, but we consider it lower priority. FR2 MU-MIMO with PTRS transmission and more than 6 ports, is still possible with non-orthogonal multiplexing; whether more than 6 orthogonal ports </w:t>
            </w:r>
            <w:proofErr w:type="gramStart"/>
            <w:r>
              <w:rPr>
                <w:sz w:val="22"/>
                <w:lang w:val="en-US"/>
              </w:rPr>
              <w:t>is</w:t>
            </w:r>
            <w:proofErr w:type="gramEnd"/>
            <w:r>
              <w:rPr>
                <w:sz w:val="22"/>
                <w:lang w:val="en-US"/>
              </w:rPr>
              <w:t xml:space="preserve">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0"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0"/>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SimSun"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1" w:name="_Ref71578016"/>
            <w:r>
              <w:t xml:space="preserve">Figure </w:t>
            </w:r>
            <w:r>
              <w:fldChar w:fldCharType="begin"/>
            </w:r>
            <w:r>
              <w:instrText xml:space="preserve"> SEQ Figure \* ARABIC </w:instrText>
            </w:r>
            <w:r>
              <w:fldChar w:fldCharType="separate"/>
            </w:r>
            <w:r>
              <w:rPr>
                <w:noProof/>
              </w:rPr>
              <w:t>4</w:t>
            </w:r>
            <w:r>
              <w:fldChar w:fldCharType="end"/>
            </w:r>
            <w:bookmarkEnd w:id="61"/>
            <w:r>
              <w:t xml:space="preserve"> Illustration of uplink MU-MIMO transmission scenarios</w:t>
            </w:r>
          </w:p>
          <w:p w14:paraId="62D07FCC" w14:textId="77777777" w:rsidR="00202BBC" w:rsidRDefault="00202BBC" w:rsidP="00202BBC">
            <w:pPr>
              <w:tabs>
                <w:tab w:val="num" w:pos="720"/>
              </w:tabs>
              <w:rPr>
                <w:sz w:val="22"/>
              </w:rPr>
            </w:pPr>
            <w:r>
              <w:rPr>
                <w:sz w:val="22"/>
              </w:rPr>
              <w:lastRenderedPageBreak/>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2" w:name="_Ref71586311"/>
            <w:r>
              <w:t xml:space="preserve">Figure </w:t>
            </w:r>
            <w:r>
              <w:fldChar w:fldCharType="begin"/>
            </w:r>
            <w:r>
              <w:instrText xml:space="preserve"> SEQ Figure \* ARABIC </w:instrText>
            </w:r>
            <w:r>
              <w:fldChar w:fldCharType="separate"/>
            </w:r>
            <w:r>
              <w:rPr>
                <w:noProof/>
              </w:rPr>
              <w:t>5</w:t>
            </w:r>
            <w:r>
              <w:fldChar w:fldCharType="end"/>
            </w:r>
            <w:bookmarkEnd w:id="62"/>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 xml:space="preserve">inter-RAT demodulation? If the answer </w:t>
            </w:r>
            <w:r>
              <w:rPr>
                <w:rFonts w:eastAsiaTheme="minorEastAsia"/>
                <w:sz w:val="22"/>
                <w:lang w:val="en-US" w:eastAsia="zh-CN"/>
              </w:rPr>
              <w:lastRenderedPageBreak/>
              <w:t>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lastRenderedPageBreak/>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s, is a typicial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Secondly, the standardization impact is too large. It is unclear how much gain can be achieved using orghogonal DMRS ports compared to that using quasi-orghogonal DMRS ports (e.g. different scrambling).</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lastRenderedPageBreak/>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w:t>
            </w:r>
            <w:proofErr w:type="gramStart"/>
            <w:r>
              <w:t>according</w:t>
            </w:r>
            <w:proofErr w:type="gramEnd"/>
            <w:r>
              <w:t xml:space="preserve">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3" w:name="_Ref68459151"/>
            <w:r>
              <w:t xml:space="preserve">Figure </w:t>
            </w:r>
            <w:r>
              <w:fldChar w:fldCharType="begin"/>
            </w:r>
            <w:r>
              <w:instrText xml:space="preserve"> SEQ Figure \* ARABIC </w:instrText>
            </w:r>
            <w:r>
              <w:fldChar w:fldCharType="separate"/>
            </w:r>
            <w:r>
              <w:rPr>
                <w:noProof/>
              </w:rPr>
              <w:t>1</w:t>
            </w:r>
            <w:r>
              <w:fldChar w:fldCharType="end"/>
            </w:r>
            <w:bookmarkEnd w:id="63"/>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 xml:space="preserve">Specification in this case needs to introduce RRC signaling of the minimum number of blind retransmissions as well as MAC support for switching between blind and </w:t>
            </w:r>
            <w:r>
              <w:lastRenderedPageBreak/>
              <w:t>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r>
            <w:r w:rsidR="0008093F">
              <w:rPr>
                <w:noProof/>
              </w:rPr>
              <w:object w:dxaOrig="5475" w:dyaOrig="4500" w14:anchorId="4649097C">
                <v:shape id="_x0000_i1028" type="#_x0000_t75" alt="" style="width:274pt;height:225.7pt;mso-width-percent:0;mso-height-percent:0;mso-width-percent:0;mso-height-percent:0" o:ole="">
                  <v:imagedata r:id="rId50" o:title=""/>
                </v:shape>
                <o:OLEObject Type="Embed" ProgID="Visio.Drawing.15" ShapeID="_x0000_i1028" DrawAspect="Content" ObjectID="_1683360315"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lastRenderedPageBreak/>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lastRenderedPageBreak/>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lastRenderedPageBreak/>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lastRenderedPageBreak/>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4"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4"/>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lastRenderedPageBreak/>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7552FEC2"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0C045DC7" w14:textId="77777777" w:rsidR="00AF7C42" w:rsidRDefault="00AF7C42" w:rsidP="00AF7C42">
            <w:pPr>
              <w:pStyle w:val="ListParagraph"/>
              <w:numPr>
                <w:ilvl w:val="0"/>
                <w:numId w:val="46"/>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AF7C42">
            <w:pPr>
              <w:pStyle w:val="ListParagraph"/>
              <w:numPr>
                <w:ilvl w:val="0"/>
                <w:numId w:val="47"/>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not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w:t>
            </w:r>
            <w:r>
              <w:rPr>
                <w:sz w:val="22"/>
                <w:lang w:val="en-US"/>
              </w:rPr>
              <w:lastRenderedPageBreak/>
              <w:t>partial coherent UE should be same as there is no power scaling when schedculed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418A3822" w14:textId="77777777" w:rsidR="009132CB" w:rsidRDefault="009132CB" w:rsidP="009132CB">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E6E46C9" w:rsidR="009B643E" w:rsidRDefault="009B643E" w:rsidP="00AD3F54">
            <w:pPr>
              <w:spacing w:afterLines="50" w:after="120"/>
              <w:jc w:val="both"/>
              <w:rPr>
                <w:rFonts w:eastAsiaTheme="minorEastAsia"/>
                <w:sz w:val="22"/>
                <w:lang w:val="en-US" w:eastAsia="zh-CN"/>
              </w:rPr>
            </w:pPr>
            <w:r>
              <w:rPr>
                <w:rFonts w:eastAsiaTheme="minorEastAsia"/>
                <w:sz w:val="22"/>
                <w:lang w:val="en-US" w:eastAsia="zh-CN"/>
              </w:rPr>
              <w:t>vivo</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lastRenderedPageBreak/>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gramStart"/>
      <w:r>
        <w:rPr>
          <w:b/>
          <w:bCs/>
        </w:rPr>
        <w:t>cat.B</w:t>
      </w:r>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gramStart"/>
      <w:r>
        <w:t>cat.B</w:t>
      </w:r>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5" w:name="_Hlk67580046"/>
      <w:r>
        <w:rPr>
          <w:b/>
          <w:bCs/>
        </w:rPr>
        <w:t xml:space="preserve">RAN2 impact of RAN1/4-led TEI CRs shall be limited to RRC signalling of configuration parameters and </w:t>
      </w:r>
      <w:r>
        <w:rPr>
          <w:b/>
          <w:bCs/>
        </w:rPr>
        <w:tab/>
        <w:t>UE capabilities (no MAC impact, no RRC procedural impact, etc.)</w:t>
      </w:r>
      <w:bookmarkEnd w:id="65"/>
    </w:p>
    <w:p w14:paraId="799D7F73" w14:textId="77777777" w:rsidR="001F0C78" w:rsidRDefault="001F0C78" w:rsidP="001F0C78">
      <w:bookmarkStart w:id="66" w:name="_Hlk67580600"/>
      <w:r>
        <w:lastRenderedPageBreak/>
        <w:t>Note: Ideally one RAN WG would take the decision about whether a TEI feature should be introduced or not and other RAN WGs then accept this decision and contribute their TEI CRs.</w:t>
      </w:r>
      <w:bookmarkEnd w:id="66"/>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 xml:space="preserve">comment if it turned out that there is no impact). But CR proponents need to </w:t>
      </w:r>
      <w:r>
        <w:lastRenderedPageBreak/>
        <w:t>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gramStart"/>
      <w:r>
        <w:t>cat.B</w:t>
      </w:r>
      <w:proofErr w:type="gramEnd"/>
      <w:r>
        <w:t xml:space="preserve">/C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 xml:space="preserve">CRs. So this means ~20 CRs per TSG RAN meeting plus a few </w:t>
      </w:r>
      <w:proofErr w:type="gramStart"/>
      <w:r>
        <w:t>cat.F</w:t>
      </w:r>
      <w:proofErr w:type="gramEnd"/>
      <w:r>
        <w:t>/A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11AF9" w14:textId="77777777" w:rsidR="003D62C8" w:rsidRDefault="003D62C8">
      <w:r>
        <w:separator/>
      </w:r>
    </w:p>
  </w:endnote>
  <w:endnote w:type="continuationSeparator" w:id="0">
    <w:p w14:paraId="55E77CCF" w14:textId="77777777" w:rsidR="003D62C8" w:rsidRDefault="003D62C8">
      <w:r>
        <w:continuationSeparator/>
      </w:r>
    </w:p>
  </w:endnote>
  <w:endnote w:type="continuationNotice" w:id="1">
    <w:p w14:paraId="5E640243" w14:textId="77777777" w:rsidR="003D62C8" w:rsidRDefault="003D62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BatangChe">
    <w:altName w:val="Arial Unicode MS"/>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cho">
    <w:altName w:val="明朝"/>
    <w:panose1 w:val="020B06040202020202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altName w:val="Sylfaen"/>
    <w:panose1 w:val="020B060402020202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3D62C8" w:rsidRPr="00000924" w:rsidRDefault="003D62C8">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46</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56</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B8A6C" w14:textId="77777777" w:rsidR="003D62C8" w:rsidRDefault="003D62C8">
      <w:r>
        <w:separator/>
      </w:r>
    </w:p>
  </w:footnote>
  <w:footnote w:type="continuationSeparator" w:id="0">
    <w:p w14:paraId="5013C5F4" w14:textId="77777777" w:rsidR="003D62C8" w:rsidRDefault="003D62C8">
      <w:r>
        <w:continuationSeparator/>
      </w:r>
    </w:p>
  </w:footnote>
  <w:footnote w:type="continuationNotice" w:id="1">
    <w:p w14:paraId="44A8B0A6" w14:textId="77777777" w:rsidR="003D62C8" w:rsidRDefault="003D62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4"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0"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4"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D53980"/>
    <w:multiLevelType w:val="multilevel"/>
    <w:tmpl w:val="99F4D080"/>
    <w:numStyleLink w:val="1"/>
  </w:abstractNum>
  <w:num w:numId="1">
    <w:abstractNumId w:val="33"/>
  </w:num>
  <w:num w:numId="2">
    <w:abstractNumId w:val="12"/>
  </w:num>
  <w:num w:numId="3">
    <w:abstractNumId w:val="45"/>
  </w:num>
  <w:num w:numId="4">
    <w:abstractNumId w:val="6"/>
  </w:num>
  <w:num w:numId="5">
    <w:abstractNumId w:val="9"/>
  </w:num>
  <w:num w:numId="6">
    <w:abstractNumId w:val="15"/>
  </w:num>
  <w:num w:numId="7">
    <w:abstractNumId w:val="31"/>
  </w:num>
  <w:num w:numId="8">
    <w:abstractNumId w:val="23"/>
  </w:num>
  <w:num w:numId="9">
    <w:abstractNumId w:val="22"/>
  </w:num>
  <w:num w:numId="10">
    <w:abstractNumId w:val="10"/>
  </w:num>
  <w:num w:numId="11">
    <w:abstractNumId w:val="5"/>
  </w:num>
  <w:num w:numId="12">
    <w:abstractNumId w:val="46"/>
  </w:num>
  <w:num w:numId="13">
    <w:abstractNumId w:val="41"/>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5"/>
  </w:num>
  <w:num w:numId="20">
    <w:abstractNumId w:val="42"/>
  </w:num>
  <w:num w:numId="21">
    <w:abstractNumId w:val="18"/>
  </w:num>
  <w:num w:numId="22">
    <w:abstractNumId w:val="36"/>
  </w:num>
  <w:num w:numId="23">
    <w:abstractNumId w:val="30"/>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num>
  <w:num w:numId="28">
    <w:abstractNumId w:val="37"/>
  </w:num>
  <w:num w:numId="29">
    <w:abstractNumId w:val="39"/>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4"/>
  </w:num>
  <w:num w:numId="34">
    <w:abstractNumId w:val="25"/>
  </w:num>
  <w:num w:numId="35">
    <w:abstractNumId w:val="14"/>
  </w:num>
  <w:num w:numId="36">
    <w:abstractNumId w:val="7"/>
  </w:num>
  <w:num w:numId="37">
    <w:abstractNumId w:val="13"/>
  </w:num>
  <w:num w:numId="38">
    <w:abstractNumId w:val="20"/>
  </w:num>
  <w:num w:numId="39">
    <w:abstractNumId w:val="40"/>
  </w:num>
  <w:num w:numId="40">
    <w:abstractNumId w:val="3"/>
  </w:num>
  <w:num w:numId="41">
    <w:abstractNumId w:val="0"/>
  </w:num>
  <w:num w:numId="42">
    <w:abstractNumId w:val="2"/>
  </w:num>
  <w:num w:numId="43">
    <w:abstractNumId w:val="1"/>
  </w:num>
  <w:num w:numId="44">
    <w:abstractNumId w:val="43"/>
  </w:num>
  <w:num w:numId="45">
    <w:abstractNumId w:val="8"/>
  </w:num>
  <w:num w:numId="46">
    <w:abstractNumId w:val="34"/>
  </w:num>
  <w:num w:numId="47">
    <w:abstractNumId w:val="24"/>
  </w:num>
  <w:num w:numId="48">
    <w:abstractNumId w:val="44"/>
  </w:num>
  <w:num w:numId="49">
    <w:abstractNumId w:val="3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6145"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A302A16C-2579-409E-B39D-A97BCD1EBF64}">
  <ds:schemaRefs>
    <ds:schemaRef ds:uri="http://schemas.openxmlformats.org/officeDocument/2006/bibliography"/>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25058</Words>
  <Characters>129063</Characters>
  <Application>Microsoft Office Word</Application>
  <DocSecurity>0</DocSecurity>
  <Lines>1075</Lines>
  <Paragraphs>307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153814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Florent Munier</cp:lastModifiedBy>
  <cp:revision>2</cp:revision>
  <cp:lastPrinted>2017-08-09T04:40:00Z</cp:lastPrinted>
  <dcterms:created xsi:type="dcterms:W3CDTF">2021-05-24T09:17:00Z</dcterms:created>
  <dcterms:modified xsi:type="dcterms:W3CDTF">2021-05-24T09:17:00Z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