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ZTE, Sanechips</w:t>
            </w:r>
          </w:p>
        </w:tc>
        <w:tc>
          <w:tcPr>
            <w:tcW w:w="7683" w:type="dxa"/>
          </w:tcPr>
          <w:p w14:paraId="368781F5" w14:textId="77777777" w:rsidR="00E415A0" w:rsidRPr="000E611D" w:rsidRDefault="00E415A0" w:rsidP="00E415A0">
            <w:pPr>
              <w:pStyle w:val="ListParagraph"/>
              <w:numPr>
                <w:ilvl w:val="0"/>
                <w:numId w:val="40"/>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ListParagraph"/>
              <w:numPr>
                <w:ilvl w:val="0"/>
                <w:numId w:val="40"/>
              </w:numPr>
              <w:spacing w:afterLines="50" w:after="120"/>
              <w:ind w:leftChars="0"/>
              <w:jc w:val="both"/>
              <w:rPr>
                <w:sz w:val="22"/>
                <w:lang w:val="en-US"/>
              </w:rPr>
            </w:pPr>
            <w:r w:rsidRPr="000E611D">
              <w:rPr>
                <w:sz w:val="22"/>
                <w:lang w:val="en-US"/>
              </w:rPr>
              <w:t xml:space="preserve">In response to Intel’s comment on multi-DCI mTRP, mTRP can only support TDM on uplink i.e. UL-MIMO with 2CW for rank2-4 cannot be supported.  Also, it will unnecessarily introduce extra complexity for UEs to support multi-DCI mTRP for the purpose of uplink enhancement in single TRP only even if a UE capability is defined targeting UL only.  </w:t>
            </w:r>
          </w:p>
          <w:p w14:paraId="12C6C0E3" w14:textId="77777777" w:rsidR="00E415A0" w:rsidRDefault="00E415A0" w:rsidP="00E415A0">
            <w:pPr>
              <w:pStyle w:val="ListParagraph"/>
              <w:numPr>
                <w:ilvl w:val="0"/>
                <w:numId w:val="40"/>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E415A0">
            <w:pPr>
              <w:pStyle w:val="ListParagraph"/>
              <w:numPr>
                <w:ilvl w:val="0"/>
                <w:numId w:val="40"/>
              </w:numPr>
              <w:spacing w:afterLines="50" w:after="120"/>
              <w:ind w:leftChars="0"/>
              <w:jc w:val="both"/>
              <w:rPr>
                <w:sz w:val="22"/>
                <w:lang w:val="en-US"/>
              </w:rPr>
            </w:pPr>
            <w:r w:rsidRPr="00E415A0">
              <w:rPr>
                <w:sz w:val="22"/>
                <w:lang w:val="en-US"/>
              </w:rPr>
              <w:t>Regarding evaluation, we have done extensive evaluation in our tdoc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dependernt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067338F" w14:textId="77777777" w:rsidR="00436B7C" w:rsidRDefault="00436B7C" w:rsidP="00436B7C">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thoughput for NR. </w:t>
            </w:r>
          </w:p>
        </w:tc>
      </w:tr>
      <w:tr w:rsidR="00602EDE" w14:paraId="3584CE72" w14:textId="77777777" w:rsidTr="00E905F5">
        <w:tc>
          <w:tcPr>
            <w:tcW w:w="1945" w:type="dxa"/>
          </w:tcPr>
          <w:p w14:paraId="4407CDA7" w14:textId="77777777" w:rsidR="00602EDE" w:rsidRDefault="00602EDE" w:rsidP="00CB27B0">
            <w:pPr>
              <w:spacing w:afterLines="50" w:after="120"/>
              <w:jc w:val="both"/>
              <w:rPr>
                <w:sz w:val="22"/>
                <w:lang w:val="en-US"/>
              </w:rPr>
            </w:pPr>
          </w:p>
        </w:tc>
        <w:tc>
          <w:tcPr>
            <w:tcW w:w="7683" w:type="dxa"/>
          </w:tcPr>
          <w:p w14:paraId="7A69523C" w14:textId="77777777" w:rsidR="00602EDE" w:rsidRDefault="00602EDE" w:rsidP="00CB27B0">
            <w:pPr>
              <w:spacing w:afterLines="50" w:after="120"/>
              <w:jc w:val="both"/>
              <w:rPr>
                <w:sz w:val="22"/>
                <w:lang w:val="en-US"/>
              </w:rPr>
            </w:pP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392C58" w14:textId="77777777" w:rsidR="00CB27B0" w:rsidRDefault="00CB27B0"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CB27B0" w:rsidRDefault="00CB27B0"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E94147" w14:textId="77777777" w:rsidR="00CB27B0" w:rsidRDefault="00CB27B0"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CB27B0" w:rsidRDefault="00CB27B0"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8B0AFB" w14:textId="77777777" w:rsidR="00CB27B0" w:rsidRDefault="00CB27B0"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CB27B0" w:rsidRDefault="00CB27B0"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ZTE, Sanechips</w:t>
            </w:r>
          </w:p>
        </w:tc>
        <w:tc>
          <w:tcPr>
            <w:tcW w:w="7683" w:type="dxa"/>
            <w:shd w:val="clear" w:color="auto" w:fill="auto"/>
          </w:tcPr>
          <w:p w14:paraId="787D62ED" w14:textId="36F5D08D" w:rsidR="00436B7C" w:rsidRPr="00CA79B0" w:rsidRDefault="00436B7C" w:rsidP="00436B7C">
            <w:pPr>
              <w:pStyle w:val="NormalWeb"/>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7"/>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Huawei, HiSIlicon</w:t>
            </w:r>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The network can report TA-based gNB RxTx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ind w:left="360"/>
              <w:rPr>
                <w:lang w:eastAsia="ja-JP"/>
              </w:rPr>
            </w:pPr>
            <w:bookmarkStart w:id="34" w:name="_Toc71039796"/>
            <w:r>
              <w:t>where the gNB Rx – Tx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Extend the gnodeB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xtend the gnodeB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03B0C1F2" w14:textId="77777777" w:rsidR="00436B7C" w:rsidRDefault="00436B7C" w:rsidP="00436B7C">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4DC80881" w14:textId="3AA43209" w:rsidR="00602EDE" w:rsidRDefault="00602EDE" w:rsidP="00602EDE">
            <w:pPr>
              <w:spacing w:afterLines="50" w:after="120"/>
              <w:jc w:val="both"/>
              <w:rPr>
                <w:rFonts w:eastAsia="宋体"/>
                <w:sz w:val="22"/>
                <w:lang w:val="en-US" w:eastAsia="zh-CN"/>
              </w:rPr>
            </w:pPr>
            <w:r>
              <w:rPr>
                <w:rFonts w:eastAsiaTheme="minorEastAsia"/>
                <w:sz w:val="22"/>
                <w:lang w:val="en-US" w:eastAsia="zh-CN"/>
              </w:rPr>
              <w:t>We are not supportive of disussing Type 1 TA, nor leaving it up for further study during the rel-17 positioning enhancements. The Rel-17 Positioning work is heavy loaded, and the WID was converged after long discussions.</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BD7F3B" w:rsidP="000D6221">
            <w:pPr>
              <w:keepNext/>
            </w:pPr>
            <w:r w:rsidRPr="00BD7F3B">
              <w:rPr>
                <w:rFonts w:eastAsia="宋体"/>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15pt;height:53.75pt;mso-width-percent:0;mso-height-percent:0;mso-width-percent:0;mso-height-percent:0" o:ole="">
                  <v:imagedata r:id="rId28" o:title=""/>
                </v:shape>
                <o:OLEObject Type="Embed" ProgID="Visio.Drawing.15" ShapeID="_x0000_i1025" DrawAspect="Content" ObjectID="_1683182921" r:id="rId29"/>
              </w:object>
            </w:r>
            <w:r w:rsidR="000D6221">
              <w:rPr>
                <w:noProof/>
                <w:lang w:eastAsia="zh-CN"/>
              </w:rPr>
              <w:t xml:space="preserve"> </w:t>
            </w:r>
          </w:p>
          <w:p w14:paraId="61A5678D" w14:textId="77777777" w:rsidR="000D6221" w:rsidRDefault="000D6221" w:rsidP="000D6221">
            <w:pPr>
              <w:pStyle w:val="Caption"/>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767DF63" w14:textId="77777777" w:rsidR="00436B7C" w:rsidRDefault="00436B7C" w:rsidP="00436B7C">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5E326DA" w14:textId="77777777" w:rsidR="00436B7C" w:rsidRDefault="00436B7C" w:rsidP="00436B7C">
            <w:pPr>
              <w:numPr>
                <w:ilvl w:val="0"/>
                <w:numId w:val="4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56565AC0"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75FCAC6" w14:textId="77777777" w:rsidR="00E905F5" w:rsidRPr="00DA39C9" w:rsidRDefault="00E905F5" w:rsidP="00E905F5">
            <w:pPr>
              <w:pStyle w:val="ListParagraph"/>
              <w:numPr>
                <w:ilvl w:val="0"/>
                <w:numId w:val="45"/>
              </w:numPr>
              <w:spacing w:afterLines="50" w:after="120"/>
              <w:ind w:leftChars="0"/>
              <w:jc w:val="both"/>
              <w:rPr>
                <w:b/>
                <w:bCs/>
                <w:sz w:val="22"/>
                <w:lang w:val="en-US"/>
              </w:rPr>
            </w:pPr>
            <w:r w:rsidRPr="00DA39C9">
              <w:rPr>
                <w:b/>
                <w:bCs/>
                <w:sz w:val="22"/>
                <w:lang w:val="en-US"/>
              </w:rPr>
              <w:t>We are supportive of solving the scheduling restrictions issue in general and not specific to PUSCH repetiton under TEI Rel-17.</w:t>
            </w:r>
          </w:p>
          <w:p w14:paraId="60F30331" w14:textId="77777777" w:rsidR="00E905F5" w:rsidRDefault="00E905F5" w:rsidP="00CB27B0">
            <w:pPr>
              <w:rPr>
                <w:sz w:val="22"/>
                <w:lang w:val="en-US"/>
              </w:rPr>
            </w:pP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t>Qualcomm</w:t>
            </w:r>
          </w:p>
        </w:tc>
        <w:tc>
          <w:tcPr>
            <w:tcW w:w="7683" w:type="dxa"/>
          </w:tcPr>
          <w:p w14:paraId="0B886ADF" w14:textId="71323770" w:rsidR="00602EDE" w:rsidRDefault="00602EDE" w:rsidP="00CB27B0">
            <w:pPr>
              <w:spacing w:afterLines="50" w:after="120"/>
              <w:jc w:val="both"/>
              <w:rPr>
                <w:sz w:val="22"/>
                <w:lang w:val="en-US"/>
              </w:rPr>
            </w:pPr>
            <w:r>
              <w:rPr>
                <w:rFonts w:eastAsia="宋体"/>
                <w:sz w:val="22"/>
                <w:lang w:val="en-US" w:eastAsia="zh-CN"/>
              </w:rPr>
              <w:t>We are open to discuss this with lower priority.</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ListParagraph"/>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ListParagraph"/>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ListParagraph"/>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CB27B0">
            <w:pPr>
              <w:pStyle w:val="ListParagraph"/>
              <w:numPr>
                <w:ilvl w:val="0"/>
                <w:numId w:val="48"/>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7F20A65C" w14:textId="77777777" w:rsidR="00B35BCF" w:rsidRPr="00E67375" w:rsidRDefault="00B35BCF" w:rsidP="00CB27B0">
            <w:pPr>
              <w:pStyle w:val="ListParagraph"/>
              <w:numPr>
                <w:ilvl w:val="0"/>
                <w:numId w:val="48"/>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CB27B0">
            <w:pPr>
              <w:pStyle w:val="ListParagraph"/>
              <w:numPr>
                <w:ilvl w:val="0"/>
                <w:numId w:val="48"/>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CB27B0">
            <w:pPr>
              <w:pStyle w:val="ListParagraph"/>
              <w:numPr>
                <w:ilvl w:val="0"/>
                <w:numId w:val="48"/>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695816AE"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1"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(or mandatory with capability signalling)</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CB27B0">
            <w:pPr>
              <w:pStyle w:val="ListParagraph"/>
              <w:numPr>
                <w:ilvl w:val="0"/>
                <w:numId w:val="49"/>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B35BCF">
            <w:pPr>
              <w:pStyle w:val="ListParagraph"/>
              <w:numPr>
                <w:ilvl w:val="0"/>
                <w:numId w:val="49"/>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gNB </w:t>
            </w:r>
            <w:r w:rsidR="005F3892">
              <w:rPr>
                <w:sz w:val="22"/>
                <w:lang w:val="en-US"/>
              </w:rPr>
              <w:t xml:space="preserve">about of the switch. </w:t>
            </w:r>
            <w:r w:rsidRPr="00CB27B0">
              <w:rPr>
                <w:sz w:val="22"/>
                <w:lang w:val="en-US"/>
              </w:rPr>
              <w:t>gNB may find out it needs to reconfigure the RLM SSBs from other information, e.g., from the RRM measurement report.</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52"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2"/>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3" w:name="_Hlk57121077"/>
            <w:bookmarkStart w:id="54"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3"/>
          <w:bookmarkEnd w:id="54"/>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ListParagraph"/>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5"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5"/>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6"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6"/>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宋体"/>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Caption"/>
            </w:pPr>
            <w:bookmarkStart w:id="57"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7"/>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8"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8"/>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WUS/SCell dormancy simulatenously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9" w:name="_Hlk71824828"/>
      <w:r w:rsidRPr="00202BBC">
        <w:rPr>
          <w:rFonts w:ascii="Arial" w:eastAsia="MS Mincho" w:hAnsi="Arial"/>
          <w:sz w:val="28"/>
          <w:szCs w:val="32"/>
          <w:lang w:val="en-US"/>
        </w:rPr>
        <w:t>Removal of DM-RS restriction for DL MU-MIMO</w:t>
      </w:r>
      <w:bookmarkEnd w:id="59"/>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0"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0"/>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BD7F3B"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1.85pt;height:153.8pt;mso-width-percent:0;mso-height-percent:0;mso-width-percent:0;mso-height-percent:0" o:ole="">
                  <v:imagedata r:id="rId37" o:title=""/>
                </v:shape>
                <o:OLEObject Type="Embed" ProgID="Visio.Drawing.15" ShapeID="_x0000_i1026" DrawAspect="Content" ObjectID="_1683182922"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7pt;height:151pt;mso-width-percent:0;mso-height-percent:0;mso-width-percent:0;mso-height-percent:0" o:ole="">
                  <v:imagedata r:id="rId39" o:title=""/>
                </v:shape>
                <o:OLEObject Type="Embed" ProgID="Visio.Drawing.15" ShapeID="_x0000_i1027" DrawAspect="Content" ObjectID="_1683182923"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1" w:name="_Ref71571417"/>
            <w:r>
              <w:t xml:space="preserve">Figure </w:t>
            </w:r>
            <w:r>
              <w:fldChar w:fldCharType="begin"/>
            </w:r>
            <w:r>
              <w:instrText xml:space="preserve"> SEQ Figure \* ARABIC </w:instrText>
            </w:r>
            <w:r>
              <w:fldChar w:fldCharType="separate"/>
            </w:r>
            <w:r>
              <w:rPr>
                <w:noProof/>
              </w:rPr>
              <w:t>2</w:t>
            </w:r>
            <w:r>
              <w:fldChar w:fldCharType="end"/>
            </w:r>
            <w:bookmarkEnd w:id="61"/>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2" w:name="_Ref71573639"/>
            <w:r>
              <w:t xml:space="preserve">Figure </w:t>
            </w:r>
            <w:r>
              <w:fldChar w:fldCharType="begin"/>
            </w:r>
            <w:r>
              <w:instrText xml:space="preserve"> SEQ Figure \* ARABIC </w:instrText>
            </w:r>
            <w:r>
              <w:fldChar w:fldCharType="separate"/>
            </w:r>
            <w:r>
              <w:rPr>
                <w:noProof/>
              </w:rPr>
              <w:t>3</w:t>
            </w:r>
            <w:r>
              <w:fldChar w:fldCharType="end"/>
            </w:r>
            <w:bookmarkEnd w:id="62"/>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tdoc R1-1715449, please see the figures below where DMRS TD-OCC cannot work well especially when phase noise is servious,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宋体"/>
                <w:b/>
                <w:bCs/>
                <w:iCs/>
                <w:lang w:val="en-US" w:eastAsia="zh-CN"/>
              </w:rPr>
            </w:pPr>
            <w:r>
              <w:rPr>
                <w:rFonts w:eastAsia="宋体"/>
                <w:b/>
                <w:bCs/>
                <w:iCs/>
                <w:noProof/>
                <w:lang w:val="en-US" w:eastAsia="zh-CN"/>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宋体"/>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宋体" w:hint="eastAsia"/>
                <w:lang w:val="en-US" w:eastAsia="zh-CN"/>
              </w:rPr>
              <w:t xml:space="preserve">Fig  2.2-3 Performance show for scenarios with </w:t>
            </w:r>
            <w:r>
              <w:rPr>
                <w:rFonts w:eastAsia="宋体"/>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We are open to discuss further and evaluate the feasibility, but we consider it lower priority. FR2 MU-MIMO with PTRS transmission and more than 6 ports, is still possible with non-orthogonal multiplexing; whether more than 6 orthogonal ports is urgent from deployment/market perspective is not clear to us.</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3" w:name="_Ref71578016"/>
            <w:r>
              <w:t xml:space="preserve">Figure </w:t>
            </w:r>
            <w:r>
              <w:fldChar w:fldCharType="begin"/>
            </w:r>
            <w:r>
              <w:instrText xml:space="preserve"> SEQ Figure \* ARABIC </w:instrText>
            </w:r>
            <w:r>
              <w:fldChar w:fldCharType="separate"/>
            </w:r>
            <w:r>
              <w:rPr>
                <w:noProof/>
              </w:rPr>
              <w:t>4</w:t>
            </w:r>
            <w:r>
              <w:fldChar w:fldCharType="end"/>
            </w:r>
            <w:bookmarkEnd w:id="63"/>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4" w:name="_Ref71586311"/>
            <w:r>
              <w:t xml:space="preserve">Figure </w:t>
            </w:r>
            <w:r>
              <w:fldChar w:fldCharType="begin"/>
            </w:r>
            <w:r>
              <w:instrText xml:space="preserve"> SEQ Figure \* ARABIC </w:instrText>
            </w:r>
            <w:r>
              <w:fldChar w:fldCharType="separate"/>
            </w:r>
            <w:r>
              <w:rPr>
                <w:noProof/>
              </w:rPr>
              <w:t>5</w:t>
            </w:r>
            <w:r>
              <w:fldChar w:fldCharType="end"/>
            </w:r>
            <w:bookmarkEnd w:id="64"/>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宋体"/>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434F5FF5" w14:textId="6E512CC1" w:rsidR="00436B7C" w:rsidRDefault="00436B7C" w:rsidP="00436B7C">
            <w:pPr>
              <w:spacing w:afterLines="50" w:after="120"/>
              <w:jc w:val="both"/>
              <w:rPr>
                <w:rFonts w:eastAsia="宋体"/>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5" w:name="_Ref68459151"/>
            <w:r>
              <w:t xml:space="preserve">Figure </w:t>
            </w:r>
            <w:r>
              <w:fldChar w:fldCharType="begin"/>
            </w:r>
            <w:r>
              <w:instrText xml:space="preserve"> SEQ Figure \* ARABIC </w:instrText>
            </w:r>
            <w:r>
              <w:fldChar w:fldCharType="separate"/>
            </w:r>
            <w:r>
              <w:rPr>
                <w:noProof/>
              </w:rPr>
              <w:t>1</w:t>
            </w:r>
            <w:r>
              <w:fldChar w:fldCharType="end"/>
            </w:r>
            <w:bookmarkEnd w:id="65"/>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BD7F3B" w:rsidP="00EF50AD">
            <w:pPr>
              <w:pStyle w:val="3GPPText"/>
              <w:jc w:val="center"/>
            </w:pPr>
            <w:r>
              <w:rPr>
                <w:noProof/>
              </w:rPr>
              <w:object w:dxaOrig="5475" w:dyaOrig="4500" w14:anchorId="4649097C">
                <v:shape id="_x0000_i1028" type="#_x0000_t75" alt="" style="width:273.95pt;height:225.8pt;mso-width-percent:0;mso-height-percent:0;mso-width-percent:0;mso-height-percent:0" o:ole="">
                  <v:imagedata r:id="rId50" o:title=""/>
                </v:shape>
                <o:OLEObject Type="Embed" ProgID="Visio.Drawing.15" ShapeID="_x0000_i1028" DrawAspect="Content" ObjectID="_1683182924" r:id="rId51"/>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宋体" w:hint="eastAsia"/>
                <w:sz w:val="22"/>
                <w:lang w:val="en-US" w:eastAsia="zh-CN"/>
              </w:rPr>
              <w:t>ZTE</w:t>
            </w:r>
            <w:r>
              <w:rPr>
                <w:rFonts w:eastAsia="宋体"/>
                <w:sz w:val="22"/>
                <w:lang w:val="en-US" w:eastAsia="zh-CN"/>
              </w:rPr>
              <w:t>, Sanechips</w:t>
            </w:r>
          </w:p>
        </w:tc>
        <w:tc>
          <w:tcPr>
            <w:tcW w:w="7683" w:type="dxa"/>
          </w:tcPr>
          <w:p w14:paraId="2FC0A9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CB27B0">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6"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6"/>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7552FEC2"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0C045DC7"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AF7C42">
            <w:pPr>
              <w:pStyle w:val="ListParagraph"/>
              <w:numPr>
                <w:ilvl w:val="0"/>
                <w:numId w:val="47"/>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bl>
    <w:p w14:paraId="4CE0A55B" w14:textId="77777777" w:rsidR="00FD444E" w:rsidRDefault="00FD444E" w:rsidP="002753B9">
      <w:pPr>
        <w:rPr>
          <w:b/>
        </w:rPr>
      </w:pPr>
      <w:bookmarkStart w:id="67" w:name="_GoBack"/>
      <w:bookmarkEnd w:id="67"/>
    </w:p>
    <w:p w14:paraId="1CFFE8E7" w14:textId="77777777" w:rsidR="00FD444E" w:rsidRDefault="00FD444E" w:rsidP="002753B9">
      <w:pPr>
        <w:rPr>
          <w:b/>
        </w:rPr>
      </w:pPr>
    </w:p>
    <w:p w14:paraId="7A586CCF" w14:textId="4F37CB92" w:rsidR="00974662" w:rsidRPr="00E34C18" w:rsidRDefault="00DA3A05" w:rsidP="00714D97">
      <w:pPr>
        <w:pStyle w:val="ListParagraph"/>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8" w:name="_Hlk67580046"/>
      <w:r>
        <w:rPr>
          <w:b/>
          <w:bCs/>
        </w:rPr>
        <w:t xml:space="preserve">RAN2 impact of RAN1/4-led TEI CRs shall be limited to RRC signalling of configuration parameters and </w:t>
      </w:r>
      <w:r>
        <w:rPr>
          <w:b/>
          <w:bCs/>
        </w:rPr>
        <w:tab/>
        <w:t>UE capabilities (no MAC impact, no RRC procedural impact, etc.)</w:t>
      </w:r>
      <w:bookmarkEnd w:id="68"/>
    </w:p>
    <w:p w14:paraId="799D7F73" w14:textId="77777777" w:rsidR="001F0C78" w:rsidRDefault="001F0C78" w:rsidP="001F0C78">
      <w:bookmarkStart w:id="69" w:name="_Hlk67580600"/>
      <w:r>
        <w:t>Note: Ideally one RAN WG would take the decision about whether a TEI feature should be introduced or not and other RAN WGs then accept this decision and contribute their TEI CRs.</w:t>
      </w:r>
      <w:bookmarkEnd w:id="69"/>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headerReference w:type="even" r:id="rId54"/>
      <w:headerReference w:type="default" r:id="rId55"/>
      <w:footerReference w:type="even" r:id="rId56"/>
      <w:footerReference w:type="default" r:id="rId57"/>
      <w:headerReference w:type="first" r:id="rId58"/>
      <w:footerReference w:type="first" r:id="rId5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E0BFE" w14:textId="77777777" w:rsidR="00802EAB" w:rsidRDefault="00802EAB">
      <w:r>
        <w:separator/>
      </w:r>
    </w:p>
  </w:endnote>
  <w:endnote w:type="continuationSeparator" w:id="0">
    <w:p w14:paraId="2C6586BB" w14:textId="77777777" w:rsidR="00802EAB" w:rsidRDefault="00802EAB">
      <w:r>
        <w:continuationSeparator/>
      </w:r>
    </w:p>
  </w:endnote>
  <w:endnote w:type="continuationNotice" w:id="1">
    <w:p w14:paraId="501B80A2" w14:textId="77777777" w:rsidR="00802EAB" w:rsidRDefault="00802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D2C7F" w14:textId="77777777" w:rsidR="00CB27B0" w:rsidRDefault="00CB27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0D8063C0" w:rsidR="00CB27B0" w:rsidRPr="00000924" w:rsidRDefault="00CB27B0">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45</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49</w:t>
    </w:r>
    <w:r>
      <w:rPr>
        <w:rStyle w:val="PageNumber"/>
        <w:rFonts w:eastAsia="MS Gothic"/>
      </w:rPr>
      <w:fldChar w:fldCharType="end"/>
    </w:r>
    <w:r>
      <w:rPr>
        <w:rStyle w:val="PageNumber"/>
        <w:rFonts w:eastAsia="MS Gothic"/>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06573" w14:textId="77777777" w:rsidR="00CB27B0" w:rsidRDefault="00CB27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D4C36" w14:textId="77777777" w:rsidR="00802EAB" w:rsidRDefault="00802EAB">
      <w:r>
        <w:separator/>
      </w:r>
    </w:p>
  </w:footnote>
  <w:footnote w:type="continuationSeparator" w:id="0">
    <w:p w14:paraId="57510F71" w14:textId="77777777" w:rsidR="00802EAB" w:rsidRDefault="00802EAB">
      <w:r>
        <w:continuationSeparator/>
      </w:r>
    </w:p>
  </w:footnote>
  <w:footnote w:type="continuationNotice" w:id="1">
    <w:p w14:paraId="78AD6865" w14:textId="77777777" w:rsidR="00802EAB" w:rsidRDefault="00802E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3A99" w14:textId="77777777" w:rsidR="00CB27B0" w:rsidRDefault="00CB27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B892D" w14:textId="77777777" w:rsidR="00CB27B0" w:rsidRDefault="00CB27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99D14" w14:textId="77777777" w:rsidR="00CB27B0" w:rsidRDefault="00CB27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8"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2"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4"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0"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4"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D53980"/>
    <w:multiLevelType w:val="multilevel"/>
    <w:tmpl w:val="99F4D080"/>
    <w:numStyleLink w:val="1"/>
  </w:abstractNum>
  <w:num w:numId="1">
    <w:abstractNumId w:val="33"/>
  </w:num>
  <w:num w:numId="2">
    <w:abstractNumId w:val="12"/>
  </w:num>
  <w:num w:numId="3">
    <w:abstractNumId w:val="45"/>
  </w:num>
  <w:num w:numId="4">
    <w:abstractNumId w:val="6"/>
  </w:num>
  <w:num w:numId="5">
    <w:abstractNumId w:val="9"/>
  </w:num>
  <w:num w:numId="6">
    <w:abstractNumId w:val="15"/>
  </w:num>
  <w:num w:numId="7">
    <w:abstractNumId w:val="31"/>
  </w:num>
  <w:num w:numId="8">
    <w:abstractNumId w:val="23"/>
  </w:num>
  <w:num w:numId="9">
    <w:abstractNumId w:val="22"/>
  </w:num>
  <w:num w:numId="10">
    <w:abstractNumId w:val="10"/>
  </w:num>
  <w:num w:numId="11">
    <w:abstractNumId w:val="5"/>
  </w:num>
  <w:num w:numId="12">
    <w:abstractNumId w:val="46"/>
  </w:num>
  <w:num w:numId="13">
    <w:abstractNumId w:val="41"/>
  </w:num>
  <w:num w:numId="14">
    <w:abstractNumId w:val="2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5"/>
  </w:num>
  <w:num w:numId="20">
    <w:abstractNumId w:val="42"/>
  </w:num>
  <w:num w:numId="21">
    <w:abstractNumId w:val="18"/>
  </w:num>
  <w:num w:numId="22">
    <w:abstractNumId w:val="36"/>
  </w:num>
  <w:num w:numId="23">
    <w:abstractNumId w:val="30"/>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num>
  <w:num w:numId="28">
    <w:abstractNumId w:val="37"/>
  </w:num>
  <w:num w:numId="29">
    <w:abstractNumId w:val="39"/>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8"/>
  </w:num>
  <w:num w:numId="33">
    <w:abstractNumId w:val="4"/>
  </w:num>
  <w:num w:numId="34">
    <w:abstractNumId w:val="25"/>
  </w:num>
  <w:num w:numId="35">
    <w:abstractNumId w:val="14"/>
  </w:num>
  <w:num w:numId="36">
    <w:abstractNumId w:val="7"/>
  </w:num>
  <w:num w:numId="37">
    <w:abstractNumId w:val="13"/>
  </w:num>
  <w:num w:numId="38">
    <w:abstractNumId w:val="20"/>
  </w:num>
  <w:num w:numId="39">
    <w:abstractNumId w:val="40"/>
  </w:num>
  <w:num w:numId="40">
    <w:abstractNumId w:val="3"/>
  </w:num>
  <w:num w:numId="41">
    <w:abstractNumId w:val="0"/>
  </w:num>
  <w:num w:numId="42">
    <w:abstractNumId w:val="2"/>
  </w:num>
  <w:num w:numId="43">
    <w:abstractNumId w:val="1"/>
  </w:num>
  <w:num w:numId="44">
    <w:abstractNumId w:val="43"/>
  </w:num>
  <w:num w:numId="45">
    <w:abstractNumId w:val="8"/>
  </w:num>
  <w:num w:numId="46">
    <w:abstractNumId w:val="34"/>
  </w:num>
  <w:num w:numId="47">
    <w:abstractNumId w:val="24"/>
  </w:num>
  <w:num w:numId="48">
    <w:abstractNumId w:val="44"/>
  </w:num>
  <w:num w:numId="49">
    <w:abstractNumId w:val="3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宋体"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宋体"/>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Visio_Drawing.vsdx"/><Relationship Id="rId41" Type="http://schemas.openxmlformats.org/officeDocument/2006/relationships/image" Target="media/image26.emf"/><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emf"/><Relationship Id="rId57" Type="http://schemas.openxmlformats.org/officeDocument/2006/relationships/footer" Target="footer2.xml"/><Relationship Id="rId61"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Drawing3.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png"/><Relationship Id="rId59"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4.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6586898-E545-4419-8CB9-6908C56E9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20517</Words>
  <Characters>116950</Characters>
  <Application>Microsoft Office Word</Application>
  <DocSecurity>0</DocSecurity>
  <Lines>974</Lines>
  <Paragraphs>274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137193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CATT - Ren Da</cp:lastModifiedBy>
  <cp:revision>5</cp:revision>
  <cp:lastPrinted>2017-08-09T04:40:00Z</cp:lastPrinted>
  <dcterms:created xsi:type="dcterms:W3CDTF">2021-05-22T13:53:00Z</dcterms:created>
  <dcterms:modified xsi:type="dcterms:W3CDTF">2021-05-22T14:02:00Z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