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c"/>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r w:rsidR="00056262">
        <w:rPr>
          <w:bCs/>
        </w:rPr>
        <w:t xml:space="preserve">alo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微软雅黑"/>
                <w:sz w:val="20"/>
                <w:lang w:val="en-US"/>
              </w:rPr>
            </w:pPr>
            <w:r>
              <w:rPr>
                <w:rFonts w:eastAsia="微软雅黑"/>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微软雅黑"/>
                <w:sz w:val="20"/>
              </w:rPr>
            </w:pPr>
            <w:r>
              <w:rPr>
                <w:rFonts w:eastAsia="微软雅黑"/>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宋体"/>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modeling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lastRenderedPageBreak/>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c"/>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ZTE, CMCC, China Telecom, China Unicom, SoftBank, NTT DOCOMO, Sanechips,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benefitial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Huawei, HiSilicon</w:t>
            </w:r>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beficial first with sufficient evaluation.   </w:t>
            </w:r>
          </w:p>
        </w:tc>
      </w:tr>
      <w:tr w:rsidR="00E415A0" w14:paraId="5BBBFD71" w14:textId="77777777" w:rsidTr="002A60E6">
        <w:tc>
          <w:tcPr>
            <w:tcW w:w="1945" w:type="dxa"/>
          </w:tcPr>
          <w:p w14:paraId="78716474" w14:textId="34337E78" w:rsidR="00E415A0" w:rsidRDefault="00E415A0" w:rsidP="00E415A0">
            <w:pPr>
              <w:spacing w:afterLines="50" w:after="120"/>
              <w:jc w:val="both"/>
              <w:rPr>
                <w:sz w:val="22"/>
                <w:lang w:val="en-US"/>
              </w:rPr>
            </w:pPr>
            <w:r>
              <w:rPr>
                <w:rFonts w:eastAsiaTheme="minorEastAsia"/>
                <w:sz w:val="22"/>
                <w:lang w:val="en-US" w:eastAsia="zh-CN"/>
              </w:rPr>
              <w:t>ZTE, Sanechips</w:t>
            </w:r>
          </w:p>
        </w:tc>
        <w:tc>
          <w:tcPr>
            <w:tcW w:w="7683" w:type="dxa"/>
          </w:tcPr>
          <w:p w14:paraId="368781F5" w14:textId="77777777" w:rsidR="00E415A0" w:rsidRPr="000E611D" w:rsidRDefault="00E415A0" w:rsidP="00E415A0">
            <w:pPr>
              <w:pStyle w:val="afc"/>
              <w:numPr>
                <w:ilvl w:val="0"/>
                <w:numId w:val="40"/>
              </w:numPr>
              <w:overflowPunct/>
              <w:autoSpaceDE/>
              <w:autoSpaceDN/>
              <w:adjustRightInd/>
              <w:spacing w:afterLines="50" w:after="120"/>
              <w:ind w:leftChars="0"/>
              <w:jc w:val="both"/>
              <w:textAlignment w:val="auto"/>
              <w:rPr>
                <w:rFonts w:hint="eastAsia"/>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07916EF8" w14:textId="77777777" w:rsidR="00E415A0" w:rsidRDefault="00E415A0" w:rsidP="00E415A0">
            <w:pPr>
              <w:pStyle w:val="afc"/>
              <w:numPr>
                <w:ilvl w:val="0"/>
                <w:numId w:val="40"/>
              </w:numPr>
              <w:spacing w:afterLines="50" w:after="120"/>
              <w:ind w:leftChars="0"/>
              <w:jc w:val="both"/>
              <w:rPr>
                <w:sz w:val="22"/>
                <w:lang w:val="en-US"/>
              </w:rPr>
            </w:pPr>
            <w:r w:rsidRPr="000E611D">
              <w:rPr>
                <w:sz w:val="22"/>
                <w:lang w:val="en-US"/>
              </w:rPr>
              <w:t xml:space="preserve">In response to Intel’s comment on multi-DCI mTRP, mTRP can only support TDM on uplink i.e. UL-MIMO with 2CW for rank2-4 cannot be supported.  Also, it will unnecessarily introduce extra complexity for UEs to support multi-DCI mTRP for the purpose of uplink enhancement in single TRP only even if a UE capability is defined targeting UL only.  </w:t>
            </w:r>
          </w:p>
          <w:p w14:paraId="12C6C0E3" w14:textId="77777777" w:rsidR="00E415A0" w:rsidRDefault="00E415A0" w:rsidP="00E415A0">
            <w:pPr>
              <w:pStyle w:val="afc"/>
              <w:numPr>
                <w:ilvl w:val="0"/>
                <w:numId w:val="40"/>
              </w:numPr>
              <w:spacing w:afterLines="50" w:after="120"/>
              <w:ind w:leftChars="0"/>
              <w:jc w:val="both"/>
              <w:rPr>
                <w:sz w:val="22"/>
                <w:lang w:val="en-US"/>
              </w:rPr>
            </w:pPr>
            <w:r>
              <w:rPr>
                <w:sz w:val="22"/>
                <w:lang w:val="en-US"/>
              </w:rPr>
              <w:lastRenderedPageBreak/>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3127B79E" w14:textId="6DE28739" w:rsidR="00E415A0" w:rsidRPr="00E415A0" w:rsidRDefault="00E415A0" w:rsidP="00E415A0">
            <w:pPr>
              <w:pStyle w:val="afc"/>
              <w:numPr>
                <w:ilvl w:val="0"/>
                <w:numId w:val="40"/>
              </w:numPr>
              <w:spacing w:afterLines="50" w:after="120"/>
              <w:ind w:leftChars="0"/>
              <w:jc w:val="both"/>
              <w:rPr>
                <w:sz w:val="22"/>
                <w:lang w:val="en-US"/>
              </w:rPr>
            </w:pPr>
            <w:r w:rsidRPr="00E415A0">
              <w:rPr>
                <w:sz w:val="22"/>
                <w:lang w:val="en-US"/>
              </w:rPr>
              <w:t>Regarding evaluation, we have done extensive evaluation in our tdoc [2]</w:t>
            </w:r>
            <w:r w:rsidRPr="00E415A0">
              <w:rPr>
                <w:sz w:val="22"/>
                <w:lang w:val="en-US"/>
              </w:rPr>
              <w:t>, where clear gain has been observed</w:t>
            </w:r>
            <w:r w:rsidRPr="00E415A0">
              <w:rPr>
                <w:sz w:val="22"/>
                <w:lang w:val="en-US"/>
              </w:rPr>
              <w:t xml:space="preserve">.   </w:t>
            </w:r>
            <w:r w:rsidRPr="00E415A0">
              <w:rPr>
                <w:sz w:val="22"/>
                <w:lang w:val="en-US"/>
              </w:rPr>
              <w:t>In addition, this issue is observed from the field.  That’s why strong support from operators are observed from the current list of supporting companies.</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9"/>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c"/>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afc"/>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c"/>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c"/>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c"/>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afc"/>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MS Mincho"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UEs which should be carefully studied. In addition, the second bullet may lead to large amout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dependernt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Huawei, HiSilicon</w:t>
            </w:r>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lastRenderedPageBreak/>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unfortunetly, the multiplexing capacity will not be increased either, since there are legacy UEs only supporting BWP-level interleaving such that multiplexing of different UEs for co-existence could be different and complicated.</w:t>
            </w:r>
          </w:p>
        </w:tc>
      </w:tr>
      <w:tr w:rsidR="00436B7C" w14:paraId="6A39AEE8" w14:textId="77777777" w:rsidTr="002A60E6">
        <w:tc>
          <w:tcPr>
            <w:tcW w:w="1945" w:type="dxa"/>
          </w:tcPr>
          <w:p w14:paraId="53EC67BF" w14:textId="42451C9B" w:rsidR="00436B7C" w:rsidRDefault="00436B7C" w:rsidP="00436B7C">
            <w:pPr>
              <w:spacing w:afterLines="50" w:after="120"/>
              <w:jc w:val="both"/>
              <w:rPr>
                <w:sz w:val="22"/>
                <w:lang w:val="en-US"/>
              </w:rPr>
            </w:pPr>
            <w:r>
              <w:rPr>
                <w:rFonts w:eastAsiaTheme="minorEastAsia"/>
                <w:sz w:val="22"/>
                <w:lang w:val="en-US" w:eastAsia="zh-CN"/>
              </w:rPr>
              <w:lastRenderedPageBreak/>
              <w:t>ZTE, Sanechips</w:t>
            </w:r>
          </w:p>
        </w:tc>
        <w:tc>
          <w:tcPr>
            <w:tcW w:w="7683" w:type="dxa"/>
          </w:tcPr>
          <w:p w14:paraId="7067338F" w14:textId="77777777" w:rsidR="00436B7C" w:rsidRDefault="00436B7C" w:rsidP="00436B7C">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40A820F3" w14:textId="77777777" w:rsidR="00436B7C" w:rsidRDefault="00436B7C" w:rsidP="00436B7C">
            <w:pPr>
              <w:numPr>
                <w:ilvl w:val="0"/>
                <w:numId w:val="41"/>
              </w:numPr>
              <w:spacing w:after="0"/>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F54FB4E" w14:textId="0D04E2C5" w:rsidR="00436B7C" w:rsidRPr="00436B7C" w:rsidRDefault="00436B7C" w:rsidP="00436B7C">
            <w:pPr>
              <w:numPr>
                <w:ilvl w:val="0"/>
                <w:numId w:val="41"/>
              </w:numPr>
              <w:spacing w:after="0"/>
              <w:rPr>
                <w:rFonts w:hint="eastAsia"/>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c"/>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lastRenderedPageBreak/>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c"/>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lastRenderedPageBreak/>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392C58" w14:textId="77777777" w:rsidR="00413D5C" w:rsidRDefault="00413D5C" w:rsidP="00DA3A05">
                                  <w:pPr>
                                    <w:pStyle w:val="ac"/>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" stroked="f">
                      <v:textbox style="mso-fit-shape-to-text:t" inset="0,0,0,0">
                        <w:txbxContent>
                          <w:p w14:paraId="41392C58" w14:textId="77777777" w:rsidR="00413D5C" w:rsidRDefault="00413D5C" w:rsidP="00DA3A05">
                            <w:pPr>
                              <w:pStyle w:val="ac"/>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w:t>
            </w:r>
            <w:r>
              <w:lastRenderedPageBreak/>
              <w:t xml:space="preserve">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E94147" w14:textId="77777777" w:rsidR="00413D5C" w:rsidRDefault="00413D5C" w:rsidP="00DA3A05">
                                  <w:pPr>
                                    <w:pStyle w:val="ac"/>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" stroked="f">
                      <v:textbox style="mso-fit-shape-to-text:t" inset="0,0,0,0">
                        <w:txbxContent>
                          <w:p w14:paraId="10E94147" w14:textId="77777777" w:rsidR="00413D5C" w:rsidRDefault="00413D5C" w:rsidP="00DA3A05">
                            <w:pPr>
                              <w:pStyle w:val="ac"/>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8B0AFB" w14:textId="77777777" w:rsidR="00413D5C" w:rsidRDefault="00413D5C" w:rsidP="00DA3A05">
                                  <w:pPr>
                                    <w:pStyle w:val="ac"/>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" stroked="f">
                      <v:textbox style="mso-fit-shape-to-text:t" inset="0,0,0,0">
                        <w:txbxContent>
                          <w:p w14:paraId="678B0AFB" w14:textId="77777777" w:rsidR="00413D5C" w:rsidRDefault="00413D5C" w:rsidP="00DA3A05">
                            <w:pPr>
                              <w:pStyle w:val="ac"/>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w:t>
            </w:r>
            <w:r>
              <w:lastRenderedPageBreak/>
              <w:t xml:space="preserve">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c"/>
              <w:jc w:val="center"/>
              <w:rPr>
                <w:rFonts w:eastAsia="Times New Roman"/>
                <w:sz w:val="20"/>
                <w:lang w:eastAsia="ar-SA"/>
              </w:rPr>
            </w:pPr>
            <w:bookmarkStart w:id="14" w:name="_Ref68606046"/>
            <w:bookmarkStart w:id="15" w:name="_Ref68606037"/>
            <w:r>
              <w:t xml:space="preserve">Figure </w:t>
            </w:r>
            <w:r>
              <w:fldChar w:fldCharType="begin"/>
            </w:r>
            <w:r>
              <w:instrText xml:space="preserve"> SEQ Figure \* ARABIC </w:instrText>
            </w:r>
            <w:r>
              <w:fldChar w:fldCharType="separate"/>
            </w:r>
            <w:r>
              <w:rPr>
                <w:noProof/>
              </w:rPr>
              <w:t>5</w:t>
            </w:r>
            <w:r>
              <w:fldChar w:fldCharType="end"/>
            </w:r>
            <w:bookmarkEnd w:id="14"/>
            <w:r>
              <w:t xml:space="preserve"> PAPR for CP-OFDM and DFT-s-OFDM waveforms (on the left) and link level performance comparison between DFT-S-OFDM and CP-OFDM (on the right).</w:t>
            </w:r>
            <w:bookmarkEnd w:id="15"/>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宋体"/>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c"/>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c"/>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afa"/>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issue,  PF#3/PF#4 with less OFDM symbols, e.g., 4 symbols, can used instead of PF#2. Beam sweeping within one slot </w:t>
            </w:r>
            <w:r>
              <w:rPr>
                <w:rFonts w:ascii="Times New Roman" w:hAnsi="Times New Roman" w:cs="Times New Roman"/>
                <w:color w:val="000000"/>
                <w:sz w:val="22"/>
                <w:szCs w:val="22"/>
              </w:rPr>
              <w:lastRenderedPageBreak/>
              <w:t>is still possible. If UL coverage is not an issue, e.g., for cell-center UEs, PF#2 without enhancement can be used.</w:t>
            </w:r>
          </w:p>
          <w:p w14:paraId="3FFE01EB" w14:textId="77777777" w:rsidR="00E56911" w:rsidRDefault="00E56911" w:rsidP="00E56911">
            <w:pPr>
              <w:pStyle w:val="afa"/>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lastRenderedPageBreak/>
              <w:t>SoftBank</w:t>
            </w:r>
          </w:p>
        </w:tc>
        <w:tc>
          <w:tcPr>
            <w:tcW w:w="7683" w:type="dxa"/>
          </w:tcPr>
          <w:p w14:paraId="60ECA27B" w14:textId="4AB94145" w:rsidR="007B5597" w:rsidRDefault="007B5597" w:rsidP="00E56911">
            <w:pPr>
              <w:pStyle w:val="afa"/>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afa"/>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afa"/>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754CDEF6" w14:textId="4B9A8E2D" w:rsidR="00CA79B0" w:rsidRPr="004C61D4" w:rsidRDefault="00CA79B0" w:rsidP="00CA79B0">
            <w:pPr>
              <w:pStyle w:val="afa"/>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We doubt this can be a TEI proposal. There was a considerable number of suggested PUCCH formats in Rel-15 and a careful downseletction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436B7C" w14:paraId="7D4926C3" w14:textId="77777777" w:rsidTr="00CA79B0">
        <w:tc>
          <w:tcPr>
            <w:tcW w:w="1945" w:type="dxa"/>
            <w:shd w:val="clear" w:color="auto" w:fill="auto"/>
          </w:tcPr>
          <w:p w14:paraId="03A1FD41" w14:textId="185CB0C2" w:rsidR="00436B7C" w:rsidRDefault="00436B7C" w:rsidP="00436B7C">
            <w:pPr>
              <w:spacing w:afterLines="50" w:after="120"/>
              <w:jc w:val="both"/>
              <w:rPr>
                <w:rFonts w:eastAsia="MS PGothic"/>
                <w:color w:val="000000"/>
                <w:sz w:val="22"/>
                <w:szCs w:val="22"/>
                <w:lang w:val="en-US"/>
              </w:rPr>
            </w:pPr>
            <w:r>
              <w:rPr>
                <w:rFonts w:eastAsiaTheme="minorEastAsia"/>
                <w:sz w:val="22"/>
                <w:lang w:val="en-US" w:eastAsia="zh-CN"/>
              </w:rPr>
              <w:t>ZTE, Sanechips</w:t>
            </w:r>
          </w:p>
        </w:tc>
        <w:tc>
          <w:tcPr>
            <w:tcW w:w="7683" w:type="dxa"/>
            <w:shd w:val="clear" w:color="auto" w:fill="auto"/>
          </w:tcPr>
          <w:p w14:paraId="787D62ED" w14:textId="36F5D08D" w:rsidR="00436B7C" w:rsidRPr="00CA79B0" w:rsidRDefault="00436B7C" w:rsidP="00436B7C">
            <w:pPr>
              <w:pStyle w:val="afa"/>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c"/>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The problem occurs even though different seed is used for CSI-RS </w:t>
            </w:r>
            <w:r>
              <w:rPr>
                <w:rFonts w:asciiTheme="minorHAnsi" w:hAnsiTheme="minorHAnsi" w:cstheme="minorHAnsi"/>
                <w:lang w:eastAsia="en-GB"/>
              </w:rPr>
              <w:lastRenderedPageBreak/>
              <w:t>sequence generation in serving and interfering cell respectively</w:t>
            </w:r>
          </w:p>
          <w:p w14:paraId="2808746F"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c"/>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c"/>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6" w:name="_Toc67653820"/>
            <w:r>
              <w:t xml:space="preserve">Correct the CSI-RS design as a TEI-17 to remove the false PMI </w:t>
            </w:r>
            <w:r>
              <w:lastRenderedPageBreak/>
              <w:t>reporting problem.</w:t>
            </w:r>
            <w:bookmarkEnd w:id="16"/>
          </w:p>
          <w:p w14:paraId="29EB09C9" w14:textId="77777777" w:rsidR="008223DB" w:rsidRDefault="008223DB" w:rsidP="008223DB">
            <w:pPr>
              <w:pStyle w:val="afc"/>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7" w:name="_Toc67653812"/>
            <w:r>
              <w:t>Using measurements using commercial NR UEs from two different vendors, the PMI reporting fails at low SINR. It seems the PMI reporting when nearing the cell edge behave as the PMI reporting the UE would have been reporting if instead served by the interfering cell. This leads to a signifcant drop of throughput of NR at cell edge.</w:t>
            </w:r>
            <w:bookmarkEnd w:id="17"/>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c"/>
              <w:keepNext/>
              <w:jc w:val="center"/>
            </w:pPr>
            <w:bookmarkStart w:id="18" w:name="_Ref67324323"/>
            <w:r>
              <w:t xml:space="preserve">Table </w:t>
            </w:r>
            <w:r>
              <w:fldChar w:fldCharType="begin"/>
            </w:r>
            <w:r>
              <w:instrText xml:space="preserve"> SEQ Table \* ARABIC </w:instrText>
            </w:r>
            <w:r>
              <w:fldChar w:fldCharType="separate"/>
            </w:r>
            <w:r>
              <w:rPr>
                <w:noProof/>
              </w:rPr>
              <w:t>1</w:t>
            </w:r>
            <w:r>
              <w:fldChar w:fldCharType="end"/>
            </w:r>
            <w:bookmarkEnd w:id="18"/>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lastRenderedPageBreak/>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9"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9"/>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20" w:name="_Toc67653813"/>
            <w:r>
              <w:t>Using raw CSI-RS channel estimates (K=1) that doesn’t utilize the processing gain of the use of pseudo-orthogonal sequences in different cells exaggerate the problem of false PMI selection</w:t>
            </w:r>
            <w:bookmarkEnd w:id="20"/>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1" w:name="_Toc67653814"/>
            <w:r>
              <w:t>Due to the use of same sequence sample for all CSI-RS ports, the spatial covariance matrix is dominated by the spatial covariance of the CSI-RS transmitted from the interfering cell if raw channel estimation samples are used</w:t>
            </w:r>
            <w:bookmarkEnd w:id="21"/>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2"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2"/>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3"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3"/>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4"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4"/>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5"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5"/>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6"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6"/>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neighbor cell interference. Procedurally the proposal does not qualify as Rel-17 TEI but a new spec’s </w:t>
            </w:r>
            <w:r>
              <w:rPr>
                <w:rFonts w:eastAsia="Malgun Gothic"/>
                <w:lang w:eastAsia="ko-KR"/>
              </w:rPr>
              <w:lastRenderedPageBreak/>
              <w:t>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For Rel-15/Rel-16 UEs already implemented descrambling over neighbor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宋体"/>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c"/>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afc"/>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are open for discussion,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Huawei, HiSIlicon</w:t>
            </w:r>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436B7C" w14:paraId="361B5FAF" w14:textId="77777777" w:rsidTr="002A60E6">
        <w:tc>
          <w:tcPr>
            <w:tcW w:w="1945" w:type="dxa"/>
          </w:tcPr>
          <w:p w14:paraId="5A0FA159" w14:textId="7D437EE9"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24ADAEE5" w14:textId="2168BD36" w:rsidR="00436B7C" w:rsidRDefault="00436B7C" w:rsidP="00436B7C">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w:t>
            </w:r>
            <w:r>
              <w:rPr>
                <w:rFonts w:eastAsiaTheme="minorEastAsia"/>
                <w:sz w:val="22"/>
                <w:lang w:val="en-US" w:eastAsia="zh-CN"/>
              </w:rPr>
              <w:t>scussion.  However, as mentioned by multiple companies, advanced UE implementation</w:t>
            </w:r>
            <w:r>
              <w:rPr>
                <w:rFonts w:eastAsiaTheme="minorEastAsia"/>
                <w:sz w:val="22"/>
                <w:lang w:val="en-US" w:eastAsia="zh-CN"/>
              </w:rPr>
              <w:t xml:space="preserve"> is more preferred compared with the new CSI-RS sequence design which may cause more CSI-RS overhead. </w:t>
            </w:r>
            <w:r>
              <w:rPr>
                <w:rFonts w:eastAsiaTheme="minorEastAsia"/>
                <w:sz w:val="22"/>
                <w:lang w:val="en-US" w:eastAsia="zh-CN"/>
              </w:rPr>
              <w:t xml:space="preserve"> It can be further discussed compared to solutions with RAN4 impact only.</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lastRenderedPageBreak/>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7" w:name="_Toc71039788"/>
            <w:r>
              <w:t>Measurements and reporting similar to LTE TA Type2 are also needed in NR to provide positioning solutions to meet regulatory requirements and to ensure seamless positioning solutions when migrating from LTE to NR.</w:t>
            </w:r>
            <w:bookmarkEnd w:id="27"/>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8" w:name="_Toc71039789"/>
            <w:r>
              <w:t>The network can report TA-based gNB RxTx time difference measurement without additional RS overhead cost or additional LPP signaling.</w:t>
            </w:r>
            <w:bookmarkEnd w:id="28"/>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af9"/>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lastRenderedPageBreak/>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9" w:name="_Toc71039790"/>
            <w:r>
              <w:t>TA type 2 does not impact the UE</w:t>
            </w:r>
            <w:bookmarkEnd w:id="29"/>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30" w:name="_Toc71039792"/>
            <w:r>
              <w:t>Define the timing advance measurement for NR as follow:</w:t>
            </w:r>
            <w:bookmarkEnd w:id="30"/>
          </w:p>
          <w:p w14:paraId="0ED11E98" w14:textId="77777777" w:rsidR="00D4281F" w:rsidRDefault="00D4281F" w:rsidP="00D4281F">
            <w:pPr>
              <w:pStyle w:val="Proposal"/>
              <w:ind w:left="360"/>
            </w:pPr>
            <w:bookmarkStart w:id="31" w:name="_Toc71039793"/>
            <w:r>
              <w:t>Type2:</w:t>
            </w:r>
            <w:bookmarkEnd w:id="31"/>
          </w:p>
          <w:p w14:paraId="078F627F" w14:textId="77777777" w:rsidR="00D4281F" w:rsidRDefault="00D4281F" w:rsidP="00D4281F">
            <w:pPr>
              <w:pStyle w:val="Proposal"/>
              <w:ind w:left="360"/>
            </w:pPr>
            <w:bookmarkStart w:id="32" w:name="_Toc71039794"/>
            <w:r>
              <w:t>Timing advance (T</w:t>
            </w:r>
            <w:r>
              <w:rPr>
                <w:vertAlign w:val="subscript"/>
              </w:rPr>
              <w:t>ADV</w:t>
            </w:r>
            <w:r>
              <w:t>) type 2 is defined as the time difference</w:t>
            </w:r>
            <w:bookmarkEnd w:id="32"/>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3" w:name="_Toc71039795"/>
            <w:r>
              <w:t>T</w:t>
            </w:r>
            <w:r>
              <w:rPr>
                <w:vertAlign w:val="subscript"/>
              </w:rPr>
              <w:t>ADV</w:t>
            </w:r>
            <w:r>
              <w:t xml:space="preserve"> = (gNB Rx – Tx time difference),</w:t>
            </w:r>
            <w:bookmarkEnd w:id="33"/>
          </w:p>
          <w:p w14:paraId="5962B3F1" w14:textId="77777777" w:rsidR="00D4281F" w:rsidRDefault="00D4281F" w:rsidP="00D4281F">
            <w:pPr>
              <w:pStyle w:val="Proposal"/>
              <w:ind w:left="360"/>
              <w:rPr>
                <w:lang w:eastAsia="ja-JP"/>
              </w:rPr>
            </w:pPr>
            <w:bookmarkStart w:id="34" w:name="_Toc71039796"/>
            <w:r>
              <w:t>where the gNB Rx – Tx time difference corresponds to a received uplink radio frame containing PRACH from the respective UE.</w:t>
            </w:r>
            <w:r>
              <w:rPr>
                <w:vertAlign w:val="subscript"/>
              </w:rPr>
              <w:t>.</w:t>
            </w:r>
            <w:bookmarkEnd w:id="34"/>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5" w:name="_Toc71039797"/>
            <w:r>
              <w:t>Extend the gnodeB Rx-Tx definition to include the PRACH based measurement:</w:t>
            </w:r>
            <w:bookmarkEnd w:id="35"/>
          </w:p>
          <w:p w14:paraId="05D01D57" w14:textId="77777777" w:rsidR="00D4281F" w:rsidRDefault="00D4281F" w:rsidP="00B650B3">
            <w:pPr>
              <w:pStyle w:val="Proposal"/>
              <w:widowControl w:val="0"/>
              <w:numPr>
                <w:ilvl w:val="0"/>
                <w:numId w:val="29"/>
              </w:numPr>
              <w:tabs>
                <w:tab w:val="clear" w:pos="936"/>
              </w:tabs>
              <w:spacing w:line="240" w:lineRule="auto"/>
            </w:pPr>
            <w:bookmarkStart w:id="36" w:name="_Toc71039798"/>
            <w:r>
              <w:t>T</w:t>
            </w:r>
            <w:r>
              <w:rPr>
                <w:vertAlign w:val="subscript"/>
              </w:rPr>
              <w:t>gNB-RX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6"/>
          </w:p>
          <w:p w14:paraId="1C02402A" w14:textId="77777777" w:rsidR="00D4281F" w:rsidRDefault="00D4281F" w:rsidP="00B650B3">
            <w:pPr>
              <w:pStyle w:val="Proposal"/>
              <w:widowControl w:val="0"/>
              <w:numPr>
                <w:ilvl w:val="0"/>
                <w:numId w:val="29"/>
              </w:numPr>
              <w:tabs>
                <w:tab w:val="clear" w:pos="936"/>
              </w:tabs>
              <w:spacing w:line="240" w:lineRule="auto"/>
            </w:pPr>
            <w:bookmarkStart w:id="37"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7"/>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8" w:name="_Toc71039800"/>
            <w:r>
              <w:t>Multiple SRS resources for positioning can be used to determine the start of one subframe containing SRS.</w:t>
            </w:r>
            <w:bookmarkEnd w:id="38"/>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9" w:name="_Toc71039801"/>
            <w:r>
              <w:rPr>
                <w:color w:val="FF0000"/>
              </w:rPr>
              <w:t>PRACH is used to determine the start of one subframe containing PRACH.</w:t>
            </w:r>
            <w:bookmarkEnd w:id="39"/>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40" w:name="_Toc71039802"/>
            <w:r>
              <w:rPr>
                <w:lang w:eastAsia="ja-JP"/>
              </w:rPr>
              <w:t>Send an LS to RAN2 and RAN3 with the agreement to add Type 2 TA reporting for NR so that their corresponding specification changes can be updated.</w:t>
            </w:r>
            <w:bookmarkEnd w:id="40"/>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c"/>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c"/>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c"/>
        <w:numPr>
          <w:ilvl w:val="0"/>
          <w:numId w:val="13"/>
        </w:numPr>
        <w:ind w:leftChars="0"/>
        <w:rPr>
          <w:b/>
        </w:rPr>
      </w:pPr>
      <w:r>
        <w:rPr>
          <w:b/>
        </w:rPr>
        <w:t>E</w:t>
      </w:r>
      <w:r w:rsidRPr="002A60E6">
        <w:rPr>
          <w:b/>
        </w:rPr>
        <w:t>xtend the gnodeB Rx-Tx definition to include the PRACH based measurement</w:t>
      </w:r>
    </w:p>
    <w:p w14:paraId="4EBFBABB" w14:textId="3160B61E" w:rsidR="002A60E6" w:rsidRDefault="002A60E6" w:rsidP="002A60E6">
      <w:pPr>
        <w:pStyle w:val="afc"/>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afc"/>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Huawei, HiSilicon</w:t>
            </w:r>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lastRenderedPageBreak/>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B7C" w14:paraId="4F3321EB" w14:textId="77777777" w:rsidTr="002A60E6">
        <w:tc>
          <w:tcPr>
            <w:tcW w:w="1945" w:type="dxa"/>
          </w:tcPr>
          <w:p w14:paraId="54622CDA" w14:textId="070C7352" w:rsidR="00436B7C" w:rsidRDefault="00436B7C" w:rsidP="00436B7C">
            <w:pPr>
              <w:spacing w:afterLines="50" w:after="120"/>
              <w:jc w:val="both"/>
              <w:rPr>
                <w:sz w:val="22"/>
                <w:lang w:val="en-US"/>
              </w:rPr>
            </w:pPr>
            <w:r>
              <w:rPr>
                <w:rFonts w:eastAsiaTheme="minorEastAsia"/>
                <w:sz w:val="22"/>
                <w:lang w:val="en-US" w:eastAsia="zh-CN"/>
              </w:rPr>
              <w:lastRenderedPageBreak/>
              <w:t>ZTE, Sanechips</w:t>
            </w:r>
          </w:p>
        </w:tc>
        <w:tc>
          <w:tcPr>
            <w:tcW w:w="7683" w:type="dxa"/>
          </w:tcPr>
          <w:p w14:paraId="03B0C1F2" w14:textId="77777777" w:rsidR="00436B7C" w:rsidRDefault="00436B7C" w:rsidP="00436B7C">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F0D1A63" w14:textId="77777777" w:rsidR="00436B7C" w:rsidRDefault="00436B7C" w:rsidP="00436B7C">
            <w:pPr>
              <w:numPr>
                <w:ilvl w:val="0"/>
                <w:numId w:val="42"/>
              </w:numPr>
              <w:spacing w:afterLines="50" w:after="120"/>
              <w:jc w:val="both"/>
              <w:rPr>
                <w:rFonts w:eastAsia="宋体"/>
                <w:sz w:val="22"/>
                <w:lang w:val="en-US" w:eastAsia="zh-CN"/>
              </w:rPr>
            </w:pPr>
            <w:r>
              <w:rPr>
                <w:rFonts w:eastAsia="宋体" w:hint="eastAsia"/>
                <w:sz w:val="22"/>
                <w:lang w:val="en-US" w:eastAsia="zh-CN"/>
              </w:rPr>
              <w:t>Rel-16 Multi-RTT only supports gNB Rx-Tx time difference based on SRS, so it precludes the case that PRACH can also acquire</w:t>
            </w:r>
            <w:r>
              <w:rPr>
                <w:rFonts w:eastAsia="宋体" w:hint="eastAsia"/>
                <w:sz w:val="22"/>
                <w:lang w:val="en-US" w:eastAsia="zh-CN"/>
              </w:rPr>
              <w:t xml:space="preserve"> similar information. In Rel-16</w:t>
            </w:r>
            <w:r>
              <w:rPr>
                <w:rFonts w:eastAsia="宋体" w:hint="eastAsia"/>
                <w:sz w:val="22"/>
                <w:lang w:val="en-US" w:eastAsia="zh-CN"/>
              </w:rPr>
              <w:t>,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24BA07A8" w14:textId="77777777" w:rsidR="00436B7C" w:rsidRDefault="00436B7C" w:rsidP="00436B7C">
            <w:pPr>
              <w:numPr>
                <w:ilvl w:val="0"/>
                <w:numId w:val="42"/>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55F9710" w14:textId="0FC47AA5" w:rsidR="00436B7C" w:rsidRDefault="00436B7C" w:rsidP="00436B7C">
            <w:pPr>
              <w:spacing w:afterLines="50" w:after="120"/>
              <w:jc w:val="both"/>
              <w:rPr>
                <w:rFonts w:eastAsiaTheme="minorEastAsia" w:hint="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宋体"/>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n+k, so the second DCI format in slot n+2 is not allowed to indicate a PUCCH carrying the HARQ feedback corresponding to the PDSCH and the PUCCH is overlap with the PUSCH in slot n+k. </w:t>
            </w:r>
          </w:p>
          <w:p w14:paraId="6EE85A21" w14:textId="5AF13EFB" w:rsidR="000D6221" w:rsidRDefault="000D6221" w:rsidP="000D6221">
            <w:pPr>
              <w:keepNext/>
              <w:jc w:val="center"/>
            </w:pPr>
            <w:r>
              <w:rPr>
                <w:noProof/>
                <w:lang w:val="en-US" w:eastAsia="zh-CN"/>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c"/>
            </w:pPr>
            <w:bookmarkStart w:id="41"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41"/>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w:t>
            </w:r>
            <w:r>
              <w:lastRenderedPageBreak/>
              <w:t>the restriction introduces more strict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TDMed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c"/>
            </w:pPr>
            <w:bookmarkStart w:id="42"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42"/>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宋体"/>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54pt" o:ole="">
                  <v:imagedata r:id="rId28" o:title=""/>
                </v:shape>
                <o:OLEObject Type="Embed" ProgID="Visio.Drawing.15" ShapeID="_x0000_i1025" DrawAspect="Content" ObjectID="_1683144658" r:id="rId29"/>
              </w:object>
            </w:r>
            <w:r>
              <w:rPr>
                <w:noProof/>
                <w:lang w:eastAsia="zh-CN"/>
              </w:rPr>
              <w:t xml:space="preserve"> </w:t>
            </w:r>
          </w:p>
          <w:p w14:paraId="61A5678D" w14:textId="77777777" w:rsidR="000D6221" w:rsidRDefault="000D6221" w:rsidP="000D6221">
            <w:pPr>
              <w:pStyle w:val="ac"/>
            </w:pPr>
            <w:bookmarkStart w:id="43"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3"/>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4" w:name="_Hlk71825488"/>
            <w:r>
              <w:rPr>
                <w:b/>
                <w:i/>
              </w:rPr>
              <w:t>Optimization of timing restriction on scheduling HARQ after UL grant should be supported for the case of PUSCH repetition</w:t>
            </w:r>
            <w:bookmarkEnd w:id="44"/>
            <w:r>
              <w:rPr>
                <w:b/>
                <w:i/>
              </w:rPr>
              <w:t>.</w:t>
            </w:r>
          </w:p>
          <w:p w14:paraId="76F5BB12" w14:textId="77777777" w:rsidR="00DA3A05" w:rsidRPr="000D6221" w:rsidRDefault="00DA3A05" w:rsidP="002A60E6">
            <w:pPr>
              <w:adjustRightInd/>
              <w:rPr>
                <w:rFonts w:eastAsia="宋体"/>
                <w:color w:val="000000"/>
                <w:lang w:eastAsia="en-US"/>
              </w:rPr>
            </w:pPr>
          </w:p>
          <w:p w14:paraId="61D30310" w14:textId="77777777" w:rsidR="000D6221" w:rsidRDefault="000D6221" w:rsidP="000D6221">
            <w:pPr>
              <w:rPr>
                <w:rFonts w:eastAsia="宋体"/>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lastRenderedPageBreak/>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c"/>
            </w:pPr>
            <w:bookmarkStart w:id="45"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5"/>
            <w:r>
              <w:t>. Apply the timing restriction to the initial PUSCH repetition only</w:t>
            </w:r>
          </w:p>
          <w:p w14:paraId="3A61085D" w14:textId="77777777" w:rsidR="002A60E6" w:rsidRPr="000D6221" w:rsidRDefault="002A60E6" w:rsidP="002A60E6">
            <w:pPr>
              <w:adjustRightInd/>
              <w:rPr>
                <w:rFonts w:eastAsia="宋体"/>
                <w:color w:val="000000"/>
                <w:lang w:eastAsia="en-US"/>
              </w:rPr>
            </w:pPr>
          </w:p>
          <w:p w14:paraId="79872CE8" w14:textId="77777777" w:rsidR="000D6221" w:rsidRDefault="000D6221" w:rsidP="000D6221">
            <w:pPr>
              <w:rPr>
                <w:rFonts w:eastAsia="宋体"/>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c"/>
            </w:pPr>
            <w:bookmarkStart w:id="46"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6"/>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for the future scheduling from gNB side. If the total DAI is set too large, additional resources </w:t>
            </w:r>
            <w:r>
              <w:lastRenderedPageBreak/>
              <w:t>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c"/>
            </w:pPr>
            <w:bookmarkStart w:id="47"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7"/>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c"/>
            </w:pPr>
            <w:bookmarkStart w:id="48"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8"/>
            <w:r>
              <w:t>. New UL DCI delivered to update DAI value</w:t>
            </w:r>
          </w:p>
          <w:p w14:paraId="5A252579" w14:textId="77777777" w:rsidR="000D6221" w:rsidRDefault="000D6221" w:rsidP="000D6221">
            <w:pPr>
              <w:rPr>
                <w:rFonts w:eastAsia="宋体"/>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c"/>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afc"/>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宋体"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D90E594" w14:textId="77777777" w:rsidR="001B3980" w:rsidRDefault="001B3980" w:rsidP="001B3980">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sfficiency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436B7C" w:rsidRPr="00372991" w14:paraId="4E2B963D" w14:textId="77777777" w:rsidTr="002A60E6">
        <w:tc>
          <w:tcPr>
            <w:tcW w:w="1945" w:type="dxa"/>
          </w:tcPr>
          <w:p w14:paraId="2DC483D2" w14:textId="25563625"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7767DF63" w14:textId="77777777" w:rsidR="00436B7C" w:rsidRDefault="00436B7C" w:rsidP="00436B7C">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gNB implementation on how to perform the scheduling. There could be multiple ways to schedule a PDSCH after the UL grant scheduling a </w:t>
            </w:r>
            <w:r>
              <w:rPr>
                <w:rFonts w:eastAsia="宋体" w:hint="eastAsia"/>
                <w:sz w:val="22"/>
                <w:lang w:val="en-US" w:eastAsia="zh-CN"/>
              </w:rPr>
              <w:lastRenderedPageBreak/>
              <w:t xml:space="preserve">PUSCH without multiplexing the HARQ-ACK corresponding to the PDSCH on the PUSCH. Below are two examples. </w:t>
            </w:r>
          </w:p>
          <w:p w14:paraId="66F1D0C6" w14:textId="77777777" w:rsidR="00436B7C" w:rsidRDefault="00436B7C" w:rsidP="00436B7C">
            <w:pPr>
              <w:numPr>
                <w:ilvl w:val="0"/>
                <w:numId w:val="43"/>
              </w:numPr>
              <w:spacing w:afterLines="50" w:after="12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5E326DA" w14:textId="77777777" w:rsidR="00436B7C" w:rsidRDefault="00436B7C" w:rsidP="00436B7C">
            <w:pPr>
              <w:numPr>
                <w:ilvl w:val="0"/>
                <w:numId w:val="44"/>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56565AC0" w14:textId="77777777" w:rsidR="00436B7C" w:rsidRDefault="00436B7C" w:rsidP="00436B7C">
            <w:pPr>
              <w:numPr>
                <w:ilvl w:val="0"/>
                <w:numId w:val="43"/>
              </w:numPr>
              <w:spacing w:afterLines="50" w:after="12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49E4649F" w14:textId="77777777" w:rsidR="00436B7C" w:rsidRDefault="00436B7C" w:rsidP="00436B7C">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6701E142" w14:textId="59F4FEAD" w:rsidR="00436B7C" w:rsidRPr="00372991" w:rsidRDefault="00436B7C" w:rsidP="00436B7C">
            <w:pPr>
              <w:spacing w:afterLines="50" w:after="120"/>
              <w:jc w:val="both"/>
              <w:rPr>
                <w:sz w:val="22"/>
                <w:lang w:val="en-US"/>
              </w:rPr>
            </w:pPr>
            <w:r>
              <w:rPr>
                <w:rFonts w:eastAsia="宋体"/>
                <w:sz w:val="22"/>
                <w:lang w:val="en-US" w:eastAsia="zh-CN"/>
              </w:rPr>
              <w:t>Overall, we think this TEI proposal can be further discussed and considered only if clear benefit is shown compared to the implementation methods based on the current spec.</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lastRenderedPageBreak/>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r>
              <w:rPr>
                <w:i/>
                <w:iCs/>
              </w:rPr>
              <w:t xml:space="preserve">RadioLinkMonitoringConfig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9"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49"/>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afc"/>
        <w:numPr>
          <w:ilvl w:val="0"/>
          <w:numId w:val="13"/>
        </w:numPr>
        <w:ind w:leftChars="0"/>
        <w:rPr>
          <w:b/>
        </w:rPr>
      </w:pPr>
      <w:r w:rsidRPr="002801C1">
        <w:rPr>
          <w:rFonts w:eastAsia="MS Mincho" w:cs="Batang"/>
          <w:b/>
          <w:bCs/>
          <w:sz w:val="22"/>
          <w:szCs w:val="22"/>
        </w:rPr>
        <w:t xml:space="preserve">If a UE cannot detect the SSBs configured in </w:t>
      </w:r>
      <w:r w:rsidRPr="002801C1">
        <w:rPr>
          <w:rFonts w:eastAsia="MS Mincho" w:cs="Batang"/>
          <w:b/>
          <w:bCs/>
          <w:i/>
          <w:iCs/>
          <w:sz w:val="22"/>
          <w:szCs w:val="22"/>
        </w:rPr>
        <w:t xml:space="preserve">RadioLinkMonitoringConfig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801C1" w14:paraId="341C17D2" w14:textId="77777777" w:rsidTr="00E8596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E8596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E85960">
        <w:tc>
          <w:tcPr>
            <w:tcW w:w="1945" w:type="dxa"/>
          </w:tcPr>
          <w:p w14:paraId="4EDAF3C5" w14:textId="0AD2389E" w:rsidR="002801C1" w:rsidRDefault="003740BF" w:rsidP="00C64F5D">
            <w:pPr>
              <w:spacing w:afterLines="50" w:after="120"/>
              <w:jc w:val="both"/>
              <w:rPr>
                <w:sz w:val="22"/>
                <w:lang w:val="en-US"/>
              </w:rPr>
            </w:pPr>
            <w:bookmarkStart w:id="50"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50"/>
      <w:tr w:rsidR="00DF0DD4" w14:paraId="1A837783" w14:textId="77777777" w:rsidTr="00E8596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E85960">
        <w:tc>
          <w:tcPr>
            <w:tcW w:w="1945" w:type="dxa"/>
          </w:tcPr>
          <w:p w14:paraId="7C08E8EE" w14:textId="59369643" w:rsidR="00413D5C" w:rsidRDefault="00413D5C" w:rsidP="00DF0DD4">
            <w:pPr>
              <w:spacing w:afterLines="50" w:after="120"/>
              <w:jc w:val="both"/>
              <w:rPr>
                <w:sz w:val="22"/>
                <w:lang w:val="en-US"/>
              </w:rPr>
            </w:pPr>
            <w:r>
              <w:rPr>
                <w:sz w:val="22"/>
                <w:lang w:val="en-US"/>
              </w:rPr>
              <w:lastRenderedPageBreak/>
              <w:t>CATT</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RadioLinkMonitoringConfig,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E85960">
        <w:tc>
          <w:tcPr>
            <w:tcW w:w="1945" w:type="dxa"/>
          </w:tcPr>
          <w:p w14:paraId="49099329" w14:textId="3255C0E0" w:rsidR="00475E25" w:rsidRDefault="00475E25" w:rsidP="00475E25">
            <w:pPr>
              <w:spacing w:afterLines="50" w:after="120"/>
              <w:jc w:val="both"/>
              <w:rPr>
                <w:sz w:val="22"/>
                <w:lang w:val="en-US"/>
              </w:rPr>
            </w:pPr>
            <w:r>
              <w:rPr>
                <w:sz w:val="22"/>
                <w:lang w:val="en-US"/>
              </w:rPr>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E8596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afc"/>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afc"/>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afc"/>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E8596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555D148" w:rsidR="001B3980" w:rsidRPr="00E36DEE" w:rsidRDefault="00DF4FE2" w:rsidP="001B3980">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436B7C" w14:paraId="2C556655" w14:textId="77777777" w:rsidTr="00E85960">
        <w:tc>
          <w:tcPr>
            <w:tcW w:w="1945" w:type="dxa"/>
          </w:tcPr>
          <w:p w14:paraId="5E247D09" w14:textId="07DEF890" w:rsidR="00436B7C" w:rsidRDefault="00436B7C" w:rsidP="00436B7C">
            <w:pPr>
              <w:spacing w:afterLines="50" w:after="120"/>
              <w:jc w:val="both"/>
              <w:rPr>
                <w:sz w:val="22"/>
                <w:lang w:val="en-US"/>
              </w:rPr>
            </w:pPr>
            <w:r>
              <w:rPr>
                <w:rFonts w:eastAsiaTheme="minorEastAsia"/>
                <w:sz w:val="22"/>
                <w:lang w:val="en-US" w:eastAsia="zh-CN"/>
              </w:rPr>
              <w:t>ZTE, Sanechips</w:t>
            </w:r>
          </w:p>
        </w:tc>
        <w:tc>
          <w:tcPr>
            <w:tcW w:w="7683" w:type="dxa"/>
          </w:tcPr>
          <w:p w14:paraId="38DDB429" w14:textId="0FF27406" w:rsidR="00436B7C" w:rsidRDefault="00436B7C" w:rsidP="00436B7C">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w:t>
            </w:r>
            <w:r>
              <w:rPr>
                <w:rFonts w:eastAsia="宋体" w:hint="eastAsia"/>
                <w:sz w:val="22"/>
                <w:lang w:val="en-US" w:eastAsia="zh-CN"/>
              </w:rPr>
              <w:t xml:space="preserve">e can </w:t>
            </w:r>
            <w:r>
              <w:rPr>
                <w:rFonts w:eastAsia="宋体" w:hint="eastAsia"/>
                <w:sz w:val="22"/>
                <w:lang w:val="en-US" w:eastAsia="zh-CN"/>
              </w:rPr>
              <w:t>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w:t>
            </w:r>
            <w:r>
              <w:rPr>
                <w:rFonts w:eastAsia="宋体" w:hint="eastAsia"/>
                <w:sz w:val="22"/>
                <w:lang w:val="en-US" w:eastAsia="zh-CN"/>
              </w:rPr>
              <w:t xml:space="preserve">. </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宋体"/>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w:t>
            </w:r>
            <w:r w:rsidRPr="00C64F5D">
              <w:rPr>
                <w:rFonts w:hint="eastAsia"/>
                <w:lang w:val="en-US"/>
              </w:rPr>
              <w:lastRenderedPageBreak/>
              <w:t>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ac"/>
            </w:pPr>
            <w:bookmarkStart w:id="51"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51"/>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c"/>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w:t>
            </w:r>
            <w:r w:rsidRPr="00E56911">
              <w:rPr>
                <w:sz w:val="22"/>
                <w:lang w:val="en-US"/>
              </w:rPr>
              <w:lastRenderedPageBreak/>
              <w:t xml:space="preserve">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lastRenderedPageBreak/>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is functionality can be supported by gNB implementation. For example, if gNB wants to trigger SRS transmission, gNB can indicate UE to wake up by DCI foramt 2_6. And during the OnDuration, UE can transmit SRS by legacy procedure. There is no need to introduce the enhancement in TEI.</w:t>
            </w:r>
          </w:p>
        </w:tc>
      </w:tr>
      <w:tr w:rsidR="00436B7C" w14:paraId="2156B2AC" w14:textId="77777777" w:rsidTr="00C64F5D">
        <w:tc>
          <w:tcPr>
            <w:tcW w:w="1945" w:type="dxa"/>
          </w:tcPr>
          <w:p w14:paraId="5DE9C036" w14:textId="0C2C2B62" w:rsidR="00436B7C" w:rsidRDefault="00436B7C" w:rsidP="00436B7C">
            <w:pPr>
              <w:spacing w:afterLines="50" w:after="120"/>
              <w:jc w:val="both"/>
              <w:rPr>
                <w:rFonts w:eastAsiaTheme="minorEastAsia" w:hint="eastAsia"/>
                <w:sz w:val="22"/>
                <w:lang w:val="en-US" w:eastAsia="zh-CN"/>
              </w:rPr>
            </w:pPr>
            <w:r>
              <w:rPr>
                <w:rFonts w:eastAsiaTheme="minorEastAsia"/>
                <w:sz w:val="22"/>
                <w:lang w:val="en-US" w:eastAsia="zh-CN"/>
              </w:rPr>
              <w:t>ZTE</w:t>
            </w:r>
            <w:r>
              <w:rPr>
                <w:rFonts w:eastAsiaTheme="minorEastAsia"/>
                <w:sz w:val="22"/>
                <w:lang w:val="en-US" w:eastAsia="zh-CN"/>
              </w:rPr>
              <w:t>, Sanechips</w:t>
            </w:r>
          </w:p>
        </w:tc>
        <w:tc>
          <w:tcPr>
            <w:tcW w:w="7683" w:type="dxa"/>
          </w:tcPr>
          <w:p w14:paraId="6B7FCFE0" w14:textId="158915C9" w:rsidR="00436B7C" w:rsidRDefault="00436B7C" w:rsidP="00436B7C">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 xml:space="preserve">e think the scope </w:t>
            </w:r>
            <w:r>
              <w:rPr>
                <w:rFonts w:eastAsiaTheme="minorEastAsia"/>
                <w:sz w:val="22"/>
                <w:lang w:val="en-US" w:eastAsia="zh-CN"/>
              </w:rPr>
              <w:t xml:space="preserve">can be limited </w:t>
            </w:r>
            <w:r>
              <w:rPr>
                <w:rFonts w:eastAsiaTheme="minorEastAsia"/>
                <w:sz w:val="22"/>
                <w:lang w:val="en-US" w:eastAsia="zh-CN"/>
              </w:rPr>
              <w:t>to periodic SRS</w:t>
            </w:r>
            <w:r>
              <w:rPr>
                <w:rFonts w:eastAsiaTheme="minorEastAsia"/>
                <w:sz w:val="22"/>
                <w:lang w:val="en-US" w:eastAsia="zh-CN"/>
              </w:rPr>
              <w:t xml:space="preserve"> only</w:t>
            </w:r>
            <w:r>
              <w:rPr>
                <w:rFonts w:eastAsiaTheme="minorEastAsia"/>
                <w:sz w:val="22"/>
                <w:lang w:val="en-US" w:eastAsia="zh-CN"/>
              </w:rPr>
              <w:t>.</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宋体"/>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ac"/>
            </w:pPr>
            <w:bookmarkStart w:id="52" w:name="_Hlk57121077"/>
            <w:bookmarkStart w:id="53"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52"/>
          <w:bookmarkEnd w:id="53"/>
          <w:p w14:paraId="1542361B" w14:textId="77777777" w:rsidR="004B3046" w:rsidRDefault="004B3046" w:rsidP="004B3046">
            <w:pPr>
              <w:spacing w:after="120"/>
            </w:pPr>
            <w:r>
              <w:lastRenderedPageBreak/>
              <w:t xml:space="preserve">If we have to minimize the impact of joint configuration of DRX group and WUS in RAN1, then the existing UE behaviors need to be reused as much as possible. More specifically, </w:t>
            </w:r>
          </w:p>
          <w:p w14:paraId="282256B1" w14:textId="77777777" w:rsidR="004B3046" w:rsidRDefault="004B3046" w:rsidP="00B650B3">
            <w:pPr>
              <w:pStyle w:val="afc"/>
              <w:numPr>
                <w:ilvl w:val="0"/>
                <w:numId w:val="21"/>
              </w:numPr>
              <w:spacing w:after="200"/>
              <w:ind w:leftChars="0" w:left="540" w:hanging="270"/>
              <w:contextualSpacing/>
            </w:pPr>
            <w:r>
              <w:t>WUS should be configured only on SpCell, as in legacy;</w:t>
            </w:r>
          </w:p>
          <w:p w14:paraId="48649692" w14:textId="77777777" w:rsidR="004B3046" w:rsidRDefault="004B3046" w:rsidP="00B650B3">
            <w:pPr>
              <w:pStyle w:val="afc"/>
              <w:numPr>
                <w:ilvl w:val="0"/>
                <w:numId w:val="21"/>
              </w:numPr>
              <w:spacing w:after="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55F149D0" w14:textId="77777777" w:rsidR="004B3046" w:rsidRDefault="004B3046" w:rsidP="00B650B3">
            <w:pPr>
              <w:pStyle w:val="afc"/>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afc"/>
              <w:numPr>
                <w:ilvl w:val="0"/>
                <w:numId w:val="21"/>
              </w:numPr>
              <w:spacing w:after="0"/>
              <w:ind w:leftChars="0" w:left="548" w:hanging="274"/>
              <w:contextualSpacing/>
            </w:pPr>
            <w:r>
              <w:t>If a WUS occasion is not monitored (e.g., SpCell is already in DRX active time) 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t>As one may see from the above, no new PHY-layer behaviors need to be defined. We only need to add the following clarifications to the RAN1 standards:</w:t>
            </w:r>
          </w:p>
          <w:p w14:paraId="4F24EDD2" w14:textId="77777777" w:rsidR="004B3046" w:rsidRDefault="004B3046" w:rsidP="00B650B3">
            <w:pPr>
              <w:pStyle w:val="afc"/>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afc"/>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c"/>
            </w:pPr>
            <w:bookmarkStart w:id="54"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4"/>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afc"/>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6D0EF892" w14:textId="77777777" w:rsidR="004B3046" w:rsidRDefault="004B3046" w:rsidP="00B650B3">
            <w:pPr>
              <w:pStyle w:val="afc"/>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ac"/>
              <w:rPr>
                <w:rFonts w:eastAsia="Times New Roman"/>
              </w:rPr>
            </w:pPr>
            <w:bookmarkStart w:id="55" w:name="Observation_3"/>
            <w:r>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55"/>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afc"/>
              <w:numPr>
                <w:ilvl w:val="0"/>
                <w:numId w:val="24"/>
              </w:numPr>
              <w:tabs>
                <w:tab w:val="left" w:pos="0"/>
              </w:tabs>
              <w:spacing w:after="120"/>
              <w:ind w:leftChars="0" w:left="540" w:hanging="270"/>
              <w:contextualSpacing/>
              <w:rPr>
                <w:rFonts w:eastAsia="宋体"/>
              </w:rPr>
            </w:pPr>
            <w:r>
              <w:lastRenderedPageBreak/>
              <w:t>If both DRX groups are in DRX active time, SCell dormancy procedure can be performed exactly the same as in legacy (i.e. only a single DRX group is configured);</w:t>
            </w:r>
          </w:p>
          <w:p w14:paraId="4AFCDDA1" w14:textId="77777777" w:rsidR="004B3046" w:rsidRDefault="004B3046" w:rsidP="00B650B3">
            <w:pPr>
              <w:pStyle w:val="afc"/>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ac"/>
            </w:pPr>
            <w:bookmarkStart w:id="56" w:name="Observation_4"/>
            <w:r>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56"/>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ac"/>
            </w:pPr>
            <w:bookmarkStart w:id="57" w:name="Proposal_5"/>
            <w:r>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57"/>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afc"/>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r w:rsidR="00436B7C" w14:paraId="0C6E91A9" w14:textId="77777777" w:rsidTr="00C64F5D">
        <w:tc>
          <w:tcPr>
            <w:tcW w:w="1945" w:type="dxa"/>
          </w:tcPr>
          <w:p w14:paraId="3F5A07D5" w14:textId="7EC7CFCF" w:rsidR="00436B7C" w:rsidRDefault="00436B7C" w:rsidP="00436B7C">
            <w:pPr>
              <w:spacing w:afterLines="50" w:after="120"/>
              <w:jc w:val="both"/>
              <w:rPr>
                <w:rFonts w:eastAsiaTheme="minorEastAsia" w:hint="eastAsia"/>
                <w:sz w:val="22"/>
                <w:lang w:val="en-US" w:eastAsia="zh-CN"/>
              </w:rPr>
            </w:pPr>
            <w:r>
              <w:rPr>
                <w:rFonts w:eastAsiaTheme="minorEastAsia"/>
                <w:sz w:val="22"/>
                <w:lang w:val="en-US" w:eastAsia="zh-CN"/>
              </w:rPr>
              <w:t>ZTE,</w:t>
            </w:r>
            <w:r>
              <w:rPr>
                <w:rFonts w:eastAsiaTheme="minorEastAsia"/>
                <w:sz w:val="22"/>
                <w:lang w:val="en-US" w:eastAsia="zh-CN"/>
              </w:rPr>
              <w:t xml:space="preserve"> </w:t>
            </w:r>
            <w:r>
              <w:rPr>
                <w:rFonts w:eastAsiaTheme="minorEastAsia"/>
                <w:sz w:val="22"/>
                <w:lang w:val="en-US" w:eastAsia="zh-CN"/>
              </w:rPr>
              <w:t>Sanechips</w:t>
            </w:r>
          </w:p>
        </w:tc>
        <w:tc>
          <w:tcPr>
            <w:tcW w:w="7683" w:type="dxa"/>
          </w:tcPr>
          <w:p w14:paraId="527C3EEB" w14:textId="77777777" w:rsidR="00436B7C" w:rsidRDefault="00436B7C" w:rsidP="00436B7C">
            <w:pPr>
              <w:spacing w:afterLines="50" w:after="120"/>
              <w:jc w:val="both"/>
              <w:rPr>
                <w:sz w:val="22"/>
                <w:lang w:val="en-US"/>
              </w:rPr>
            </w:pPr>
            <w:r>
              <w:rPr>
                <w:sz w:val="22"/>
                <w:lang w:val="en-US"/>
              </w:rPr>
              <w:t xml:space="preserve">Configuring dual DRX groups with WUS/SCell dormancy simulatenously would increase the implementation complexity for both gNB and UE, hence attractive power </w:t>
            </w:r>
            <w:r>
              <w:rPr>
                <w:sz w:val="22"/>
                <w:lang w:val="en-US"/>
              </w:rPr>
              <w:lastRenderedPageBreak/>
              <w:t>saving should be provided by the joint configuration on the top of the supported power saving features in Rel-15/Rel-16.</w:t>
            </w:r>
          </w:p>
          <w:p w14:paraId="7BEB4979" w14:textId="0386ADFE" w:rsidR="00436B7C" w:rsidRDefault="00436B7C" w:rsidP="00436B7C">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WUS/SCell dormancy. According to our understanding, the additional power saving gain from the joint configuration is limited.</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8" w:name="_Hlk71824828"/>
      <w:r w:rsidRPr="00202BBC">
        <w:rPr>
          <w:rFonts w:ascii="Arial" w:eastAsia="MS Mincho" w:hAnsi="Arial"/>
          <w:sz w:val="28"/>
          <w:szCs w:val="32"/>
          <w:lang w:val="en-US"/>
        </w:rPr>
        <w:t>Removal of DM-RS restriction for DL MU-MIMO</w:t>
      </w:r>
      <w:bookmarkEnd w:id="58"/>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9"/>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9"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9"/>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35pt;height:153.8pt" o:ole="">
                  <v:imagedata r:id="rId37" o:title=""/>
                </v:shape>
                <o:OLEObject Type="Embed" ProgID="Visio.Drawing.15" ShapeID="_x0000_i1026" DrawAspect="Content" ObjectID="_1683144659" r:id="rId38"/>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6.2pt;height:151.05pt" o:ole="">
                  <v:imagedata r:id="rId39" o:title=""/>
                </v:shape>
                <o:OLEObject Type="Embed" ProgID="Visio.Drawing.15" ShapeID="_x0000_i1027" DrawAspect="Content" ObjectID="_1683144660"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c"/>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c"/>
              <w:jc w:val="center"/>
              <w:rPr>
                <w:sz w:val="22"/>
                <w:lang w:eastAsia="zh-CN"/>
              </w:rPr>
            </w:pPr>
            <w:bookmarkStart w:id="60" w:name="_Ref71571417"/>
            <w:r>
              <w:t xml:space="preserve">Figure </w:t>
            </w:r>
            <w:r>
              <w:fldChar w:fldCharType="begin"/>
            </w:r>
            <w:r>
              <w:instrText xml:space="preserve"> SEQ Figure \* ARABIC </w:instrText>
            </w:r>
            <w:r>
              <w:fldChar w:fldCharType="separate"/>
            </w:r>
            <w:r>
              <w:rPr>
                <w:noProof/>
              </w:rPr>
              <w:t>2</w:t>
            </w:r>
            <w:r>
              <w:fldChar w:fldCharType="end"/>
            </w:r>
            <w:bookmarkEnd w:id="60"/>
            <w:r>
              <w:t xml:space="preserve"> Illustration of used DM-RS configurations for LLS evaluations</w:t>
            </w:r>
          </w:p>
          <w:p w14:paraId="06956ADA" w14:textId="77777777" w:rsidR="00202BBC" w:rsidRDefault="00202BBC" w:rsidP="00202BBC">
            <w:pPr>
              <w:pStyle w:val="ac"/>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lastRenderedPageBreak/>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c"/>
              <w:jc w:val="center"/>
              <w:rPr>
                <w:b w:val="0"/>
                <w:highlight w:val="green"/>
                <w:lang w:eastAsia="x-none"/>
              </w:rPr>
            </w:pPr>
            <w:bookmarkStart w:id="61" w:name="_Ref71573639"/>
            <w:r>
              <w:t xml:space="preserve">Figure </w:t>
            </w:r>
            <w:r>
              <w:fldChar w:fldCharType="begin"/>
            </w:r>
            <w:r>
              <w:instrText xml:space="preserve"> SEQ Figure \* ARABIC </w:instrText>
            </w:r>
            <w:r>
              <w:fldChar w:fldCharType="separate"/>
            </w:r>
            <w:r>
              <w:rPr>
                <w:noProof/>
              </w:rPr>
              <w:t>3</w:t>
            </w:r>
            <w:r>
              <w:fldChar w:fldCharType="end"/>
            </w:r>
            <w:bookmarkEnd w:id="61"/>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c"/>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c"/>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afc"/>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c"/>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afc"/>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afc"/>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c"/>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c"/>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c"/>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rtestrcition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r w:rsidR="00436B7C" w14:paraId="6C61105F" w14:textId="77777777" w:rsidTr="00C64F5D">
        <w:tc>
          <w:tcPr>
            <w:tcW w:w="1945" w:type="dxa"/>
          </w:tcPr>
          <w:p w14:paraId="196B0BAE" w14:textId="3CAECC9E"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r>
              <w:rPr>
                <w:rFonts w:eastAsiaTheme="minorEastAsia"/>
                <w:sz w:val="22"/>
                <w:lang w:val="en-US" w:eastAsia="zh-CN"/>
              </w:rPr>
              <w:t>, Sanechips</w:t>
            </w:r>
          </w:p>
        </w:tc>
        <w:tc>
          <w:tcPr>
            <w:tcW w:w="7683" w:type="dxa"/>
          </w:tcPr>
          <w:p w14:paraId="18ECA1BE" w14:textId="77777777" w:rsidR="00436B7C" w:rsidRDefault="00436B7C" w:rsidP="00436B7C">
            <w:pPr>
              <w:spacing w:afterLines="50" w:after="120"/>
              <w:jc w:val="both"/>
              <w:rPr>
                <w:rFonts w:eastAsiaTheme="minorEastAsia"/>
                <w:sz w:val="22"/>
                <w:lang w:val="en-US" w:eastAsia="zh-CN"/>
              </w:rPr>
            </w:pPr>
            <w:r>
              <w:rPr>
                <w:sz w:val="22"/>
                <w:lang w:val="en-US"/>
              </w:rPr>
              <w:t>W</w:t>
            </w:r>
            <w:r>
              <w:rPr>
                <w:rFonts w:eastAsiaTheme="minorEastAsia"/>
                <w:sz w:val="22"/>
                <w:lang w:val="en-US" w:eastAsia="zh-CN"/>
              </w:rPr>
              <w:t xml:space="preserve">e are open to rediscuss this issue. However, just simply removing the restriction is not preferred. </w:t>
            </w:r>
          </w:p>
          <w:p w14:paraId="4905AF6B" w14:textId="77777777" w:rsidR="00436B7C" w:rsidRDefault="00436B7C" w:rsidP="00436B7C">
            <w:pPr>
              <w:spacing w:afterLines="50" w:after="120"/>
              <w:jc w:val="both"/>
              <w:rPr>
                <w:rFonts w:eastAsiaTheme="minorEastAsia"/>
                <w:sz w:val="22"/>
                <w:lang w:val="en-US" w:eastAsia="zh-CN"/>
              </w:rPr>
            </w:pPr>
            <w:r>
              <w:rPr>
                <w:rFonts w:eastAsiaTheme="minorEastAsia"/>
                <w:sz w:val="22"/>
                <w:lang w:val="en-US" w:eastAsia="zh-CN"/>
              </w:rPr>
              <w:t xml:space="preserve">Actually, we provided some simulation results in the tdoc R1-1715449, please see the figures below where DMRS TD-OCC cannot work well especially when phase noise is servious, i.e. when PTRS time density is high.  In other words, when PTRS is configured in every symbol, the restriction should not be removed.  When PTRS density is lower, i.e. in every 2 or 4 symbols (PN is less serious, DMRS using TD-OCC in two adjacent symbols has no much impact), so we are fine with removing the restriction in such case. </w:t>
            </w:r>
          </w:p>
          <w:p w14:paraId="7A277AF4" w14:textId="77777777" w:rsidR="00436B7C" w:rsidRDefault="00436B7C" w:rsidP="00436B7C">
            <w:pPr>
              <w:pStyle w:val="maintext"/>
              <w:numPr>
                <w:ilvl w:val="255"/>
                <w:numId w:val="0"/>
              </w:numPr>
              <w:snapToGrid w:val="0"/>
              <w:spacing w:before="0" w:after="0" w:line="240" w:lineRule="auto"/>
              <w:ind w:firstLineChars="200" w:firstLine="402"/>
              <w:jc w:val="center"/>
              <w:rPr>
                <w:rFonts w:eastAsia="宋体"/>
                <w:b/>
                <w:bCs/>
                <w:iCs/>
                <w:lang w:val="en-US" w:eastAsia="zh-CN"/>
              </w:rPr>
            </w:pPr>
            <w:r>
              <w:rPr>
                <w:rFonts w:eastAsia="宋体"/>
                <w:b/>
                <w:bCs/>
                <w:iCs/>
                <w:noProof/>
                <w:lang w:val="en-US" w:eastAsia="zh-CN"/>
              </w:rPr>
              <w:drawing>
                <wp:inline distT="0" distB="0" distL="0" distR="0" wp14:anchorId="68C24B1E" wp14:editId="00C8A65A">
                  <wp:extent cx="2787650" cy="2087880"/>
                  <wp:effectExtent l="0" t="0" r="0" b="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noChangeArrowheads="1"/>
                          </pic:cNvPicPr>
                        </pic:nvPicPr>
                        <pic:blipFill>
                          <a:blip r:embed="rId44"/>
                          <a:srcRect/>
                          <a:stretch>
                            <a:fillRect/>
                          </a:stretch>
                        </pic:blipFill>
                        <pic:spPr>
                          <a:xfrm>
                            <a:off x="0" y="0"/>
                            <a:ext cx="2787824" cy="2088000"/>
                          </a:xfrm>
                          <a:prstGeom prst="rect">
                            <a:avLst/>
                          </a:prstGeom>
                          <a:noFill/>
                          <a:ln w="9525">
                            <a:noFill/>
                            <a:miter lim="800000"/>
                            <a:headEnd/>
                            <a:tailEnd/>
                          </a:ln>
                        </pic:spPr>
                      </pic:pic>
                    </a:graphicData>
                  </a:graphic>
                </wp:inline>
              </w:drawing>
            </w:r>
            <w:r>
              <w:rPr>
                <w:rFonts w:eastAsia="宋体"/>
                <w:b/>
                <w:bCs/>
                <w:iCs/>
                <w:noProof/>
                <w:lang w:val="en-US" w:eastAsia="zh-CN"/>
              </w:rPr>
              <w:drawing>
                <wp:inline distT="0" distB="0" distL="0" distR="0" wp14:anchorId="2CA2861D" wp14:editId="71FFE1F2">
                  <wp:extent cx="2787650" cy="208788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45"/>
                          <a:srcRect/>
                          <a:stretch>
                            <a:fillRect/>
                          </a:stretch>
                        </pic:blipFill>
                        <pic:spPr>
                          <a:xfrm>
                            <a:off x="0" y="0"/>
                            <a:ext cx="2787824" cy="2088000"/>
                          </a:xfrm>
                          <a:prstGeom prst="rect">
                            <a:avLst/>
                          </a:prstGeom>
                          <a:noFill/>
                          <a:ln w="9525">
                            <a:noFill/>
                            <a:miter lim="800000"/>
                            <a:headEnd/>
                            <a:tailEnd/>
                          </a:ln>
                        </pic:spPr>
                      </pic:pic>
                    </a:graphicData>
                  </a:graphic>
                </wp:inline>
              </w:drawing>
            </w:r>
          </w:p>
          <w:p w14:paraId="3AABD041" w14:textId="57A4CFBC" w:rsidR="00436B7C" w:rsidRDefault="00436B7C" w:rsidP="00436B7C">
            <w:pPr>
              <w:spacing w:afterLines="50" w:after="120"/>
              <w:jc w:val="both"/>
            </w:pPr>
            <w:r>
              <w:rPr>
                <w:rFonts w:eastAsia="宋体" w:hint="eastAsia"/>
                <w:lang w:val="en-US" w:eastAsia="zh-CN"/>
              </w:rPr>
              <w:t xml:space="preserve">Fig  2.2-3 Performance show for scenarios with </w:t>
            </w:r>
            <w:r>
              <w:rPr>
                <w:rFonts w:eastAsia="宋体"/>
                <w:lang w:val="en-US" w:eastAsia="zh-CN"/>
              </w:rPr>
              <w:t>phase noise</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c"/>
              <w:jc w:val="center"/>
              <w:rPr>
                <w:sz w:val="22"/>
              </w:rPr>
            </w:pPr>
            <w:bookmarkStart w:id="62" w:name="_Ref71578016"/>
            <w:r>
              <w:t xml:space="preserve">Figure </w:t>
            </w:r>
            <w:r>
              <w:fldChar w:fldCharType="begin"/>
            </w:r>
            <w:r>
              <w:instrText xml:space="preserve"> SEQ Figure \* ARABIC </w:instrText>
            </w:r>
            <w:r>
              <w:fldChar w:fldCharType="separate"/>
            </w:r>
            <w:r>
              <w:rPr>
                <w:noProof/>
              </w:rPr>
              <w:t>4</w:t>
            </w:r>
            <w:r>
              <w:fldChar w:fldCharType="end"/>
            </w:r>
            <w:bookmarkEnd w:id="62"/>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c"/>
              <w:jc w:val="center"/>
              <w:rPr>
                <w:sz w:val="22"/>
              </w:rPr>
            </w:pPr>
            <w:bookmarkStart w:id="63" w:name="_Ref71586311"/>
            <w:r>
              <w:t xml:space="preserve">Figure </w:t>
            </w:r>
            <w:r>
              <w:fldChar w:fldCharType="begin"/>
            </w:r>
            <w:r>
              <w:instrText xml:space="preserve"> SEQ Figure \* ARABIC </w:instrText>
            </w:r>
            <w:r>
              <w:fldChar w:fldCharType="separate"/>
            </w:r>
            <w:r>
              <w:rPr>
                <w:noProof/>
              </w:rPr>
              <w:t>5</w:t>
            </w:r>
            <w:r>
              <w:fldChar w:fldCharType="end"/>
            </w:r>
            <w:bookmarkEnd w:id="63"/>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c"/>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c"/>
              <w:widowControl w:val="0"/>
              <w:numPr>
                <w:ilvl w:val="1"/>
                <w:numId w:val="25"/>
              </w:numPr>
              <w:ind w:leftChars="0"/>
              <w:jc w:val="both"/>
              <w:rPr>
                <w:i/>
                <w:iCs/>
                <w:lang w:eastAsia="zh-CN"/>
              </w:rPr>
            </w:pPr>
            <w:r>
              <w:rPr>
                <w:i/>
                <w:iCs/>
                <w:lang w:eastAsia="zh-CN"/>
              </w:rPr>
              <w:lastRenderedPageBreak/>
              <w:t>Support MU-MIMO between LTE and NR users using orthogonal DM-RS antenna ports</w:t>
            </w:r>
          </w:p>
          <w:p w14:paraId="46A2FA06" w14:textId="77777777" w:rsidR="00202BBC" w:rsidRDefault="00202BBC" w:rsidP="00B650B3">
            <w:pPr>
              <w:pStyle w:val="afc"/>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c"/>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afc"/>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c"/>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c"/>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afc"/>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1F9F598" w14:textId="23F33462" w:rsidR="00001CA7" w:rsidRPr="00F740AD" w:rsidRDefault="00741C1C" w:rsidP="0094700B">
            <w:pPr>
              <w:spacing w:afterLines="50" w:after="120"/>
              <w:jc w:val="both"/>
              <w:rPr>
                <w:sz w:val="22"/>
                <w:lang w:val="en-US"/>
              </w:rPr>
            </w:pPr>
            <w:r>
              <w:rPr>
                <w:rFonts w:eastAsia="宋体"/>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inter-RAT demodulation? If the answer is yes, then it is expected that such inter-RAT demodulation may cause much higher complexity of user pairing and inter-UE interference management than single-RAT MU-MIMO.</w:t>
            </w:r>
          </w:p>
        </w:tc>
      </w:tr>
      <w:tr w:rsidR="00436B7C" w14:paraId="57210E39" w14:textId="77777777" w:rsidTr="00C64F5D">
        <w:tc>
          <w:tcPr>
            <w:tcW w:w="1945" w:type="dxa"/>
          </w:tcPr>
          <w:p w14:paraId="3B624073" w14:textId="706859FD" w:rsidR="00436B7C" w:rsidRDefault="00436B7C" w:rsidP="00436B7C">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r>
              <w:rPr>
                <w:rFonts w:eastAsiaTheme="minorEastAsia"/>
                <w:sz w:val="22"/>
                <w:lang w:val="en-US" w:eastAsia="zh-CN"/>
              </w:rPr>
              <w:t>, Sanechips</w:t>
            </w:r>
          </w:p>
        </w:tc>
        <w:tc>
          <w:tcPr>
            <w:tcW w:w="7683" w:type="dxa"/>
          </w:tcPr>
          <w:p w14:paraId="434F5FF5" w14:textId="6E512CC1" w:rsidR="00436B7C" w:rsidRDefault="00436B7C" w:rsidP="00436B7C">
            <w:pPr>
              <w:spacing w:afterLines="50" w:after="120"/>
              <w:jc w:val="both"/>
              <w:rPr>
                <w:rFonts w:eastAsia="宋体"/>
                <w:sz w:val="22"/>
                <w:lang w:val="en-US" w:eastAsia="zh-CN"/>
              </w:rPr>
            </w:pPr>
            <w:r>
              <w:rPr>
                <w:rFonts w:eastAsiaTheme="minorEastAsia" w:hint="eastAsia"/>
                <w:sz w:val="22"/>
                <w:lang w:val="en-US" w:eastAsia="zh-CN"/>
              </w:rPr>
              <w:t>W</w:t>
            </w:r>
            <w:r>
              <w:rPr>
                <w:rFonts w:eastAsiaTheme="minorEastAsia"/>
                <w:sz w:val="22"/>
                <w:lang w:val="en-US" w:eastAsia="zh-CN"/>
              </w:rPr>
              <w:t>e are open to</w:t>
            </w:r>
            <w:r>
              <w:rPr>
                <w:rFonts w:eastAsiaTheme="minorEastAsia"/>
                <w:sz w:val="22"/>
                <w:lang w:val="en-US" w:eastAsia="zh-CN"/>
              </w:rPr>
              <w:t xml:space="preserve"> the discussion if the scenario/motivation can b</w:t>
            </w:r>
            <w:r>
              <w:rPr>
                <w:rFonts w:eastAsiaTheme="minorEastAsia"/>
                <w:sz w:val="22"/>
                <w:lang w:val="en-US" w:eastAsia="zh-CN"/>
              </w:rPr>
              <w:t>e justified by more performance evaluation on the potential gain.</w:t>
            </w:r>
            <w:r>
              <w:rPr>
                <w:rFonts w:eastAsiaTheme="minorEastAsia"/>
                <w:sz w:val="22"/>
                <w:lang w:val="en-US" w:eastAsia="zh-CN"/>
              </w:rPr>
              <w:t xml:space="preserve"> </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lastRenderedPageBreak/>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c"/>
              <w:jc w:val="center"/>
            </w:pPr>
            <w:bookmarkStart w:id="64" w:name="_Ref68459151"/>
            <w:r>
              <w:t xml:space="preserve">Figure </w:t>
            </w:r>
            <w:r>
              <w:fldChar w:fldCharType="begin"/>
            </w:r>
            <w:r>
              <w:instrText xml:space="preserve"> SEQ Figure \* ARABIC </w:instrText>
            </w:r>
            <w:r>
              <w:fldChar w:fldCharType="separate"/>
            </w:r>
            <w:r>
              <w:rPr>
                <w:noProof/>
              </w:rPr>
              <w:t>1</w:t>
            </w:r>
            <w:r>
              <w:fldChar w:fldCharType="end"/>
            </w:r>
            <w:bookmarkEnd w:id="64"/>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ac"/>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lastRenderedPageBreak/>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3.9pt;height:225.4pt" o:ole="">
                  <v:imagedata r:id="rId50" o:title=""/>
                </v:shape>
                <o:OLEObject Type="Embed" ProgID="Visio.Drawing.15" ShapeID="_x0000_i1028" DrawAspect="Content" ObjectID="_1683144661" r:id="rId51"/>
              </w:object>
            </w:r>
          </w:p>
          <w:p w14:paraId="4909985B" w14:textId="77777777" w:rsidR="00EF50AD" w:rsidRDefault="00EF50AD" w:rsidP="00EF50AD">
            <w:pPr>
              <w:pStyle w:val="ac"/>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lastRenderedPageBreak/>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afc"/>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afc"/>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lastRenderedPageBreak/>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436B7C" w14:paraId="3252A5B7" w14:textId="77777777" w:rsidTr="00C64F5D">
        <w:tc>
          <w:tcPr>
            <w:tcW w:w="1945" w:type="dxa"/>
          </w:tcPr>
          <w:p w14:paraId="0C801125" w14:textId="06596D3E" w:rsidR="00436B7C" w:rsidRPr="00007F06" w:rsidRDefault="00436B7C" w:rsidP="00436B7C">
            <w:pPr>
              <w:spacing w:afterLines="50" w:after="120"/>
              <w:jc w:val="both"/>
              <w:rPr>
                <w:sz w:val="22"/>
                <w:szCs w:val="22"/>
              </w:rPr>
            </w:pPr>
            <w:r>
              <w:rPr>
                <w:rFonts w:eastAsia="宋体" w:hint="eastAsia"/>
                <w:sz w:val="22"/>
                <w:lang w:val="en-US" w:eastAsia="zh-CN"/>
              </w:rPr>
              <w:t>ZTE</w:t>
            </w:r>
            <w:r>
              <w:rPr>
                <w:rFonts w:eastAsia="宋体"/>
                <w:sz w:val="22"/>
                <w:lang w:val="en-US" w:eastAsia="zh-CN"/>
              </w:rPr>
              <w:t>, Sanechips</w:t>
            </w:r>
          </w:p>
        </w:tc>
        <w:tc>
          <w:tcPr>
            <w:tcW w:w="7683" w:type="dxa"/>
          </w:tcPr>
          <w:p w14:paraId="2FC0A9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three types of HARQ feedback for sidelink are su</w:t>
            </w:r>
            <w:r>
              <w:rPr>
                <w:rFonts w:eastAsia="宋体" w:hint="eastAsia"/>
                <w:sz w:val="22"/>
                <w:szCs w:val="22"/>
                <w:lang w:val="en-US" w:eastAsia="zh-CN"/>
              </w:rPr>
              <w:t xml:space="preserve">pported: blind retransmission, </w:t>
            </w:r>
            <w:r>
              <w:rPr>
                <w:rFonts w:eastAsia="宋体" w:hint="eastAsia"/>
                <w:sz w:val="22"/>
                <w:szCs w:val="22"/>
                <w:lang w:val="en-US" w:eastAsia="zh-CN"/>
              </w:rPr>
              <w:t xml:space="preserve">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0D44EBF5"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281CC237" w14:textId="77777777" w:rsidR="00436B7C" w:rsidRDefault="00436B7C" w:rsidP="00436B7C">
            <w:pPr>
              <w:spacing w:afterLines="50" w:after="120"/>
              <w:jc w:val="both"/>
              <w:rPr>
                <w:rFonts w:eastAsia="宋体"/>
                <w:sz w:val="22"/>
                <w:szCs w:val="22"/>
                <w:lang w:val="en-US" w:eastAsia="zh-CN"/>
              </w:rPr>
            </w:pPr>
            <w:r>
              <w:rPr>
                <w:rFonts w:eastAsia="宋体"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281E6D45" w14:textId="725371E6" w:rsidR="00436B7C" w:rsidRDefault="00436B7C" w:rsidP="00436B7C">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0"/>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aff0"/>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0"/>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0"/>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0"/>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ac"/>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lastRenderedPageBreak/>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c"/>
              <w:widowControl w:val="0"/>
              <w:numPr>
                <w:ilvl w:val="0"/>
                <w:numId w:val="34"/>
              </w:numPr>
              <w:ind w:leftChars="0"/>
              <w:jc w:val="both"/>
            </w:pPr>
            <w:bookmarkStart w:id="65"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5"/>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lastRenderedPageBreak/>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c"/>
              <w:widowControl w:val="0"/>
              <w:numPr>
                <w:ilvl w:val="0"/>
                <w:numId w:val="34"/>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B650B3">
            <w:pPr>
              <w:pStyle w:val="afc"/>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bookmarkStart w:id="66" w:name="_GoBack"/>
      <w:bookmarkEnd w:id="66"/>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c"/>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413D5C">
        <w:tc>
          <w:tcPr>
            <w:tcW w:w="1945" w:type="dxa"/>
          </w:tcPr>
          <w:p w14:paraId="3B23E89E" w14:textId="77777777" w:rsidR="001026F7" w:rsidRDefault="001026F7" w:rsidP="00413D5C">
            <w:pPr>
              <w:spacing w:afterLines="50" w:after="120"/>
              <w:jc w:val="both"/>
              <w:rPr>
                <w:sz w:val="22"/>
                <w:lang w:val="en-US"/>
              </w:rPr>
            </w:pPr>
            <w:r>
              <w:rPr>
                <w:sz w:val="22"/>
                <w:lang w:val="en-US"/>
              </w:rPr>
              <w:t>vivo</w:t>
            </w:r>
          </w:p>
        </w:tc>
        <w:tc>
          <w:tcPr>
            <w:tcW w:w="7683"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lastRenderedPageBreak/>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64F5D">
        <w:tc>
          <w:tcPr>
            <w:tcW w:w="1945" w:type="dxa"/>
          </w:tcPr>
          <w:p w14:paraId="510FDA30" w14:textId="0BFDB296" w:rsidR="00DF0DD4" w:rsidRDefault="005F2726" w:rsidP="00DF0DD4">
            <w:pPr>
              <w:spacing w:afterLines="50" w:after="120"/>
              <w:jc w:val="both"/>
              <w:rPr>
                <w:sz w:val="22"/>
                <w:lang w:val="en-US"/>
              </w:rPr>
            </w:pPr>
            <w:r>
              <w:rPr>
                <w:sz w:val="22"/>
                <w:lang w:val="en-US"/>
              </w:rPr>
              <w:lastRenderedPageBreak/>
              <w:t>Huawei, HiSilicon</w:t>
            </w:r>
          </w:p>
        </w:tc>
        <w:tc>
          <w:tcPr>
            <w:tcW w:w="7683"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64F5D">
        <w:tc>
          <w:tcPr>
            <w:tcW w:w="1945" w:type="dxa"/>
          </w:tcPr>
          <w:p w14:paraId="32E3101C" w14:textId="442C77F7" w:rsidR="007069A7" w:rsidRPr="007069A7" w:rsidRDefault="007069A7" w:rsidP="00DF0DD4">
            <w:pPr>
              <w:spacing w:afterLines="50" w:after="120"/>
              <w:jc w:val="both"/>
              <w:rPr>
                <w:sz w:val="22"/>
              </w:rPr>
            </w:pPr>
            <w:r>
              <w:rPr>
                <w:sz w:val="22"/>
              </w:rPr>
              <w:t>vivo2</w:t>
            </w:r>
          </w:p>
        </w:tc>
        <w:tc>
          <w:tcPr>
            <w:tcW w:w="7683" w:type="dxa"/>
          </w:tcPr>
          <w:p w14:paraId="4BEDC682" w14:textId="4034EC72" w:rsidR="007069A7" w:rsidRPr="005F2726" w:rsidRDefault="007069A7" w:rsidP="005F2726">
            <w:pPr>
              <w:spacing w:afterLines="50" w:after="120"/>
              <w:jc w:val="both"/>
              <w:rPr>
                <w:sz w:val="22"/>
                <w:lang w:val="en-US"/>
              </w:rPr>
            </w:pPr>
            <w:r>
              <w:rPr>
                <w:sz w:val="22"/>
                <w:lang w:val="en-US"/>
              </w:rPr>
              <w:t>@Huawei, HiSilicon, one of the motivations is power saving by turning off PAs, and since current spec already allows gNB to configure 2-port SRS to 4Tx UE, then from network perspective if the UE can deliver max ouput power is always better from coverage perspective.</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afc"/>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lastRenderedPageBreak/>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7" w:name="_Hlk67580046"/>
      <w:r>
        <w:rPr>
          <w:b/>
          <w:bCs/>
        </w:rPr>
        <w:t xml:space="preserve">RAN2 impact of RAN1/4-led TEI CRs shall be limited to RRC signalling of configuration parameters and </w:t>
      </w:r>
      <w:r>
        <w:rPr>
          <w:b/>
          <w:bCs/>
        </w:rPr>
        <w:tab/>
        <w:t>UE capabilities (no MAC impact, no RRC procedural impact, etc.)</w:t>
      </w:r>
      <w:bookmarkEnd w:id="67"/>
    </w:p>
    <w:p w14:paraId="799D7F73" w14:textId="77777777" w:rsidR="001F0C78" w:rsidRDefault="001F0C78" w:rsidP="001F0C78">
      <w:bookmarkStart w:id="68" w:name="_Hlk67580600"/>
      <w:r>
        <w:t>Note: Ideally one RAN WG would take the decision about whether a TEI feature should be introduced or not and other RAN WGs then accept this decision and contribute their TEI CRs.</w:t>
      </w:r>
      <w:bookmarkEnd w:id="68"/>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w:t>
      </w:r>
      <w:r>
        <w:rPr>
          <w:b/>
          <w:bCs/>
        </w:rPr>
        <w:lastRenderedPageBreak/>
        <w:t xml:space="preserve">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lastRenderedPageBreak/>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lastRenderedPageBreak/>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4"/>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5F7F0" w14:textId="77777777" w:rsidR="005C4589" w:rsidRDefault="005C4589">
      <w:r>
        <w:separator/>
      </w:r>
    </w:p>
  </w:endnote>
  <w:endnote w:type="continuationSeparator" w:id="0">
    <w:p w14:paraId="76F5A585" w14:textId="77777777" w:rsidR="005C4589" w:rsidRDefault="005C4589">
      <w:r>
        <w:continuationSeparator/>
      </w:r>
    </w:p>
  </w:endnote>
  <w:endnote w:type="continuationNotice" w:id="1">
    <w:p w14:paraId="34F59041" w14:textId="77777777" w:rsidR="005C4589" w:rsidRDefault="005C4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Arial Unicode MS"/>
    <w:charset w:val="81"/>
    <w:family w:val="modern"/>
    <w:pitch w:val="default"/>
    <w:sig w:usb0="00000287" w:usb1="69D77CFB" w:usb2="00000030" w:usb3="00000000" w:csb0="4008009F" w:csb1="DFD7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roman"/>
    <w:notTrueType/>
    <w:pitch w:val="fixed"/>
    <w:sig w:usb0="00000001" w:usb1="08070000" w:usb2="00000010" w:usb3="00000000" w:csb0="00020000" w:csb1="00000000"/>
  </w:font>
  <w:font w:name="ZapfDingbats">
    <w:altName w:val="Wingdings"/>
    <w:charset w:val="02"/>
    <w:family w:val="decorative"/>
    <w:pitch w:val="default"/>
    <w:sig w:usb0="00000000" w:usb1="0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fc"/>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
    <w:panose1 w:val="02010600030101010101"/>
    <w:charset w:val="86"/>
    <w:family w:val="auto"/>
    <w:pitch w:val="variable"/>
    <w:sig w:usb0="00000003" w:usb1="288F0000" w:usb2="00000016" w:usb3="00000000" w:csb0="00040001" w:csb1="00000000"/>
  </w:font>
  <w:font w:name="Batang">
    <w:altName w:val="©öUAA"/>
    <w:panose1 w:val="02030600000101010101"/>
    <w:charset w:val="81"/>
    <w:family w:val="auto"/>
    <w:notTrueType/>
    <w:pitch w:val="fixed"/>
    <w:sig w:usb0="00000001"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s²Ó©úÅé"/>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088EF" w14:textId="0D8063C0" w:rsidR="00413D5C" w:rsidRPr="00000924" w:rsidRDefault="00413D5C">
    <w:pPr>
      <w:pStyle w:val="ae"/>
      <w:jc w:val="center"/>
      <w:rPr>
        <w:sz w:val="22"/>
      </w:rPr>
    </w:pPr>
    <w:r>
      <w:rPr>
        <w:rStyle w:val="af1"/>
        <w:rFonts w:eastAsia="MS Gothic"/>
      </w:rPr>
      <w:t xml:space="preserve">- </w:t>
    </w:r>
    <w:r>
      <w:rPr>
        <w:rStyle w:val="af1"/>
        <w:rFonts w:eastAsia="MS Gothic"/>
      </w:rPr>
      <w:fldChar w:fldCharType="begin"/>
    </w:r>
    <w:r>
      <w:rPr>
        <w:rStyle w:val="af1"/>
        <w:rFonts w:eastAsia="MS Gothic"/>
      </w:rPr>
      <w:instrText xml:space="preserve"> PAGE </w:instrText>
    </w:r>
    <w:r>
      <w:rPr>
        <w:rStyle w:val="af1"/>
        <w:rFonts w:eastAsia="MS Gothic"/>
      </w:rPr>
      <w:fldChar w:fldCharType="separate"/>
    </w:r>
    <w:r w:rsidR="00436B7C">
      <w:rPr>
        <w:rStyle w:val="af1"/>
        <w:rFonts w:eastAsia="MS Gothic"/>
        <w:noProof/>
      </w:rPr>
      <w:t>45</w:t>
    </w:r>
    <w:r>
      <w:rPr>
        <w:rStyle w:val="af1"/>
        <w:rFonts w:eastAsia="MS Gothic"/>
      </w:rPr>
      <w:fldChar w:fldCharType="end"/>
    </w:r>
    <w:r>
      <w:rPr>
        <w:rStyle w:val="af1"/>
        <w:rFonts w:eastAsia="MS Gothic"/>
      </w:rPr>
      <w:t>/</w:t>
    </w:r>
    <w:r>
      <w:rPr>
        <w:rStyle w:val="af1"/>
        <w:rFonts w:eastAsia="MS Gothic"/>
      </w:rPr>
      <w:fldChar w:fldCharType="begin"/>
    </w:r>
    <w:r>
      <w:rPr>
        <w:rStyle w:val="af1"/>
        <w:rFonts w:eastAsia="MS Gothic"/>
      </w:rPr>
      <w:instrText xml:space="preserve"> NUMPAGES </w:instrText>
    </w:r>
    <w:r>
      <w:rPr>
        <w:rStyle w:val="af1"/>
        <w:rFonts w:eastAsia="MS Gothic"/>
      </w:rPr>
      <w:fldChar w:fldCharType="separate"/>
    </w:r>
    <w:r w:rsidR="00436B7C">
      <w:rPr>
        <w:rStyle w:val="af1"/>
        <w:rFonts w:eastAsia="MS Gothic"/>
        <w:noProof/>
      </w:rPr>
      <w:t>49</w:t>
    </w:r>
    <w:r>
      <w:rPr>
        <w:rStyle w:val="af1"/>
        <w:rFonts w:eastAsia="MS Gothic"/>
      </w:rPr>
      <w:fldChar w:fldCharType="end"/>
    </w:r>
    <w:r>
      <w:rPr>
        <w:rStyle w:val="af1"/>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FB0C95" w14:textId="77777777" w:rsidR="005C4589" w:rsidRDefault="005C4589">
      <w:r>
        <w:separator/>
      </w:r>
    </w:p>
  </w:footnote>
  <w:footnote w:type="continuationSeparator" w:id="0">
    <w:p w14:paraId="13436DE3" w14:textId="77777777" w:rsidR="005C4589" w:rsidRDefault="005C4589">
      <w:r>
        <w:continuationSeparator/>
      </w:r>
    </w:p>
  </w:footnote>
  <w:footnote w:type="continuationNotice" w:id="1">
    <w:p w14:paraId="267D6B0D" w14:textId="77777777" w:rsidR="005C4589" w:rsidRDefault="005C458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nsid w:val="BFECCEB7"/>
    <w:multiLevelType w:val="singleLevel"/>
    <w:tmpl w:val="BFECCEB7"/>
    <w:lvl w:ilvl="0">
      <w:start w:val="1"/>
      <w:numFmt w:val="decimal"/>
      <w:suff w:val="space"/>
      <w:lvlText w:val="%1)"/>
      <w:lvlJc w:val="left"/>
    </w:lvl>
  </w:abstractNum>
  <w:abstractNum w:abstractNumId="2">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2">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7">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6">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1">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6">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4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7DD53980"/>
    <w:multiLevelType w:val="multilevel"/>
    <w:tmpl w:val="99F4D080"/>
    <w:numStyleLink w:val="1"/>
  </w:abstractNum>
  <w:num w:numId="1">
    <w:abstractNumId w:val="30"/>
  </w:num>
  <w:num w:numId="2">
    <w:abstractNumId w:val="11"/>
  </w:num>
  <w:num w:numId="3">
    <w:abstractNumId w:val="40"/>
  </w:num>
  <w:num w:numId="4">
    <w:abstractNumId w:val="6"/>
  </w:num>
  <w:num w:numId="5">
    <w:abstractNumId w:val="8"/>
  </w:num>
  <w:num w:numId="6">
    <w:abstractNumId w:val="14"/>
  </w:num>
  <w:num w:numId="7">
    <w:abstractNumId w:val="29"/>
  </w:num>
  <w:num w:numId="8">
    <w:abstractNumId w:val="22"/>
  </w:num>
  <w:num w:numId="9">
    <w:abstractNumId w:val="21"/>
  </w:num>
  <w:num w:numId="10">
    <w:abstractNumId w:val="9"/>
  </w:num>
  <w:num w:numId="11">
    <w:abstractNumId w:val="5"/>
  </w:num>
  <w:num w:numId="12">
    <w:abstractNumId w:val="41"/>
  </w:num>
  <w:num w:numId="13">
    <w:abstractNumId w:val="37"/>
  </w:num>
  <w:num w:numId="14">
    <w:abstractNumId w:val="25"/>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31"/>
  </w:num>
  <w:num w:numId="20">
    <w:abstractNumId w:val="38"/>
  </w:num>
  <w:num w:numId="21">
    <w:abstractNumId w:val="17"/>
  </w:num>
  <w:num w:numId="22">
    <w:abstractNumId w:val="32"/>
  </w:num>
  <w:num w:numId="23">
    <w:abstractNumId w:val="28"/>
  </w:num>
  <w:num w:numId="24">
    <w:abstractNumId w:val="18"/>
  </w:num>
  <w:num w:numId="25">
    <w:abstractNumId w:val="16"/>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num>
  <w:num w:numId="28">
    <w:abstractNumId w:val="33"/>
  </w:num>
  <w:num w:numId="29">
    <w:abstractNumId w:val="35"/>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6"/>
  </w:num>
  <w:num w:numId="33">
    <w:abstractNumId w:val="4"/>
  </w:num>
  <w:num w:numId="34">
    <w:abstractNumId w:val="23"/>
  </w:num>
  <w:num w:numId="35">
    <w:abstractNumId w:val="13"/>
  </w:num>
  <w:num w:numId="36">
    <w:abstractNumId w:val="7"/>
  </w:num>
  <w:num w:numId="37">
    <w:abstractNumId w:val="12"/>
  </w:num>
  <w:num w:numId="38">
    <w:abstractNumId w:val="19"/>
  </w:num>
  <w:num w:numId="39">
    <w:abstractNumId w:val="36"/>
  </w:num>
  <w:num w:numId="40">
    <w:abstractNumId w:val="3"/>
  </w:num>
  <w:num w:numId="41">
    <w:abstractNumId w:val="0"/>
  </w:num>
  <w:num w:numId="42">
    <w:abstractNumId w:val="2"/>
  </w:num>
  <w:num w:numId="43">
    <w:abstractNumId w:val="1"/>
  </w:num>
  <w:num w:numId="44">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6B7C"/>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589"/>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5A0"/>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Char"/>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uiPriority w:val="9"/>
    <w:qFormat/>
    <w:rsid w:val="0098555E"/>
    <w:pPr>
      <w:spacing w:before="240" w:after="60"/>
      <w:outlineLvl w:val="5"/>
    </w:pPr>
    <w:rPr>
      <w:i/>
      <w:sz w:val="22"/>
    </w:rPr>
  </w:style>
  <w:style w:type="paragraph" w:styleId="7">
    <w:name w:val="heading 7"/>
    <w:basedOn w:val="a0"/>
    <w:next w:val="a0"/>
    <w:link w:val="7Char"/>
    <w:uiPriority w:val="9"/>
    <w:qFormat/>
    <w:rsid w:val="0098555E"/>
    <w:pPr>
      <w:spacing w:before="240" w:after="60"/>
      <w:outlineLvl w:val="6"/>
    </w:pPr>
    <w:rPr>
      <w:rFonts w:ascii="Arial" w:hAnsi="Arial"/>
    </w:rPr>
  </w:style>
  <w:style w:type="paragraph" w:styleId="8">
    <w:name w:val="heading 8"/>
    <w:aliases w:val="Table Heading"/>
    <w:basedOn w:val="a0"/>
    <w:next w:val="a0"/>
    <w:link w:val="8Char"/>
    <w:uiPriority w:val="9"/>
    <w:qFormat/>
    <w:rsid w:val="0098555E"/>
    <w:pPr>
      <w:spacing w:before="240" w:after="60"/>
      <w:outlineLvl w:val="7"/>
    </w:pPr>
    <w:rPr>
      <w:rFonts w:ascii="Arial" w:hAnsi="Arial"/>
      <w:i/>
    </w:rPr>
  </w:style>
  <w:style w:type="paragraph" w:styleId="9">
    <w:name w:val="heading 9"/>
    <w:aliases w:val="Figure Heading,FH"/>
    <w:basedOn w:val="a0"/>
    <w:next w:val="a0"/>
    <w:link w:val="9Char"/>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Char1"/>
    <w:qFormat/>
    <w:rsid w:val="0098555E"/>
    <w:pPr>
      <w:widowControl w:val="0"/>
    </w:pPr>
    <w:rPr>
      <w:rFonts w:ascii="Arial" w:eastAsia="MS Mincho" w:hAnsi="Arial"/>
      <w:b/>
      <w:noProof/>
      <w:sz w:val="18"/>
    </w:rPr>
  </w:style>
  <w:style w:type="character" w:customStyle="1" w:styleId="Char1">
    <w:name w:val="页眉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uiPriority w:val="99"/>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uiPriority w:val="99"/>
    <w:qFormat/>
    <w:rsid w:val="0098555E"/>
    <w:pPr>
      <w:tabs>
        <w:tab w:val="clear" w:pos="360"/>
      </w:tabs>
      <w:spacing w:after="60"/>
      <w:ind w:left="1080" w:hanging="357"/>
    </w:pPr>
    <w:rPr>
      <w:rFonts w:ascii="Arial" w:hAnsi="Arial"/>
    </w:rPr>
  </w:style>
  <w:style w:type="paragraph" w:styleId="ad">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uiPriority w:val="99"/>
    <w:qFormat/>
    <w:rsid w:val="0098555E"/>
    <w:pPr>
      <w:tabs>
        <w:tab w:val="center" w:pos="4536"/>
        <w:tab w:val="right" w:pos="9072"/>
      </w:tabs>
      <w:spacing w:before="120"/>
    </w:pPr>
    <w:rPr>
      <w:lang w:val="de-DE"/>
    </w:rPr>
  </w:style>
  <w:style w:type="paragraph" w:styleId="22">
    <w:name w:val="List 2"/>
    <w:basedOn w:val="a9"/>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uiPriority w:val="99"/>
    <w:qFormat/>
    <w:rsid w:val="0098555E"/>
  </w:style>
  <w:style w:type="character" w:styleId="af1">
    <w:name w:val="page number"/>
    <w:rsid w:val="0098555E"/>
    <w:rPr>
      <w:rFonts w:eastAsia="Times New Roman"/>
      <w:noProof w:val="0"/>
      <w:kern w:val="2"/>
      <w:sz w:val="21"/>
      <w:lang w:val="en-GB"/>
    </w:rPr>
  </w:style>
  <w:style w:type="paragraph" w:styleId="31">
    <w:name w:val="Body Text 3"/>
    <w:basedOn w:val="a0"/>
    <w:link w:val="3Char0"/>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2"/>
    <w:link w:val="B3Char"/>
    <w:qFormat/>
    <w:rsid w:val="0098555E"/>
    <w:pPr>
      <w:overflowPunct w:val="0"/>
      <w:autoSpaceDE w:val="0"/>
      <w:autoSpaceDN w:val="0"/>
      <w:adjustRightInd w:val="0"/>
      <w:spacing w:after="180"/>
      <w:ind w:leftChars="0" w:left="1135" w:firstLineChars="0" w:hanging="284"/>
      <w:textAlignment w:val="baseline"/>
    </w:pPr>
  </w:style>
  <w:style w:type="paragraph" w:styleId="32">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uiPriority w:val="99"/>
    <w:qFormat/>
    <w:rsid w:val="0098555E"/>
    <w:rPr>
      <w:rFonts w:ascii="Arial" w:hAnsi="Arial"/>
      <w:sz w:val="18"/>
    </w:rPr>
  </w:style>
  <w:style w:type="character" w:customStyle="1" w:styleId="Char8">
    <w:name w:val="批注框文本 Char"/>
    <w:link w:val="af5"/>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批注文字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uiPriority w:val="99"/>
    <w:qFormat/>
    <w:rsid w:val="0098555E"/>
    <w:rPr>
      <w:b/>
      <w:sz w:val="24"/>
    </w:rPr>
  </w:style>
  <w:style w:type="character" w:customStyle="1" w:styleId="Chara">
    <w:name w:val="批注主题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a0"/>
    <w:link w:val="Charb"/>
    <w:uiPriority w:val="34"/>
    <w:qFormat/>
    <w:rsid w:val="002D136A"/>
    <w:pPr>
      <w:ind w:leftChars="400" w:left="840"/>
    </w:pPr>
  </w:style>
  <w:style w:type="character" w:customStyle="1" w:styleId="Charb">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c"/>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注释标题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结束语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uiPriority w:val="39"/>
    <w:qFormat/>
    <w:rsid w:val="00DC57EE"/>
    <w:pPr>
      <w:ind w:left="1418" w:hanging="1418"/>
    </w:pPr>
  </w:style>
  <w:style w:type="paragraph" w:styleId="80">
    <w:name w:val="toc 8"/>
    <w:basedOn w:val="1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标题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标题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标题 3 Char"/>
    <w:aliases w:val="Underrubrik2 Char1,H3 Char1,no break Char1,Memo Heading 3 Char1"/>
    <w:basedOn w:val="a1"/>
    <w:link w:val="30"/>
    <w:rsid w:val="00FA6E98"/>
    <w:rPr>
      <w:rFonts w:ascii="Arial" w:eastAsia="MS Gothic" w:hAnsi="Arial"/>
      <w:sz w:val="24"/>
      <w:lang w:val="en-GB"/>
    </w:rPr>
  </w:style>
  <w:style w:type="character" w:customStyle="1" w:styleId="4Char">
    <w:name w:val="标题 4 Char"/>
    <w:aliases w:val="h4 Char1,H4 Char1,H41 Char1,h41 Char1,H42 Char1,h42 Char1,H43 Char1,h43 Char1,H411 Char1,h411 Char1,H421 Char1,h421 Char1,H44 Char1,h44 Char1,H412 Char1,h412 Char1,H422 Char1,h422 Char1,H431 Char1,h431 Char1,H45 Char1,h45 Char1,H413 Char1"/>
    <w:basedOn w:val="a1"/>
    <w:link w:val="4"/>
    <w:rsid w:val="00FA6E98"/>
    <w:rPr>
      <w:rFonts w:ascii="Arial" w:eastAsia="MS Gothic" w:hAnsi="Arial"/>
      <w:i/>
      <w:sz w:val="24"/>
      <w:lang w:val="en-GB"/>
    </w:rPr>
  </w:style>
  <w:style w:type="character" w:customStyle="1" w:styleId="5Char">
    <w:name w:val="标题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标题 6 Char"/>
    <w:basedOn w:val="a1"/>
    <w:link w:val="6"/>
    <w:rsid w:val="00FA6E98"/>
    <w:rPr>
      <w:rFonts w:ascii="Times New Roman" w:eastAsia="MS Gothic" w:hAnsi="Times New Roman"/>
      <w:i/>
      <w:sz w:val="22"/>
      <w:lang w:val="en-GB"/>
    </w:rPr>
  </w:style>
  <w:style w:type="character" w:customStyle="1" w:styleId="7Char">
    <w:name w:val="标题 7 Char"/>
    <w:basedOn w:val="a1"/>
    <w:link w:val="7"/>
    <w:rsid w:val="00FA6E98"/>
    <w:rPr>
      <w:rFonts w:ascii="Arial" w:eastAsia="MS Gothic" w:hAnsi="Arial"/>
      <w:sz w:val="24"/>
      <w:lang w:val="en-GB"/>
    </w:rPr>
  </w:style>
  <w:style w:type="character" w:customStyle="1" w:styleId="8Char">
    <w:name w:val="标题 8 Char"/>
    <w:aliases w:val="Table Heading Char1"/>
    <w:basedOn w:val="a1"/>
    <w:link w:val="8"/>
    <w:rsid w:val="00FA6E98"/>
    <w:rPr>
      <w:rFonts w:ascii="Arial" w:eastAsia="MS Gothic" w:hAnsi="Arial"/>
      <w:i/>
      <w:sz w:val="24"/>
      <w:lang w:val="en-GB"/>
    </w:rPr>
  </w:style>
  <w:style w:type="character" w:customStyle="1" w:styleId="9Char">
    <w:name w:val="标题 9 Char"/>
    <w:aliases w:val="Figure Heading Char1,FH Char1"/>
    <w:basedOn w:val="a1"/>
    <w:link w:val="9"/>
    <w:rsid w:val="00FA6E98"/>
    <w:rPr>
      <w:rFonts w:ascii="Arial" w:eastAsia="MS Gothic" w:hAnsi="Arial"/>
      <w:b/>
      <w:i/>
      <w:sz w:val="18"/>
      <w:lang w:val="en-GB"/>
    </w:rPr>
  </w:style>
  <w:style w:type="character" w:customStyle="1" w:styleId="Char">
    <w:name w:val="正文文本 Char"/>
    <w:basedOn w:val="a1"/>
    <w:link w:val="a4"/>
    <w:rsid w:val="00FA6E98"/>
    <w:rPr>
      <w:rFonts w:ascii="Times New Roman" w:eastAsia="MS Gothic" w:hAnsi="Times New Roman"/>
      <w:sz w:val="24"/>
      <w:lang w:val="en-GB"/>
    </w:rPr>
  </w:style>
  <w:style w:type="character" w:customStyle="1" w:styleId="Char0">
    <w:name w:val="正文文本缩进 Char"/>
    <w:basedOn w:val="a1"/>
    <w:link w:val="a5"/>
    <w:uiPriority w:val="99"/>
    <w:rsid w:val="00FA6E98"/>
    <w:rPr>
      <w:rFonts w:ascii="Times New Roman" w:eastAsia="MS Gothic" w:hAnsi="Times New Roman"/>
      <w:sz w:val="24"/>
      <w:lang w:val="en-GB"/>
    </w:rPr>
  </w:style>
  <w:style w:type="character" w:customStyle="1" w:styleId="Char2">
    <w:name w:val="文档结构图 Char"/>
    <w:basedOn w:val="a1"/>
    <w:link w:val="a7"/>
    <w:uiPriority w:val="99"/>
    <w:semiHidden/>
    <w:rsid w:val="00FA6E98"/>
    <w:rPr>
      <w:rFonts w:ascii="Tahoma" w:eastAsia="MS Gothic" w:hAnsi="Tahoma"/>
      <w:sz w:val="24"/>
      <w:shd w:val="clear" w:color="auto" w:fill="000080"/>
      <w:lang w:val="en-GB"/>
    </w:rPr>
  </w:style>
  <w:style w:type="character" w:customStyle="1" w:styleId="Char3">
    <w:name w:val="纯文本 Char"/>
    <w:basedOn w:val="a1"/>
    <w:link w:val="a8"/>
    <w:uiPriority w:val="99"/>
    <w:rsid w:val="00FA6E98"/>
    <w:rPr>
      <w:rFonts w:ascii="Courier New" w:eastAsia="MS Gothic" w:hAnsi="Courier New"/>
      <w:sz w:val="24"/>
      <w:lang w:val="en-GB"/>
    </w:rPr>
  </w:style>
  <w:style w:type="character" w:customStyle="1" w:styleId="Char4">
    <w:name w:val="脚注文本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正文文本缩进 2 Char"/>
    <w:basedOn w:val="a1"/>
    <w:link w:val="20"/>
    <w:uiPriority w:val="99"/>
    <w:rsid w:val="00FA6E98"/>
    <w:rPr>
      <w:rFonts w:ascii="Times New Roman" w:eastAsia="MS Gothic" w:hAnsi="Times New Roman"/>
      <w:kern w:val="2"/>
      <w:sz w:val="24"/>
      <w:lang w:val="en-GB"/>
    </w:rPr>
  </w:style>
  <w:style w:type="character" w:customStyle="1" w:styleId="Char6">
    <w:name w:val="页脚 Char"/>
    <w:basedOn w:val="a1"/>
    <w:link w:val="ae"/>
    <w:uiPriority w:val="99"/>
    <w:rsid w:val="00FA6E98"/>
    <w:rPr>
      <w:rFonts w:ascii="Times New Roman" w:eastAsia="MS Gothic" w:hAnsi="Times New Roman"/>
      <w:sz w:val="24"/>
      <w:lang w:val="de-DE"/>
    </w:rPr>
  </w:style>
  <w:style w:type="character" w:customStyle="1" w:styleId="Char7">
    <w:name w:val="标题 Char"/>
    <w:basedOn w:val="a1"/>
    <w:link w:val="af"/>
    <w:uiPriority w:val="99"/>
    <w:rsid w:val="00FA6E98"/>
    <w:rPr>
      <w:rFonts w:ascii="Arial" w:eastAsia="MS Gothic" w:hAnsi="Arial"/>
      <w:b/>
      <w:sz w:val="24"/>
      <w:lang w:val="en-GB"/>
    </w:rPr>
  </w:style>
  <w:style w:type="character" w:customStyle="1" w:styleId="3Char0">
    <w:name w:val="正文文本 3 Char"/>
    <w:basedOn w:val="a1"/>
    <w:link w:val="31"/>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题注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无间隔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__2.vsdx"/><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package" Target="embeddings/Microsoft_Visio___1.vsdx"/><Relationship Id="rId41" Type="http://schemas.openxmlformats.org/officeDocument/2006/relationships/image" Target="media/image26.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__3.vsdx"/><Relationship Id="rId45" Type="http://schemas.openxmlformats.org/officeDocument/2006/relationships/image" Target="media/image30.emf"/><Relationship Id="rId53" Type="http://schemas.openxmlformats.org/officeDocument/2006/relationships/image" Target="media/image37.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image" Target="media/image34.emf"/><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__4.vsdx"/><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2.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5.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6.xml><?xml version="1.0" encoding="utf-8"?>
<ds:datastoreItem xmlns:ds="http://schemas.openxmlformats.org/officeDocument/2006/customXml" ds:itemID="{38D197CB-F7A7-40A7-84B1-DCF168D0E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18851</Words>
  <Characters>107453</Characters>
  <Application>Microsoft Office Word</Application>
  <DocSecurity>0</DocSecurity>
  <Lines>895</Lines>
  <Paragraphs>252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126052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ZTE</cp:lastModifiedBy>
  <cp:revision>3</cp:revision>
  <cp:lastPrinted>2017-08-09T04:40:00Z</cp:lastPrinted>
  <dcterms:created xsi:type="dcterms:W3CDTF">2021-05-21T15:17:00Z</dcterms:created>
  <dcterms:modified xsi:type="dcterms:W3CDTF">2021-05-21T15:22:00Z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