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  –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ZTE, CMCC, China Telecom, China Unicom, SoftBank, NTT DOCOMO, Sanechips,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5B44AEA2"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1B8A46DE"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1462FC4"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625FC643"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r w:rsidR="00056262">
        <w:rPr>
          <w:bCs/>
        </w:rPr>
        <w:t xml:space="preserve">alo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Microsoft YaHei"/>
                <w:sz w:val="20"/>
                <w:lang w:val="en-US"/>
              </w:rPr>
            </w:pPr>
            <w:r>
              <w:rPr>
                <w:rFonts w:eastAsia="Microsoft YaHei"/>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Microsoft YaHei"/>
                <w:sz w:val="20"/>
              </w:rPr>
            </w:pPr>
            <w:r>
              <w:rPr>
                <w:rFonts w:eastAsia="Microsoft YaHei"/>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SimSun"/>
                <w:sz w:val="20"/>
              </w:rPr>
            </w:pPr>
            <w:r>
              <w:rPr>
                <w:noProof/>
                <w:sz w:val="20"/>
                <w:lang w:val="en-US" w:eastAsia="zh-CN"/>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In the real test position 1, the receiving power gap between the two layers is about 10 dB. The constellation demapping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In the real test position 2, the receiving power gap between the two layers is about 10 dB. The constellation demapping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modeling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lastRenderedPageBreak/>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ZTE, CMCC, China Telecom, China Unicom, SoftBank, NTT DOCOMO, Sanechips,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benefitial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mTRP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Huawei, HiSilicon</w:t>
            </w:r>
          </w:p>
        </w:tc>
        <w:tc>
          <w:tcPr>
            <w:tcW w:w="7683" w:type="dxa"/>
          </w:tcPr>
          <w:p w14:paraId="05EC6E7A" w14:textId="258EF3B2" w:rsidR="00526AC8" w:rsidRPr="001E7E39" w:rsidRDefault="00526AC8" w:rsidP="00526AC8">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w:t>
            </w:r>
            <w:r>
              <w:lastRenderedPageBreak/>
              <w:t xml:space="preserve">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interleavers having more diversity. </w:t>
            </w:r>
          </w:p>
          <w:p w14:paraId="14B08667" w14:textId="77777777" w:rsidR="005161D7" w:rsidRDefault="005161D7" w:rsidP="00B650B3">
            <w:pPr>
              <w:pStyle w:val="ListParagraph"/>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As a simple simulation example, we consider the case of high throughput / high spectral efficiency (where the interleaving was supposed to provide most of the gains):  Rank 4, 100MHz BW, 30kHz SCS, TDL-A 30 nsec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2540F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Caption"/>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after="0" w:line="276" w:lineRule="auto"/>
              <w:ind w:leftChars="0"/>
              <w:jc w:val="both"/>
              <w:rPr>
                <w:b/>
                <w:bCs/>
              </w:rPr>
            </w:pPr>
            <w:bookmarkStart w:id="5" w:name="_Hlk71787941"/>
            <w:r>
              <w:rPr>
                <w:b/>
                <w:bCs/>
              </w:rPr>
              <w:t xml:space="preserve">Increase the depth of the interleaver (e.g. 4 or 8 rows instead of 2 rows in NR Rel-15) </w:t>
            </w:r>
          </w:p>
          <w:p w14:paraId="5F01FEB8" w14:textId="6E653A71" w:rsidR="00E209FD" w:rsidRPr="005161D7" w:rsidRDefault="005161D7" w:rsidP="00B650B3">
            <w:pPr>
              <w:pStyle w:val="ListParagraph"/>
              <w:numPr>
                <w:ilvl w:val="0"/>
                <w:numId w:val="20"/>
              </w:numPr>
              <w:spacing w:after="0" w:line="276" w:lineRule="auto"/>
              <w:ind w:leftChars="0"/>
              <w:jc w:val="both"/>
              <w:rPr>
                <w:b/>
                <w:bCs/>
              </w:rPr>
            </w:pPr>
            <w:r>
              <w:rPr>
                <w:b/>
                <w:bCs/>
              </w:rPr>
              <w:lastRenderedPageBreak/>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r w:rsidRPr="00BD7E14">
              <w:rPr>
                <w:rFonts w:eastAsia="MS Mincho" w:cs="Batang"/>
                <w:bCs/>
                <w:sz w:val="22"/>
                <w:szCs w:val="22"/>
              </w:rPr>
              <w:t xml:space="preserve">nterleaved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Comprehensive evaluation is needed to justify the enhancement. The change of interleaver depth may cause co-existence issue with legacy UEs which should be carefully studied. In addition, the second bullet may lead to large amout of work in RAN1, and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dependernt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t>Huawei, HiSilicon</w:t>
            </w:r>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unfortunetly, the multiplexing capacity will not be increased either, since there are legacy UEs only supporting BWP-level interleaving such that multiplexing of different UEs for co-existence could be different and complicated.</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lastRenderedPageBreak/>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Short PUCCH formats have found significant use in FR2 deployments where a large number of analog antenna beams are used to serve users in uplink/downlink. Due to large number of antenna beams, long PUCCH formats are not favored since it’s easier to support beam sweeping operations using short PUCCH formats. Further since certain beams are intended to provide cell-edge coverage while certain beams are intended for cell-center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w:t>
            </w:r>
            <w:r>
              <w:lastRenderedPageBreak/>
              <w:t xml:space="preserve">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w:lastRenderedPageBreak/>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demapper,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eastAsia="zh-CN"/>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41392C58" w14:textId="77777777" w:rsidR="00413D5C" w:rsidRDefault="00413D5C"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" stroked="f">
                      <v:textbox style="mso-fit-shape-to-text:t" inset="0,0,0,0">
                        <w:txbxContent>
                          <w:p w14:paraId="41392C58" w14:textId="77777777" w:rsidR="00413D5C" w:rsidRDefault="00413D5C" w:rsidP="00DA3A05">
                            <w:pPr>
                              <w:pStyle w:val="af2"/>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eastAsia="zh-CN"/>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D1A84E"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demapper,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eastAsia="zh-CN"/>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0E94147" w14:textId="77777777" w:rsidR="00413D5C" w:rsidRDefault="00413D5C" w:rsidP="00DA3A05">
                                  <w:pPr>
                                    <w:pStyle w:val="Caption"/>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" stroked="f">
                      <v:textbox style="mso-fit-shape-to-text:t" inset="0,0,0,0">
                        <w:txbxContent>
                          <w:p w14:paraId="10E94147" w14:textId="77777777" w:rsidR="00413D5C" w:rsidRDefault="00413D5C" w:rsidP="00DA3A05">
                            <w:pPr>
                              <w:pStyle w:val="af2"/>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eastAsia="zh-CN"/>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144B32"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lastRenderedPageBreak/>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eastAsia="zh-CN"/>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78B0AFB" w14:textId="77777777" w:rsidR="00413D5C" w:rsidRDefault="00413D5C" w:rsidP="00DA3A05">
                                  <w:pPr>
                                    <w:pStyle w:val="Caption"/>
                                    <w:jc w:val="center"/>
                                  </w:pPr>
                                  <w:bookmarkStart w:id="10" w:name="_Ref478109111"/>
                                  <w:r>
                                    <w:t xml:space="preserve">Figure </w:t>
                                  </w:r>
                                  <w:r>
                                    <w:fldChar w:fldCharType="begin"/>
                                  </w:r>
                                  <w:r>
                                    <w:instrText xml:space="preserve"> SEQ Figure \* ARABIC </w:instrText>
                                  </w:r>
                                  <w:r>
                                    <w:fldChar w:fldCharType="separate"/>
                                  </w:r>
                                  <w:r>
                                    <w:rPr>
                                      <w:noProof/>
                                    </w:rPr>
                                    <w:t>4</w:t>
                                  </w:r>
                                  <w:r>
                                    <w:fldChar w:fldCharType="end"/>
                                  </w:r>
                                  <w:bookmarkEnd w:id="10"/>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" stroked="f">
                      <v:textbox style="mso-fit-shape-to-text:t" inset="0,0,0,0">
                        <w:txbxContent>
                          <w:p w14:paraId="678B0AFB" w14:textId="77777777" w:rsidR="00413D5C" w:rsidRDefault="00413D5C" w:rsidP="00DA3A05">
                            <w:pPr>
                              <w:pStyle w:val="af2"/>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eastAsia="zh-CN"/>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7204F0"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In this section, we simulate and compare the link performances of the proposed virtual TDM scheme and compare with that of OFDM where the reference signal and data is FDMed.</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eastAsia="zh-CN"/>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eastAsia="zh-CN"/>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1" w:name="_Ref68606046"/>
            <w:bookmarkStart w:id="12" w:name="_Ref68606037"/>
            <w:r>
              <w:lastRenderedPageBreak/>
              <w:t xml:space="preserve">Figure </w:t>
            </w:r>
            <w:r>
              <w:fldChar w:fldCharType="begin"/>
            </w:r>
            <w:r>
              <w:instrText xml:space="preserve"> SEQ Figure \* ARABIC </w:instrText>
            </w:r>
            <w:r>
              <w:fldChar w:fldCharType="separate"/>
            </w:r>
            <w:r>
              <w:rPr>
                <w:noProof/>
              </w:rPr>
              <w:t>5</w:t>
            </w:r>
            <w:r>
              <w:fldChar w:fldCharType="end"/>
            </w:r>
            <w:bookmarkEnd w:id="11"/>
            <w:r>
              <w:t xml:space="preserve"> PAPR for CP-OFDM and DFT-s-OFDM waveforms (on the left) and link level performance comparison between DFT-S-OFDM and CP-OFDM (on the right).</w:t>
            </w:r>
            <w:bookmarkEnd w:id="12"/>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SimSun"/>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60ECA27B" w14:textId="4AB94145" w:rsidR="007B5597" w:rsidRDefault="007B5597" w:rsidP="00E56911">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shd w:val="clear" w:color="auto" w:fill="auto"/>
          </w:tcPr>
          <w:p w14:paraId="754CDEF6" w14:textId="4B9A8E2D" w:rsidR="00CA79B0" w:rsidRPr="004C61D4" w:rsidRDefault="00CA79B0" w:rsidP="00CA79B0">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We doubt this can be a TEI proposal. There was a considerable number of suggested PUCCH formats in Rel-15 and a careful downseletction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whenever a CSI-RS resource from the serving cell collides with a CSI-RS resource from a neighboring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 xml:space="preserve">Deliberately configuration of colliding CSI-RS has huge benefits for </w:t>
            </w:r>
            <w:r>
              <w:rPr>
                <w:rFonts w:asciiTheme="minorHAnsi" w:hAnsiTheme="minorHAnsi"/>
                <w:lang w:eastAsia="en-GB"/>
              </w:rPr>
              <w:lastRenderedPageBreak/>
              <w:t>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3" w:name="_Toc67653820"/>
            <w:r>
              <w:t>Correct the CSI-RS design as a TEI-17 to remove the false PMI reporting problem.</w:t>
            </w:r>
            <w:bookmarkEnd w:id="13"/>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eMIMO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4" w:name="_Toc67653812"/>
            <w:r>
              <w:t>Using measurements using commercial NR UEs from two different vendors, the PMI reporting fails at low SINR. It seems the PMI reporting when nearing the cell edge behave as the PMI reporting the UE would have been reporting if instead served by the interfering cell. This leads to a signifcant drop of throughput of NR at cell edge.</w:t>
            </w:r>
            <w:bookmarkEnd w:id="14"/>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lastRenderedPageBreak/>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5" w:name="_Ref67324323"/>
            <w:r>
              <w:t xml:space="preserve">Table </w:t>
            </w:r>
            <w:r>
              <w:fldChar w:fldCharType="begin"/>
            </w:r>
            <w:r>
              <w:instrText xml:space="preserve"> SEQ Table \* ARABIC </w:instrText>
            </w:r>
            <w:r>
              <w:fldChar w:fldCharType="separate"/>
            </w:r>
            <w:r>
              <w:rPr>
                <w:noProof/>
              </w:rPr>
              <w:t>1</w:t>
            </w:r>
            <w:r>
              <w:fldChar w:fldCharType="end"/>
            </w:r>
            <w:bookmarkEnd w:id="15"/>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6"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6"/>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7" w:name="_Toc67653813"/>
            <w:r>
              <w:t>Using raw CSI-RS channel estimates (K=1) that doesn’t utilize the processing gain of the use of pseudo-orthogonal sequences in different cells exaggerate the problem of false PMI selection</w:t>
            </w:r>
            <w:bookmarkEnd w:id="17"/>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18" w:name="_Toc67653814"/>
            <w:r>
              <w:t>Due to the use of same sequence sample for all CSI-RS ports, the spatial covariance matrix is dominated by the spatial covariance of the CSI-RS transmitted from the interfering cell if raw channel estimation samples are used</w:t>
            </w:r>
            <w:bookmarkEnd w:id="18"/>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19"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9"/>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0"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0"/>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1" w:name="_Toc67653817"/>
            <w:r>
              <w:lastRenderedPageBreak/>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1"/>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2"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2"/>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3"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3"/>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There are UEs already implemented descrambling over neighbor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For Rel-15/Rel-16 UEs already implemented descrambling over neighbor cell interference, they will not be able to support this Rel-17 TEI without low-level CSI-RS channel estimation change. Therefore, gNB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SimSun"/>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lastRenderedPageBreak/>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are open for discussion,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sz w:val="22"/>
                <w:lang w:val="en-US"/>
              </w:rPr>
            </w:pPr>
            <w:r>
              <w:rPr>
                <w:sz w:val="22"/>
                <w:lang w:val="en-US"/>
              </w:rPr>
              <w:t>Huawei, HiSIlicon</w:t>
            </w:r>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bl>
    <w:p w14:paraId="0423D743" w14:textId="77777777" w:rsidR="00DA3A05" w:rsidRPr="00802399" w:rsidRDefault="00DA3A05" w:rsidP="00DA3A05">
      <w:pPr>
        <w:rPr>
          <w:b/>
        </w:rPr>
      </w:pPr>
      <w:bookmarkStart w:id="24" w:name="_GoBack"/>
      <w:bookmarkEnd w:id="24"/>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5" w:name="_Toc71039788"/>
            <w:r>
              <w:t>Measurements and reporting similar to LTE TA Type2 are also needed in NR to provide positioning solutions to meet regulatory requirements and to ensure seamless positioning solutions when migrating from LTE to NR.</w:t>
            </w:r>
            <w:bookmarkEnd w:id="25"/>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6" w:name="_Toc71039789"/>
            <w:r>
              <w:t>The network can report TA-based gNB RxTx time difference measurement without additional RS overhead cost or additional LPP signaling.</w:t>
            </w:r>
            <w:bookmarkEnd w:id="26"/>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lastRenderedPageBreak/>
              <w:t>When looking at the LPPa/NRPPa specifications, in E-UTRA RAT the eNBs/ng-eNBs are able to report E-UTRA Angle of Arrival and Timing Advance Type 1/Type 2 in E-CID to the location server. Timing Advance Type 2, which is eNB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 + (UE Rx – Tx time difference),</w:t>
                        </w:r>
                      </w:p>
                      <w:p w14:paraId="69F2A202" w14:textId="77777777" w:rsidR="00D4281F" w:rsidRDefault="00D4281F" w:rsidP="00D4281F">
                        <w:pPr>
                          <w:pStyle w:val="TAL"/>
                          <w:rPr>
                            <w:lang w:val="en-US"/>
                          </w:rPr>
                        </w:pPr>
                        <w:r>
                          <w:rPr>
                            <w:lang w:val="en-US"/>
                          </w:rPr>
                          <w:t>where the eNB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w:t>
                        </w:r>
                      </w:p>
                      <w:p w14:paraId="45AEAA78" w14:textId="77777777" w:rsidR="00D4281F" w:rsidRDefault="00D4281F" w:rsidP="00D4281F">
                        <w:pPr>
                          <w:pStyle w:val="TAL"/>
                          <w:rPr>
                            <w:lang w:val="en-US"/>
                          </w:rPr>
                        </w:pPr>
                        <w:r>
                          <w:rPr>
                            <w:highlight w:val="cyan"/>
                            <w:lang w:val="en-US"/>
                          </w:rPr>
                          <w:t>where the eNB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7" w:name="_Toc71039790"/>
            <w:r>
              <w:t>TA type 2 does not impact the UE</w:t>
            </w:r>
            <w:bookmarkEnd w:id="27"/>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NRPPa reporting of NR TA as part of NR E-CID. For the NRPPa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28" w:name="_Toc71039792"/>
            <w:r>
              <w:t>Define the timing advance measurement for NR as follow:</w:t>
            </w:r>
            <w:bookmarkEnd w:id="28"/>
          </w:p>
          <w:p w14:paraId="0ED11E98" w14:textId="77777777" w:rsidR="00D4281F" w:rsidRDefault="00D4281F" w:rsidP="00D4281F">
            <w:pPr>
              <w:pStyle w:val="Proposal"/>
              <w:ind w:left="360"/>
            </w:pPr>
            <w:bookmarkStart w:id="29" w:name="_Toc71039793"/>
            <w:r>
              <w:t>Type2:</w:t>
            </w:r>
            <w:bookmarkEnd w:id="29"/>
          </w:p>
          <w:p w14:paraId="078F627F" w14:textId="77777777" w:rsidR="00D4281F" w:rsidRDefault="00D4281F" w:rsidP="00D4281F">
            <w:pPr>
              <w:pStyle w:val="Proposal"/>
              <w:ind w:left="360"/>
            </w:pPr>
            <w:bookmarkStart w:id="30" w:name="_Toc71039794"/>
            <w:r>
              <w:t>Timing advance (T</w:t>
            </w:r>
            <w:r>
              <w:rPr>
                <w:vertAlign w:val="subscript"/>
              </w:rPr>
              <w:t>ADV</w:t>
            </w:r>
            <w:r>
              <w:t>) type 2 is defined as the time difference</w:t>
            </w:r>
            <w:bookmarkEnd w:id="30"/>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1" w:name="_Toc71039795"/>
            <w:r>
              <w:t>T</w:t>
            </w:r>
            <w:r>
              <w:rPr>
                <w:vertAlign w:val="subscript"/>
              </w:rPr>
              <w:t>ADV</w:t>
            </w:r>
            <w:r>
              <w:t xml:space="preserve"> = (gNB Rx – Tx time difference),</w:t>
            </w:r>
            <w:bookmarkEnd w:id="31"/>
          </w:p>
          <w:p w14:paraId="5962B3F1" w14:textId="77777777" w:rsidR="00D4281F" w:rsidRDefault="00D4281F" w:rsidP="00D4281F">
            <w:pPr>
              <w:pStyle w:val="Proposal"/>
              <w:ind w:left="360"/>
              <w:rPr>
                <w:lang w:eastAsia="ja-JP"/>
              </w:rPr>
            </w:pPr>
            <w:bookmarkStart w:id="32" w:name="_Toc71039796"/>
            <w:r>
              <w:t>where the gNB Rx – Tx time difference corresponds to a received uplink radio frame containing PRACH from the respective UE.</w:t>
            </w:r>
            <w:r>
              <w:rPr>
                <w:vertAlign w:val="subscript"/>
              </w:rPr>
              <w:t>.</w:t>
            </w:r>
            <w:bookmarkEnd w:id="32"/>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3" w:name="_Toc71039797"/>
            <w:r>
              <w:t xml:space="preserve">Extend the gnodeB Rx-Tx definition to include the PRACH based </w:t>
            </w:r>
            <w:r>
              <w:lastRenderedPageBreak/>
              <w:t>measurement:</w:t>
            </w:r>
            <w:bookmarkEnd w:id="33"/>
          </w:p>
          <w:p w14:paraId="05D01D57" w14:textId="77777777" w:rsidR="00D4281F" w:rsidRDefault="00D4281F" w:rsidP="00B650B3">
            <w:pPr>
              <w:pStyle w:val="Proposal"/>
              <w:widowControl w:val="0"/>
              <w:numPr>
                <w:ilvl w:val="0"/>
                <w:numId w:val="29"/>
              </w:numPr>
              <w:tabs>
                <w:tab w:val="clear" w:pos="936"/>
              </w:tabs>
              <w:spacing w:line="240" w:lineRule="auto"/>
            </w:pPr>
            <w:bookmarkStart w:id="34" w:name="_Toc71039798"/>
            <w:r>
              <w:t>T</w:t>
            </w:r>
            <w:r>
              <w:rPr>
                <w:vertAlign w:val="subscript"/>
              </w:rPr>
              <w:t>gNB-RX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4"/>
          </w:p>
          <w:p w14:paraId="1C02402A" w14:textId="77777777" w:rsidR="00D4281F" w:rsidRDefault="00D4281F" w:rsidP="00B650B3">
            <w:pPr>
              <w:pStyle w:val="Proposal"/>
              <w:widowControl w:val="0"/>
              <w:numPr>
                <w:ilvl w:val="0"/>
                <w:numId w:val="29"/>
              </w:numPr>
              <w:tabs>
                <w:tab w:val="clear" w:pos="936"/>
              </w:tabs>
              <w:spacing w:line="240" w:lineRule="auto"/>
            </w:pPr>
            <w:bookmarkStart w:id="35" w:name="_Toc71039799"/>
            <w:r>
              <w:t>T</w:t>
            </w:r>
            <w:r>
              <w:rPr>
                <w:vertAlign w:val="subscript"/>
              </w:rPr>
              <w:t>gNB-TX</w:t>
            </w:r>
            <w:r>
              <w:t xml:space="preserve"> is the TRP transmit timing of downlink subframe #</w:t>
            </w:r>
            <w:r>
              <w:rPr>
                <w:i/>
              </w:rPr>
              <w:t>j</w:t>
            </w:r>
            <w:r>
              <w:t xml:space="preserve"> that is closest in time to the subframe #</w:t>
            </w:r>
            <w:r>
              <w:rPr>
                <w:i/>
              </w:rPr>
              <w:t>i</w:t>
            </w:r>
            <w:r>
              <w:t xml:space="preserve"> received from the UE.</w:t>
            </w:r>
            <w:bookmarkEnd w:id="35"/>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6" w:name="_Toc71039800"/>
            <w:r>
              <w:t>Multiple SRS resources for positioning can be used to determine the start of one subframe containing SRS.</w:t>
            </w:r>
            <w:bookmarkEnd w:id="36"/>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7" w:name="_Toc71039801"/>
            <w:r>
              <w:rPr>
                <w:color w:val="FF0000"/>
              </w:rPr>
              <w:t>PRACH is used to determine the start of one subframe containing PRACH.</w:t>
            </w:r>
            <w:bookmarkEnd w:id="37"/>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38" w:name="_Toc71039802"/>
            <w:r>
              <w:rPr>
                <w:lang w:eastAsia="ja-JP"/>
              </w:rPr>
              <w:t>Send an LS to RAN2 and RAN3 with the agreement to add Type 2 TA reporting for NR so that their corresponding specification changes can be updated.</w:t>
            </w:r>
            <w:bookmarkEnd w:id="38"/>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xtend the gnodeB Rx-Tx definition to include the PRACH based measurement</w:t>
      </w:r>
    </w:p>
    <w:p w14:paraId="4EBFBABB" w14:textId="3160B61E" w:rsidR="002A60E6" w:rsidRDefault="002A60E6" w:rsidP="002A60E6">
      <w:pPr>
        <w:pStyle w:val="ListParagraph"/>
        <w:numPr>
          <w:ilvl w:val="0"/>
          <w:numId w:val="13"/>
        </w:numPr>
        <w:ind w:leftChars="0"/>
        <w:rPr>
          <w:b/>
        </w:rPr>
      </w:pPr>
      <w:r>
        <w:rPr>
          <w:b/>
        </w:rPr>
        <w:t>D</w:t>
      </w:r>
      <w:r w:rsidRPr="002A60E6">
        <w:rPr>
          <w:b/>
        </w:rPr>
        <w:t>iscuss whether to include type 1 TA measurement and reporting as well, or leaving  it for further study for RAN1 during rel17 positioning enhancements</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t>Huawei, HiSilicon</w:t>
            </w:r>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eastAsia="zh-CN"/>
              </w:rPr>
              <w:lastRenderedPageBreak/>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SimSun"/>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n+k, so the second DCI format in slot n+2 is not allowed to indicate a PUCCH carrying the HARQ feedback corresponding to the PDSCH and the PUCCH is overlap with the PUSCH in slot n+k. </w:t>
            </w:r>
          </w:p>
          <w:p w14:paraId="6EE85A21" w14:textId="5AF13EFB" w:rsidR="000D6221" w:rsidRDefault="000D6221" w:rsidP="000D6221">
            <w:pPr>
              <w:keepNext/>
              <w:jc w:val="center"/>
            </w:pPr>
            <w:r>
              <w:rPr>
                <w:noProof/>
                <w:lang w:val="en-US" w:eastAsia="zh-CN"/>
              </w:rPr>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Caption"/>
            </w:pPr>
            <w:bookmarkStart w:id="39"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39"/>
            <w:r>
              <w:t>. Timing restriction on UL/DL scheduling for HARQ information multiplexed on PUSCH</w:t>
            </w:r>
          </w:p>
          <w:p w14:paraId="5F6B7D4A" w14:textId="77777777" w:rsidR="000D6221" w:rsidRDefault="000D6221" w:rsidP="000D622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39B25800" w14:textId="77777777" w:rsidR="000D6221" w:rsidRDefault="000D6221" w:rsidP="000D6221">
            <w:r>
              <w:t xml:space="preserve">To achieve higher throughput and/or achieve better coverage, gNB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TDMed in each PUSCH repetition slots and to comply with the scheduling restriction, gNB might have to indicate the HARQ feedback after all PUSCH repetitions. </w:t>
            </w:r>
          </w:p>
          <w:p w14:paraId="09E6C2DB" w14:textId="77777777" w:rsidR="000D6221" w:rsidRDefault="000D6221" w:rsidP="000D6221">
            <w:r>
              <w:lastRenderedPageBreak/>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PUCCH conveying the HARQ feedback corresponding to PDSCH in slot n+1 is not allowed to transmit in the slots of PUSCH repetition, i.e. slot n+2 ~ n+5. So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eastAsia="zh-CN"/>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Caption"/>
            </w:pPr>
            <w:bookmarkStart w:id="40"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40"/>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t xml:space="preserve">In Rel-16, the number of PUSCH repetitions are counted by configured transmissions, the canceled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D6221" w:rsidP="000D6221">
            <w:pPr>
              <w:keepNext/>
            </w:pPr>
            <w:r>
              <w:rPr>
                <w:rFonts w:eastAsia="SimSun"/>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pt;height:54pt" o:ole="">
                  <v:imagedata r:id="rId28" o:title=""/>
                </v:shape>
                <o:OLEObject Type="Embed" ProgID="Visio.Drawing.15" ShapeID="_x0000_i1025" DrawAspect="Content" ObjectID="_1683115114" r:id="rId29"/>
              </w:object>
            </w:r>
            <w:r>
              <w:rPr>
                <w:noProof/>
                <w:lang w:eastAsia="zh-CN"/>
              </w:rPr>
              <w:t xml:space="preserve"> </w:t>
            </w:r>
          </w:p>
          <w:p w14:paraId="61A5678D" w14:textId="77777777" w:rsidR="000D6221" w:rsidRDefault="000D6221" w:rsidP="000D6221">
            <w:pPr>
              <w:pStyle w:val="Caption"/>
            </w:pPr>
            <w:bookmarkStart w:id="41"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1"/>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2" w:name="_Hlk71825488"/>
            <w:r>
              <w:rPr>
                <w:b/>
                <w:i/>
              </w:rPr>
              <w:t>Optimization of timing restriction on scheduling HARQ after UL grant should be supported for the case of PUSCH repetition</w:t>
            </w:r>
            <w:bookmarkEnd w:id="42"/>
            <w:r>
              <w:rPr>
                <w:b/>
                <w:i/>
              </w:rPr>
              <w:t>.</w:t>
            </w:r>
          </w:p>
          <w:p w14:paraId="76F5BB12" w14:textId="77777777" w:rsidR="00DA3A05" w:rsidRPr="000D6221" w:rsidRDefault="00DA3A05" w:rsidP="002A60E6">
            <w:pPr>
              <w:adjustRightInd/>
              <w:rPr>
                <w:rFonts w:eastAsia="SimSun"/>
                <w:color w:val="000000"/>
                <w:lang w:eastAsia="en-US"/>
              </w:rPr>
            </w:pPr>
          </w:p>
          <w:p w14:paraId="61D30310" w14:textId="77777777" w:rsidR="000D6221" w:rsidRDefault="000D6221" w:rsidP="000D6221">
            <w:pPr>
              <w:rPr>
                <w:rFonts w:eastAsia="SimSun"/>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So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eastAsia="zh-CN"/>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Caption"/>
            </w:pPr>
            <w:bookmarkStart w:id="43"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3"/>
            <w:r>
              <w:t>. Apply the timing restriction to the initial PUSCH repetition only</w:t>
            </w:r>
          </w:p>
          <w:p w14:paraId="3A61085D" w14:textId="77777777" w:rsidR="002A60E6" w:rsidRPr="000D6221" w:rsidRDefault="002A60E6" w:rsidP="002A60E6">
            <w:pPr>
              <w:adjustRightInd/>
              <w:rPr>
                <w:rFonts w:eastAsia="SimSun"/>
                <w:color w:val="000000"/>
                <w:lang w:eastAsia="en-US"/>
              </w:rPr>
            </w:pPr>
          </w:p>
          <w:p w14:paraId="79872CE8" w14:textId="77777777" w:rsidR="000D6221" w:rsidRDefault="000D6221" w:rsidP="000D6221">
            <w:pPr>
              <w:rPr>
                <w:rFonts w:eastAsia="SimSun"/>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w:t>
            </w:r>
            <w:r>
              <w:rPr>
                <w:lang w:eastAsia="zh-CN"/>
              </w:rPr>
              <w:lastRenderedPageBreak/>
              <w:t xml:space="preserve">requirement of PDCCH decoding, the probability of DCI missing is relative low and thus the impact might not be a very serious issue. </w:t>
            </w:r>
          </w:p>
          <w:p w14:paraId="1BBF375A" w14:textId="1B831452" w:rsidR="000D6221" w:rsidRDefault="000D6221" w:rsidP="000D6221">
            <w:pPr>
              <w:keepNext/>
              <w:jc w:val="center"/>
            </w:pPr>
            <w:r>
              <w:rPr>
                <w:noProof/>
                <w:lang w:val="en-US" w:eastAsia="zh-CN"/>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Caption"/>
            </w:pPr>
            <w:bookmarkStart w:id="44"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4"/>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 ,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eastAsia="zh-CN"/>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Caption"/>
            </w:pPr>
            <w:bookmarkStart w:id="45"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5"/>
            <w:r>
              <w:t>. Total DAI in UL DCI cover all past and future DL grants</w:t>
            </w:r>
          </w:p>
          <w:p w14:paraId="743EC37D" w14:textId="77777777" w:rsidR="000D6221" w:rsidRDefault="000D6221" w:rsidP="000D6221">
            <w:r>
              <w:t xml:space="preserve">Another method is to update the total DAI by other signaling.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signaling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w:t>
            </w:r>
            <w:r>
              <w:lastRenderedPageBreak/>
              <w:t xml:space="preserve">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eastAsia="zh-CN"/>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Caption"/>
            </w:pPr>
            <w:bookmarkStart w:id="46"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6"/>
            <w:r>
              <w:t>. New UL DCI delivered to update DAI value</w:t>
            </w:r>
          </w:p>
          <w:p w14:paraId="5A252579" w14:textId="77777777" w:rsidR="000D6221" w:rsidRDefault="000D6221" w:rsidP="000D6221">
            <w:pPr>
              <w:rPr>
                <w:rFonts w:eastAsia="SimSun"/>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SimSun"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lastRenderedPageBreak/>
              <w:t>MediaTek</w:t>
            </w:r>
          </w:p>
        </w:tc>
        <w:tc>
          <w:tcPr>
            <w:tcW w:w="7683" w:type="dxa"/>
          </w:tcPr>
          <w:p w14:paraId="536249D7" w14:textId="6C913270" w:rsidR="00393F96" w:rsidRDefault="00426633" w:rsidP="004519EE">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1B3980" w:rsidRPr="00372991"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t>Huawei, HiSilicon</w:t>
            </w:r>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D90E594" w14:textId="77777777" w:rsidR="001B3980" w:rsidRDefault="001B3980" w:rsidP="001B3980">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72991" w:rsidRPr="00372991" w14:paraId="059D172B" w14:textId="77777777" w:rsidTr="002A60E6">
        <w:tc>
          <w:tcPr>
            <w:tcW w:w="1945" w:type="dxa"/>
          </w:tcPr>
          <w:p w14:paraId="5060CD33" w14:textId="04FBEAA0" w:rsidR="00372991" w:rsidRDefault="00372991" w:rsidP="001B3980">
            <w:pPr>
              <w:spacing w:afterLines="50" w:after="120"/>
              <w:jc w:val="both"/>
              <w:rPr>
                <w:sz w:val="22"/>
                <w:lang w:val="en-US"/>
              </w:rPr>
            </w:pPr>
            <w:r>
              <w:rPr>
                <w:sz w:val="22"/>
                <w:lang w:val="en-US"/>
              </w:rPr>
              <w:t>Panasonic</w:t>
            </w:r>
          </w:p>
        </w:tc>
        <w:tc>
          <w:tcPr>
            <w:tcW w:w="7683" w:type="dxa"/>
          </w:tcPr>
          <w:p w14:paraId="2CAD0B73" w14:textId="19A4C0E8" w:rsidR="00372991" w:rsidRPr="00372991" w:rsidRDefault="00372991" w:rsidP="001B3980">
            <w:pPr>
              <w:spacing w:afterLines="50" w:after="120"/>
              <w:jc w:val="both"/>
              <w:rPr>
                <w:sz w:val="22"/>
                <w:lang w:val="en-US"/>
              </w:rPr>
            </w:pPr>
            <w:r w:rsidRPr="00372991">
              <w:rPr>
                <w:sz w:val="22"/>
                <w:lang w:val="en-US"/>
              </w:rPr>
              <w:t>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sfficiency and/or latency will degrade. Although this issue was also raised in Rel.17 coverage enhancement WI, we think to slove this issue is beneficial even in Rel.16 functionality to improve the DL spectral efficiency</w:t>
            </w:r>
            <w:r>
              <w:rPr>
                <w:sz w:val="22"/>
                <w:lang w:val="en-US"/>
              </w:rPr>
              <w:t>.</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r>
              <w:rPr>
                <w:i/>
                <w:iCs/>
              </w:rPr>
              <w:t xml:space="preserve">RadioLinkMonitoringRS. </w:t>
            </w:r>
            <w:r>
              <w:t xml:space="preserve">Each </w:t>
            </w:r>
            <w:r>
              <w:rPr>
                <w:i/>
                <w:iCs/>
              </w:rPr>
              <w:t>RadioLinkMonitoringRS</w:t>
            </w:r>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r>
              <w:rPr>
                <w:i/>
                <w:iCs/>
              </w:rPr>
              <w:t>RadioLinkMonitoringRS</w:t>
            </w:r>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r>
              <w:rPr>
                <w:i/>
                <w:iCs/>
              </w:rPr>
              <w:t xml:space="preserve">RadioLinkMonitoringRS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zh-CN"/>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zh-CN"/>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zh-CN"/>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r>
              <w:rPr>
                <w:i/>
                <w:iCs/>
              </w:rPr>
              <w:t xml:space="preserve">RadioLinkMonitoringConfig,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eastAsia="zh-CN"/>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eastAsia="zh-CN"/>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eastAsia="zh-CN"/>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eastAsia="zh-CN"/>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lastRenderedPageBreak/>
              <w:t xml:space="preserve">A potential solution for the above issue could be that if a UE cannot receive the SSBs configured by  </w:t>
            </w:r>
            <w:r>
              <w:rPr>
                <w:i/>
                <w:iCs/>
              </w:rPr>
              <w:t xml:space="preserve">RadioLinkMonitoringConfig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r>
              <w:rPr>
                <w:i/>
                <w:iCs/>
              </w:rPr>
              <w:t xml:space="preserve">RadioLinkMonitoringConfig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7" w:name="_Hlk71787150"/>
            <w:r>
              <w:rPr>
                <w:b/>
                <w:bCs/>
                <w:i/>
                <w:iCs/>
              </w:rPr>
              <w:t>If a UE cannot detect the SSBs configured in RadioLinkMonitoringConfig for radio link monitoring for a serving cell, but it can detect other SSBs from the same serving cell, the UE should use the detected SSBs with the maximum RSRP as the RLM resource</w:t>
            </w:r>
            <w:bookmarkEnd w:id="47"/>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ListParagraph"/>
        <w:numPr>
          <w:ilvl w:val="0"/>
          <w:numId w:val="13"/>
        </w:numPr>
        <w:ind w:leftChars="0"/>
        <w:rPr>
          <w:b/>
        </w:rPr>
      </w:pPr>
      <w:r w:rsidRPr="002801C1">
        <w:rPr>
          <w:rFonts w:eastAsia="MS Mincho" w:cs="Batang"/>
          <w:b/>
          <w:bCs/>
          <w:sz w:val="22"/>
          <w:szCs w:val="22"/>
        </w:rPr>
        <w:t xml:space="preserve">If a UE cannot detect the SSBs configured in </w:t>
      </w:r>
      <w:r w:rsidRPr="002801C1">
        <w:rPr>
          <w:rFonts w:eastAsia="MS Mincho" w:cs="Batang"/>
          <w:b/>
          <w:bCs/>
          <w:i/>
          <w:iCs/>
          <w:sz w:val="22"/>
          <w:szCs w:val="22"/>
        </w:rPr>
        <w:t xml:space="preserve">RadioLinkMonitoringConfig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E8596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E8596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E85960">
        <w:tc>
          <w:tcPr>
            <w:tcW w:w="1945" w:type="dxa"/>
          </w:tcPr>
          <w:p w14:paraId="4EDAF3C5" w14:textId="0AD2389E" w:rsidR="002801C1" w:rsidRDefault="003740BF" w:rsidP="00C64F5D">
            <w:pPr>
              <w:spacing w:afterLines="50" w:after="120"/>
              <w:jc w:val="both"/>
              <w:rPr>
                <w:sz w:val="22"/>
                <w:lang w:val="en-US"/>
              </w:rPr>
            </w:pPr>
            <w:bookmarkStart w:id="48"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Response to vivo’s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48"/>
      <w:tr w:rsidR="00DF0DD4" w14:paraId="1A837783" w14:textId="77777777" w:rsidTr="00E8596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E85960">
        <w:tc>
          <w:tcPr>
            <w:tcW w:w="1945" w:type="dxa"/>
          </w:tcPr>
          <w:p w14:paraId="7C08E8EE" w14:textId="59369643" w:rsidR="00413D5C" w:rsidRDefault="00413D5C" w:rsidP="00DF0DD4">
            <w:pPr>
              <w:spacing w:afterLines="50" w:after="120"/>
              <w:jc w:val="both"/>
              <w:rPr>
                <w:sz w:val="22"/>
                <w:lang w:val="en-US"/>
              </w:rPr>
            </w:pPr>
            <w:r>
              <w:rPr>
                <w:sz w:val="22"/>
                <w:lang w:val="en-US"/>
              </w:rPr>
              <w:t>CATT</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RadioLinkMonitoringConfig,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lastRenderedPageBreak/>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E85960">
        <w:tc>
          <w:tcPr>
            <w:tcW w:w="1945" w:type="dxa"/>
          </w:tcPr>
          <w:p w14:paraId="49099329" w14:textId="3255C0E0" w:rsidR="00475E25" w:rsidRDefault="00475E25" w:rsidP="00475E25">
            <w:pPr>
              <w:spacing w:afterLines="50" w:after="120"/>
              <w:jc w:val="both"/>
              <w:rPr>
                <w:sz w:val="22"/>
                <w:lang w:val="en-US"/>
              </w:rPr>
            </w:pPr>
            <w:r>
              <w:rPr>
                <w:sz w:val="22"/>
                <w:lang w:val="en-US"/>
              </w:rPr>
              <w:lastRenderedPageBreak/>
              <w:t>Intel</w:t>
            </w:r>
          </w:p>
        </w:tc>
        <w:tc>
          <w:tcPr>
            <w:tcW w:w="7683" w:type="dxa"/>
          </w:tcPr>
          <w:p w14:paraId="1ED51138" w14:textId="77777777" w:rsidR="00475E25" w:rsidRDefault="00475E25" w:rsidP="00475E25">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6F024707" w14:textId="77777777" w:rsidR="00475E25" w:rsidRDefault="00475E25" w:rsidP="00475E25">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E85960">
        <w:tc>
          <w:tcPr>
            <w:tcW w:w="1945" w:type="dxa"/>
          </w:tcPr>
          <w:p w14:paraId="08924E31" w14:textId="031EB359" w:rsidR="00E36DEE" w:rsidRDefault="00E36DEE" w:rsidP="00475E25">
            <w:pPr>
              <w:spacing w:afterLines="50" w:after="120"/>
              <w:jc w:val="both"/>
              <w:rPr>
                <w:sz w:val="22"/>
                <w:lang w:val="en-US"/>
              </w:rPr>
            </w:pPr>
            <w:r>
              <w:rPr>
                <w:sz w:val="22"/>
                <w:lang w:val="en-US"/>
              </w:rPr>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E36DEE">
            <w:pPr>
              <w:pStyle w:val="ListParagraph"/>
              <w:numPr>
                <w:ilvl w:val="0"/>
                <w:numId w:val="38"/>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E36DEE">
            <w:pPr>
              <w:pStyle w:val="ListParagraph"/>
              <w:numPr>
                <w:ilvl w:val="0"/>
                <w:numId w:val="38"/>
              </w:numPr>
              <w:spacing w:afterLines="50" w:after="120"/>
              <w:ind w:leftChars="0"/>
              <w:rPr>
                <w:sz w:val="22"/>
                <w:lang w:val="en-US"/>
              </w:rPr>
            </w:pPr>
            <w:r>
              <w:rPr>
                <w:sz w:val="22"/>
                <w:lang w:val="en-US"/>
              </w:rPr>
              <w:t>Is it in FR1 or FR2 or both?</w:t>
            </w:r>
          </w:p>
          <w:p w14:paraId="6FCE6D1D" w14:textId="64DC76D2" w:rsidR="00E36DEE" w:rsidRPr="00714D97" w:rsidRDefault="00E36DEE" w:rsidP="00E36DEE">
            <w:pPr>
              <w:pStyle w:val="ListParagraph"/>
              <w:numPr>
                <w:ilvl w:val="0"/>
                <w:numId w:val="38"/>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E85960">
        <w:tc>
          <w:tcPr>
            <w:tcW w:w="1945" w:type="dxa"/>
          </w:tcPr>
          <w:p w14:paraId="2BABEE82" w14:textId="211C3322" w:rsidR="001B3980" w:rsidRDefault="001B3980" w:rsidP="001B3980">
            <w:pPr>
              <w:spacing w:afterLines="50" w:after="120"/>
              <w:jc w:val="both"/>
              <w:rPr>
                <w:sz w:val="22"/>
                <w:lang w:val="en-US"/>
              </w:rPr>
            </w:pPr>
            <w:r>
              <w:rPr>
                <w:sz w:val="22"/>
                <w:lang w:val="en-US"/>
              </w:rPr>
              <w:t>Huawei, HiSilicon</w:t>
            </w:r>
          </w:p>
        </w:tc>
        <w:tc>
          <w:tcPr>
            <w:tcW w:w="7683" w:type="dxa"/>
          </w:tcPr>
          <w:p w14:paraId="7DE9C2BF" w14:textId="47422A11" w:rsidR="001B3980" w:rsidRPr="00E36DEE" w:rsidRDefault="001B3980" w:rsidP="001B3980">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designed to address the observed problem. So this proposal seems not needed. </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SimSun"/>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C64F5D">
              <w:rPr>
                <w:rFonts w:hint="eastAsia"/>
                <w:i/>
                <w:iCs/>
                <w:lang w:val="en-US"/>
              </w:rPr>
              <w:t>drx-onDurationTimer</w:t>
            </w:r>
            <w:r w:rsidRPr="00C64F5D">
              <w:rPr>
                <w:rFonts w:hint="eastAsia"/>
                <w:lang w:val="en-US"/>
              </w:rPr>
              <w:t xml:space="preserve"> for a DRX cycle. In the later stage of Rel-16 discussion, an issue was identified with the periodic and semi-persistent CSI reproting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are introduced for separat</w:t>
            </w:r>
            <w:r>
              <w:t>e</w:t>
            </w:r>
            <w:r w:rsidRPr="00C64F5D">
              <w:rPr>
                <w:rFonts w:hint="eastAsia"/>
                <w:lang w:val="en-US"/>
              </w:rPr>
              <w:t>ly enabling CSI reporting for L1-RSRP (i.e., cri-RSRP and ssb-Index-RSRP) and other report quantities, respectively, outside DRX active time.</w:t>
            </w:r>
          </w:p>
          <w:p w14:paraId="2B85029B" w14:textId="77777777" w:rsidR="00181838" w:rsidRDefault="00181838" w:rsidP="00181838">
            <w:pPr>
              <w:rPr>
                <w:lang w:val="en-US"/>
              </w:rPr>
            </w:pPr>
            <w:r>
              <w:lastRenderedPageBreak/>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Caption"/>
            </w:pPr>
            <w:bookmarkStart w:id="49"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r>
              <w:rPr>
                <w:i/>
                <w:iCs/>
              </w:rPr>
              <w:t>drx-onDurationTimer</w:t>
            </w:r>
            <w:r>
              <w:t>.</w:t>
            </w:r>
            <w:bookmarkEnd w:id="49"/>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gNB implementation. For example, if gNB wants to trigger SRS transmission, gNB can indicate UE to wake up </w:t>
            </w:r>
            <w:r w:rsidRPr="00893443">
              <w:rPr>
                <w:rFonts w:eastAsia="MS Mincho" w:cs="Batang"/>
                <w:bCs/>
                <w:sz w:val="22"/>
                <w:szCs w:val="22"/>
              </w:rPr>
              <w:lastRenderedPageBreak/>
              <w:t>by DCI foramt 2_6. And during the OnDuration, UE can transmit SRS by legacy procedure. There is no need to introduce the enhancement in TEI.</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SimSun"/>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7CE1131C" w14:textId="77777777" w:rsidR="004B3046" w:rsidRDefault="004B3046" w:rsidP="004B3046">
            <w:r>
              <w:t>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Caption"/>
            </w:pPr>
            <w:bookmarkStart w:id="50" w:name="_Hlk57121077"/>
            <w:bookmarkStart w:id="51"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0"/>
          <w:bookmarkEnd w:id="51"/>
          <w:p w14:paraId="1542361B" w14:textId="77777777" w:rsidR="004B3046" w:rsidRDefault="004B3046" w:rsidP="004B3046">
            <w:pPr>
              <w:spacing w:after="120"/>
            </w:pPr>
            <w:r>
              <w:t xml:space="preserve">If we have to minimize the impact of joint configuration of DRX group and WUS in RAN1, then the existing UE behaviors need to be reused as much as possible. More specifically, </w:t>
            </w:r>
          </w:p>
          <w:p w14:paraId="282256B1" w14:textId="77777777" w:rsidR="004B3046" w:rsidRDefault="004B3046" w:rsidP="00B650B3">
            <w:pPr>
              <w:pStyle w:val="ListParagraph"/>
              <w:numPr>
                <w:ilvl w:val="0"/>
                <w:numId w:val="21"/>
              </w:numPr>
              <w:spacing w:after="200"/>
              <w:ind w:leftChars="0" w:left="540" w:hanging="270"/>
              <w:contextualSpacing/>
            </w:pPr>
            <w:r>
              <w:t>WUS should be configured only on SpCell, as in legacy;</w:t>
            </w:r>
          </w:p>
          <w:p w14:paraId="48649692" w14:textId="77777777" w:rsidR="004B3046" w:rsidRDefault="004B3046" w:rsidP="00B650B3">
            <w:pPr>
              <w:pStyle w:val="ListParagraph"/>
              <w:numPr>
                <w:ilvl w:val="0"/>
                <w:numId w:val="21"/>
              </w:numPr>
              <w:spacing w:after="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55F149D0" w14:textId="77777777" w:rsidR="004B3046" w:rsidRDefault="004B3046" w:rsidP="00B650B3">
            <w:pPr>
              <w:pStyle w:val="ListParagraph"/>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ListParagraph"/>
              <w:numPr>
                <w:ilvl w:val="0"/>
                <w:numId w:val="21"/>
              </w:numPr>
              <w:spacing w:after="0"/>
              <w:ind w:leftChars="0" w:left="548" w:hanging="274"/>
              <w:contextualSpacing/>
            </w:pPr>
            <w:r>
              <w:t>If a WUS occasion is not monitored (e.g., SpCell is already in DRX active time) or WUS indicates wakeup, UE should start DRX on duration timers of both DRX groups at their respective next occurrence. This behavior can be captured in RAN2 MAC specification. Note that this behavior works even in the corner case where FR1 (SpCell) is outside DRX active time but FR2 is within DRX active time.</w:t>
            </w:r>
          </w:p>
          <w:p w14:paraId="1640CDD4" w14:textId="77777777" w:rsidR="004B3046" w:rsidRDefault="004B3046" w:rsidP="004B3046">
            <w:pPr>
              <w:spacing w:after="120"/>
            </w:pPr>
            <w:r>
              <w:lastRenderedPageBreak/>
              <w:t>As one may see from the above, no new PHY-layer behaviors need to be defined. We only need to add the following clarifications to the RAN1 standards:</w:t>
            </w:r>
          </w:p>
          <w:p w14:paraId="4F24EDD2" w14:textId="77777777" w:rsidR="004B3046" w:rsidRDefault="004B3046" w:rsidP="00B650B3">
            <w:pPr>
              <w:pStyle w:val="ListParagraph"/>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ListParagraph"/>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Caption"/>
            </w:pPr>
            <w:bookmarkStart w:id="52"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2"/>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Joint configuration with SCell dormancy</w:t>
            </w:r>
          </w:p>
          <w:p w14:paraId="3A2235FC" w14:textId="77777777" w:rsidR="004B3046" w:rsidRDefault="004B3046" w:rsidP="004B3046">
            <w:pPr>
              <w:tabs>
                <w:tab w:val="left" w:pos="0"/>
              </w:tabs>
              <w:spacing w:after="120"/>
            </w:pPr>
            <w:r>
              <w:t>In legacy, there are two scenarios in which SCell dormancy indication can be sent:</w:t>
            </w:r>
          </w:p>
          <w:p w14:paraId="4D7DC582" w14:textId="77777777" w:rsidR="004B3046" w:rsidRDefault="004B3046" w:rsidP="00B650B3">
            <w:pPr>
              <w:pStyle w:val="ListParagraph"/>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SCell dormancy group(s) should switch to dormant BWP;</w:t>
            </w:r>
          </w:p>
          <w:p w14:paraId="6D0EF892" w14:textId="77777777" w:rsidR="004B3046" w:rsidRDefault="004B3046" w:rsidP="00B650B3">
            <w:pPr>
              <w:pStyle w:val="ListParagraph"/>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SCell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SCell dormancy indication is sent together with WUS, we do not expect much changes to RAN1/2 standards other than those described above for WUS. </w:t>
            </w:r>
          </w:p>
          <w:p w14:paraId="35DC43F6" w14:textId="77777777" w:rsidR="004B3046" w:rsidRDefault="004B3046" w:rsidP="004B3046">
            <w:pPr>
              <w:pStyle w:val="Caption"/>
              <w:rPr>
                <w:rFonts w:eastAsia="Times New Roman"/>
              </w:rPr>
            </w:pPr>
            <w:bookmarkStart w:id="53" w:name="Observation_3"/>
            <w:r>
              <w:t xml:space="preserve">Observation </w:t>
            </w:r>
            <w:r>
              <w:fldChar w:fldCharType="begin"/>
            </w:r>
            <w:r>
              <w:instrText xml:space="preserve"> SEQ Observation \* ARABIC </w:instrText>
            </w:r>
            <w:r>
              <w:fldChar w:fldCharType="separate"/>
            </w:r>
            <w:r>
              <w:rPr>
                <w:noProof/>
              </w:rPr>
              <w:t>3</w:t>
            </w:r>
            <w:r>
              <w:fldChar w:fldCharType="end"/>
            </w:r>
            <w:r>
              <w:t>: If SCell dormancy is jointly configured with DRX groups, dormancy indication sent outside DRX active time can help save ~18% power.</w:t>
            </w:r>
          </w:p>
          <w:bookmarkEnd w:id="53"/>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41E6B6BA" w14:textId="77777777" w:rsidR="004B3046" w:rsidRDefault="004B3046" w:rsidP="00B650B3">
            <w:pPr>
              <w:pStyle w:val="ListParagraph"/>
              <w:numPr>
                <w:ilvl w:val="0"/>
                <w:numId w:val="24"/>
              </w:numPr>
              <w:tabs>
                <w:tab w:val="left" w:pos="0"/>
              </w:tabs>
              <w:spacing w:after="120"/>
              <w:ind w:leftChars="0" w:left="540" w:hanging="270"/>
              <w:contextualSpacing/>
              <w:rPr>
                <w:rFonts w:eastAsia="SimSun"/>
              </w:rPr>
            </w:pPr>
            <w:r>
              <w:t>If both DRX groups are in DRX active time, SCell dormancy procedure can be performed exactly the same as in legacy (i.e. only a single DRX group is configured);</w:t>
            </w:r>
          </w:p>
          <w:p w14:paraId="4AFCDDA1" w14:textId="77777777" w:rsidR="004B3046" w:rsidRDefault="004B3046" w:rsidP="00B650B3">
            <w:pPr>
              <w:pStyle w:val="ListParagraph"/>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68D883D" w14:textId="77777777" w:rsidR="004B3046" w:rsidRDefault="004B3046" w:rsidP="004B3046">
            <w:pPr>
              <w:pStyle w:val="Caption"/>
            </w:pPr>
            <w:bookmarkStart w:id="54" w:name="Observation_4"/>
            <w:r>
              <w:lastRenderedPageBreak/>
              <w:t xml:space="preserve">Observation </w:t>
            </w:r>
            <w:r>
              <w:fldChar w:fldCharType="begin"/>
            </w:r>
            <w:r>
              <w:instrText xml:space="preserve"> SEQ Observation \* ARABIC </w:instrText>
            </w:r>
            <w:r>
              <w:fldChar w:fldCharType="separate"/>
            </w:r>
            <w:r>
              <w:rPr>
                <w:noProof/>
              </w:rPr>
              <w:t>4</w:t>
            </w:r>
            <w:r>
              <w:fldChar w:fldCharType="end"/>
            </w:r>
            <w:r>
              <w:t>: Joint configuration between SCell dormancy and DRX groups can be supported without any change to RAN1 specs.</w:t>
            </w:r>
          </w:p>
          <w:bookmarkEnd w:id="54"/>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Caption"/>
            </w:pPr>
            <w:bookmarkStart w:id="55" w:name="Proposal_5"/>
            <w:r>
              <w:t xml:space="preserve">Proposal </w:t>
            </w:r>
            <w:r>
              <w:fldChar w:fldCharType="begin"/>
            </w:r>
            <w:r>
              <w:instrText xml:space="preserve"> SEQ Proposal \* ARABIC </w:instrText>
            </w:r>
            <w:r>
              <w:fldChar w:fldCharType="separate"/>
            </w:r>
            <w:r>
              <w:rPr>
                <w:noProof/>
              </w:rPr>
              <w:t>5</w:t>
            </w:r>
            <w:r>
              <w:fldChar w:fldCharType="end"/>
            </w:r>
            <w:r>
              <w:t>: Support joint configuration between DRX groups and WUS, SCell dormancy, or both, without changes to their PHY-layer configurations and procedures.</w:t>
            </w:r>
            <w:bookmarkEnd w:id="55"/>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ListParagraph"/>
        <w:numPr>
          <w:ilvl w:val="0"/>
          <w:numId w:val="13"/>
        </w:numPr>
        <w:ind w:leftChars="0"/>
        <w:rPr>
          <w:b/>
        </w:rPr>
      </w:pPr>
      <w:r w:rsidRPr="004B3046">
        <w:rPr>
          <w:rFonts w:eastAsia="MS Mincho" w:cs="Batang"/>
          <w:b/>
          <w:bCs/>
          <w:sz w:val="22"/>
          <w:szCs w:val="22"/>
        </w:rPr>
        <w:t>Support joint configuration between DRX groups and WUS, SCell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SCell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t>We don’t think this should be discussed in Rel-17 TEI.</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6" w:name="_Hlk71824828"/>
      <w:r w:rsidRPr="00202BBC">
        <w:rPr>
          <w:rFonts w:ascii="Arial" w:eastAsia="MS Mincho" w:hAnsi="Arial"/>
          <w:sz w:val="28"/>
          <w:szCs w:val="32"/>
          <w:lang w:val="en-US"/>
        </w:rPr>
        <w:t>Removal of DM-RS restriction for DL MU-MIMO</w:t>
      </w:r>
      <w:bookmarkEnd w:id="56"/>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TableGrid"/>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57"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r>
                    <w:rPr>
                      <w:i/>
                      <w:lang w:eastAsia="zh-CN"/>
                    </w:rPr>
                    <w:t>phaseTrackingRS</w:t>
                  </w:r>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r>
                    <w:rPr>
                      <w:i/>
                      <w:color w:val="000000"/>
                      <w:lang w:eastAsia="zh-CN"/>
                    </w:rPr>
                    <w:t>phaseTrackingRS</w:t>
                  </w:r>
                  <w:r>
                    <w:rPr>
                      <w:color w:val="000000"/>
                      <w:lang w:eastAsia="zh-CN"/>
                    </w:rPr>
                    <w:t xml:space="preserve"> in </w:t>
                  </w:r>
                  <w:r>
                    <w:rPr>
                      <w:i/>
                      <w:lang w:eastAsia="zh-CN"/>
                    </w:rPr>
                    <w:t xml:space="preserve">dmrs-DownlinkForPDSCH-MappingTypeA </w:t>
                  </w:r>
                  <w:r>
                    <w:rPr>
                      <w:iCs/>
                      <w:lang w:eastAsia="zh-CN"/>
                    </w:rPr>
                    <w:t>or</w:t>
                  </w:r>
                  <w:r>
                    <w:rPr>
                      <w:i/>
                      <w:lang w:eastAsia="zh-CN"/>
                    </w:rPr>
                    <w:t xml:space="preserve"> dmrs-DownlinkForPDSCH-MappingTypeB</w:t>
                  </w:r>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57"/>
                </w:p>
                <w:p w14:paraId="5AD2A892" w14:textId="77777777" w:rsidR="00202BBC" w:rsidRDefault="00202BBC" w:rsidP="00202BBC">
                  <w:pPr>
                    <w:pStyle w:val="B1"/>
                    <w:rPr>
                      <w:lang w:eastAsia="en-GB"/>
                    </w:rPr>
                  </w:pPr>
                  <w:r>
                    <w:rPr>
                      <w:lang w:eastAsia="en-GB"/>
                    </w:rPr>
                    <w:lastRenderedPageBreak/>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202BBC" w:rsidP="00202BBC">
            <w:pPr>
              <w:keepNext/>
              <w:ind w:firstLine="284"/>
              <w:jc w:val="center"/>
              <w:rPr>
                <w:sz w:val="21"/>
              </w:rPr>
            </w:pPr>
            <w:r>
              <w:rPr>
                <w:rFonts w:asciiTheme="minorHAnsi" w:eastAsiaTheme="minorEastAsia" w:hAnsiTheme="minorHAnsi" w:cstheme="minorBidi"/>
                <w:kern w:val="2"/>
                <w:sz w:val="21"/>
                <w:szCs w:val="22"/>
                <w:lang w:val="en-US"/>
              </w:rPr>
              <w:object w:dxaOrig="3645" w:dyaOrig="3045" w14:anchorId="42BC022D">
                <v:shape id="_x0000_i1026" type="#_x0000_t75" style="width:182.45pt;height:153.45pt" o:ole="">
                  <v:imagedata r:id="rId37" o:title=""/>
                </v:shape>
                <o:OLEObject Type="Embed" ProgID="Visio.Drawing.15" ShapeID="_x0000_i1026" DrawAspect="Content" ObjectID="_1683115115" r:id="rId38"/>
              </w:object>
            </w:r>
            <w:r>
              <w:tab/>
            </w:r>
            <w:r>
              <w:tab/>
            </w:r>
            <w:r>
              <w:tab/>
            </w:r>
            <w:r>
              <w:tab/>
            </w:r>
            <w:r>
              <w:rPr>
                <w:rFonts w:asciiTheme="minorHAnsi" w:eastAsiaTheme="minorEastAsia" w:hAnsiTheme="minorHAnsi" w:cstheme="minorBidi"/>
                <w:kern w:val="2"/>
                <w:sz w:val="21"/>
                <w:szCs w:val="22"/>
                <w:lang w:val="en-US"/>
              </w:rPr>
              <w:object w:dxaOrig="4110" w:dyaOrig="3015" w14:anchorId="41AC5EA0">
                <v:shape id="_x0000_i1027" type="#_x0000_t75" style="width:206.55pt;height:151.05pt" o:ole="">
                  <v:imagedata r:id="rId39" o:title=""/>
                </v:shape>
                <o:OLEObject Type="Embed" ProgID="Visio.Drawing.15" ShapeID="_x0000_i1027" DrawAspect="Content" ObjectID="_1683115116" r:id="rId40"/>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Caption"/>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eastAsia="zh-CN"/>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eastAsia="zh-CN"/>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Caption"/>
              <w:jc w:val="center"/>
              <w:rPr>
                <w:sz w:val="22"/>
                <w:lang w:eastAsia="zh-CN"/>
              </w:rPr>
            </w:pPr>
            <w:bookmarkStart w:id="58" w:name="_Ref71571417"/>
            <w:r>
              <w:t xml:space="preserve">Figure </w:t>
            </w:r>
            <w:r>
              <w:fldChar w:fldCharType="begin"/>
            </w:r>
            <w:r>
              <w:instrText xml:space="preserve"> SEQ Figure \* ARABIC </w:instrText>
            </w:r>
            <w:r>
              <w:fldChar w:fldCharType="separate"/>
            </w:r>
            <w:r>
              <w:rPr>
                <w:noProof/>
              </w:rPr>
              <w:t>2</w:t>
            </w:r>
            <w:r>
              <w:fldChar w:fldCharType="end"/>
            </w:r>
            <w:bookmarkEnd w:id="58"/>
            <w:r>
              <w:t xml:space="preserve"> Illustration of used DM-RS configurations for LLS evaluations</w:t>
            </w:r>
          </w:p>
          <w:p w14:paraId="06956ADA" w14:textId="77777777" w:rsidR="00202BBC" w:rsidRDefault="00202BBC" w:rsidP="00202BBC">
            <w:pPr>
              <w:pStyle w:val="Caption"/>
              <w:rPr>
                <w:b w:val="0"/>
                <w:bCs/>
                <w:sz w:val="22"/>
                <w:lang w:eastAsia="zh-CN"/>
              </w:rPr>
            </w:pPr>
            <w:r w:rsidRPr="00202BBC">
              <w:rPr>
                <w:b w:val="0"/>
                <w:bCs/>
                <w:sz w:val="22"/>
                <w:lang w:eastAsia="zh-CN"/>
              </w:rPr>
              <w:lastRenderedPageBreak/>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eastAsia="zh-CN"/>
              </w:rPr>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Caption"/>
              <w:jc w:val="center"/>
              <w:rPr>
                <w:b w:val="0"/>
                <w:highlight w:val="green"/>
                <w:lang w:eastAsia="x-none"/>
              </w:rPr>
            </w:pPr>
            <w:bookmarkStart w:id="59" w:name="_Ref71573639"/>
            <w:r>
              <w:t xml:space="preserve">Figure </w:t>
            </w:r>
            <w:r>
              <w:fldChar w:fldCharType="begin"/>
            </w:r>
            <w:r>
              <w:instrText xml:space="preserve"> SEQ Figure \* ARABIC </w:instrText>
            </w:r>
            <w:r>
              <w:fldChar w:fldCharType="separate"/>
            </w:r>
            <w:r>
              <w:rPr>
                <w:noProof/>
              </w:rPr>
              <w:t>3</w:t>
            </w:r>
            <w:r>
              <w:fldChar w:fldCharType="end"/>
            </w:r>
            <w:bookmarkEnd w:id="59"/>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ListParagraph"/>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ListParagraph"/>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ListParagraph"/>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lastRenderedPageBreak/>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ListParagraph"/>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ListParagraph"/>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ListParagraph"/>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rtestrcition was discussed, there were no evaluation in RAN1 that can quantify the performance loss for the restricted antenna ports. We have checked the performance for the restricted antenna ports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Huawei, HiSilicon</w:t>
            </w:r>
          </w:p>
        </w:tc>
        <w:tc>
          <w:tcPr>
            <w:tcW w:w="7683" w:type="dxa"/>
          </w:tcPr>
          <w:p w14:paraId="466C475A" w14:textId="170AE4EE" w:rsidR="0094700B" w:rsidRPr="00F740AD" w:rsidRDefault="0094700B" w:rsidP="0094700B">
            <w:pPr>
              <w:spacing w:afterLines="50" w:after="120"/>
              <w:jc w:val="both"/>
              <w:rPr>
                <w:sz w:val="22"/>
                <w:lang w:val="en-US"/>
              </w:rPr>
            </w:pPr>
            <w:r>
              <w:t>We understand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eastAsia="zh-CN"/>
              </w:rPr>
              <w:lastRenderedPageBreak/>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eastAsia="zh-CN"/>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Caption"/>
              <w:jc w:val="center"/>
              <w:rPr>
                <w:sz w:val="22"/>
              </w:rPr>
            </w:pPr>
            <w:bookmarkStart w:id="60" w:name="_Ref71578016"/>
            <w:r>
              <w:t xml:space="preserve">Figure </w:t>
            </w:r>
            <w:r>
              <w:fldChar w:fldCharType="begin"/>
            </w:r>
            <w:r>
              <w:instrText xml:space="preserve"> SEQ Figure \* ARABIC </w:instrText>
            </w:r>
            <w:r>
              <w:fldChar w:fldCharType="separate"/>
            </w:r>
            <w:r>
              <w:rPr>
                <w:noProof/>
              </w:rPr>
              <w:t>4</w:t>
            </w:r>
            <w:r>
              <w:fldChar w:fldCharType="end"/>
            </w:r>
            <w:bookmarkEnd w:id="60"/>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eastAsia="zh-CN"/>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Caption"/>
              <w:jc w:val="center"/>
              <w:rPr>
                <w:sz w:val="22"/>
              </w:rPr>
            </w:pPr>
            <w:bookmarkStart w:id="61" w:name="_Ref71586311"/>
            <w:r>
              <w:t xml:space="preserve">Figure </w:t>
            </w:r>
            <w:r>
              <w:fldChar w:fldCharType="begin"/>
            </w:r>
            <w:r>
              <w:instrText xml:space="preserve"> SEQ Figure \* ARABIC </w:instrText>
            </w:r>
            <w:r>
              <w:fldChar w:fldCharType="separate"/>
            </w:r>
            <w:r>
              <w:rPr>
                <w:noProof/>
              </w:rPr>
              <w:t>5</w:t>
            </w:r>
            <w:r>
              <w:fldChar w:fldCharType="end"/>
            </w:r>
            <w:bookmarkEnd w:id="61"/>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{1,-1})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ListParagraph"/>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ListParagraph"/>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ListParagraph"/>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ListParagraph"/>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ListParagraph"/>
        <w:numPr>
          <w:ilvl w:val="1"/>
          <w:numId w:val="13"/>
        </w:numPr>
        <w:ind w:leftChars="0"/>
        <w:rPr>
          <w:b/>
          <w:sz w:val="22"/>
          <w:szCs w:val="18"/>
        </w:rPr>
      </w:pPr>
      <w:r w:rsidRPr="000D6221">
        <w:rPr>
          <w:b/>
          <w:sz w:val="22"/>
          <w:szCs w:val="18"/>
        </w:rPr>
        <w:lastRenderedPageBreak/>
        <w:t>Define new DM-RS position and the same DM-RS sequence in the slot for NR depending on higher layer configuration</w:t>
      </w:r>
    </w:p>
    <w:p w14:paraId="6C77B5BF" w14:textId="530953E6" w:rsidR="00202BBC" w:rsidRPr="000D6221" w:rsidRDefault="00202BBC" w:rsidP="00202BBC">
      <w:pPr>
        <w:pStyle w:val="ListParagraph"/>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sz w:val="22"/>
                <w:lang w:val="en-US"/>
              </w:rPr>
            </w:pPr>
            <w:r>
              <w:rPr>
                <w:sz w:val="22"/>
                <w:lang w:val="en-US"/>
              </w:rPr>
              <w:t>Huawei, HiSilicon</w:t>
            </w:r>
          </w:p>
        </w:tc>
        <w:tc>
          <w:tcPr>
            <w:tcW w:w="7683" w:type="dxa"/>
          </w:tcPr>
          <w:p w14:paraId="772A93DE" w14:textId="70865030"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proposal introduces inter-RAT demodulation without clear justified gains compared to NR MU-MIMO and LTE MU-MIMO, but such inter-RAT demodulation causes much higher complexity of user pairing and inter-UE interference management than single-RAT MU-MIMO. </w:t>
            </w:r>
            <w:commentRangeStart w:id="62"/>
            <w:commentRangeEnd w:id="62"/>
          </w:p>
          <w:p w14:paraId="3777A0D4" w14:textId="77777777" w:rsidR="0094700B" w:rsidRDefault="0094700B" w:rsidP="0094700B">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dditionally, in a FDD band, the ultilization ratio of UL resources is typically much lower than the DL, and it not high enough to require a pairing of UL MU-MIMO. In a TDD band with DSS, MIMO dimension is typically higher than that in FDD band. In this case, the narrower MIMO beam, the less probability for the UE pairing of UL-MIMO and thus the less potential gain.</w:t>
            </w:r>
          </w:p>
          <w:p w14:paraId="71F9F598" w14:textId="0361B305" w:rsidR="00001CA7" w:rsidRPr="00F740AD" w:rsidRDefault="0094700B" w:rsidP="0094700B">
            <w:pPr>
              <w:spacing w:afterLines="50" w:after="120"/>
              <w:jc w:val="both"/>
              <w:rPr>
                <w:sz w:val="22"/>
                <w:lang w:val="en-US"/>
              </w:rPr>
            </w:pPr>
            <w:r>
              <w:rPr>
                <w:rFonts w:eastAsiaTheme="minorEastAsia"/>
                <w:sz w:val="22"/>
                <w:lang w:val="en-US" w:eastAsia="zh-CN"/>
              </w:rPr>
              <w:t>Therefore, we don’t feel the proposal is agreeable before more evidence on the potential gain for such inter-RAT UL MU-MIMO.</w:t>
            </w: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lastRenderedPageBreak/>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zh-CN"/>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Caption"/>
              <w:jc w:val="center"/>
            </w:pPr>
            <w:bookmarkStart w:id="63" w:name="_Ref68459151"/>
            <w:r>
              <w:t xml:space="preserve">Figure </w:t>
            </w:r>
            <w:r>
              <w:fldChar w:fldCharType="begin"/>
            </w:r>
            <w:r>
              <w:instrText xml:space="preserve"> SEQ Figure \* ARABIC </w:instrText>
            </w:r>
            <w:r>
              <w:fldChar w:fldCharType="separate"/>
            </w:r>
            <w:r>
              <w:rPr>
                <w:noProof/>
              </w:rPr>
              <w:t>1</w:t>
            </w:r>
            <w:r>
              <w:fldChar w:fldCharType="end"/>
            </w:r>
            <w:bookmarkEnd w:id="63"/>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Rel-16 groupcast sidelink communication with NACK-only is susceptible to half-duplex issue which could limit the achievable reliability even at very high SNR links</w:t>
            </w:r>
          </w:p>
          <w:p w14:paraId="3F91785E" w14:textId="77777777" w:rsidR="00EF50AD" w:rsidRDefault="00EF50AD" w:rsidP="00C64F5D">
            <w:pPr>
              <w:pStyle w:val="Caption"/>
              <w:rPr>
                <w:lang w:val="en-US"/>
              </w:rPr>
            </w:pPr>
          </w:p>
          <w:p w14:paraId="7AFDA3D9" w14:textId="77777777" w:rsidR="00EF50AD" w:rsidRDefault="00EF50AD" w:rsidP="00EF50AD">
            <w:pPr>
              <w:pStyle w:val="3GPPText"/>
            </w:pPr>
            <w:r>
              <w:t>To mitigate the illustrated half-duplex problem for groupcast NACK only sidelink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lastRenderedPageBreak/>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EF50AD" w:rsidP="00EF50AD">
            <w:pPr>
              <w:pStyle w:val="3GPPText"/>
              <w:jc w:val="center"/>
            </w:pPr>
            <w:r>
              <w:object w:dxaOrig="5475" w:dyaOrig="4500" w14:anchorId="4649097C">
                <v:shape id="_x0000_i1028" type="#_x0000_t75" style="width:274pt;height:225pt" o:ole="">
                  <v:imagedata r:id="rId48" o:title=""/>
                </v:shape>
                <o:OLEObject Type="Embed" ProgID="Visio.Drawing.15" ShapeID="_x0000_i1028" DrawAspect="Content" ObjectID="_1683115117" r:id="rId49"/>
              </w:object>
            </w:r>
          </w:p>
          <w:p w14:paraId="4909985B" w14:textId="77777777" w:rsidR="00EF50AD" w:rsidRDefault="00EF50AD" w:rsidP="00EF50AD">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 xml:space="preserve">Agree on Release 17 TEI work to introduce mitigation of half-duplex issue for sidelink V2X communication in groupcast NACK-only feedback regime by introducing a fixed </w:t>
            </w:r>
            <w:r>
              <w:rPr>
                <w:b/>
                <w:bCs/>
              </w:rPr>
              <w:lastRenderedPageBreak/>
              <w:t>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ListParagraph"/>
        <w:numPr>
          <w:ilvl w:val="0"/>
          <w:numId w:val="13"/>
        </w:numPr>
        <w:ind w:leftChars="0"/>
        <w:rPr>
          <w:b/>
          <w:sz w:val="22"/>
          <w:szCs w:val="22"/>
        </w:rPr>
      </w:pPr>
      <w:r w:rsidRPr="00EF50AD">
        <w:rPr>
          <w:rFonts w:eastAsia="MS Mincho" w:cs="Batang"/>
          <w:b/>
          <w:bCs/>
          <w:sz w:val="22"/>
          <w:szCs w:val="22"/>
        </w:rPr>
        <w:t>I</w:t>
      </w:r>
      <w:r w:rsidRPr="00EF50AD">
        <w:rPr>
          <w:b/>
          <w:bCs/>
          <w:sz w:val="22"/>
          <w:szCs w:val="22"/>
        </w:rPr>
        <w:t>ntroduce mitigation of half-duplex issue for sidelink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ListParagraph"/>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for sidelink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Rel-17 SL Enh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simplecity.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t>Huawei, HiSilicon</w:t>
            </w:r>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t xml:space="preserve">This kind of half-duplex issue is currently being discussed at WI level in R17 sidelink enhancement (AI 8.11.1.2). However, so far, there is no consensus whether this issue needs to be addressed or not. Some companies, including us, point out that </w:t>
            </w:r>
            <w:r w:rsidRPr="00007F06">
              <w:rPr>
                <w:sz w:val="22"/>
                <w:szCs w:val="22"/>
              </w:rPr>
              <w:lastRenderedPageBreak/>
              <w:t>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r>
              <w:t>partialAndNonCoherent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Pr>
                <w:rFonts w:eastAsia="Malgun Gothic"/>
              </w:rPr>
              <w:t>fullyAndPartialAndNonCoherent</w:t>
            </w:r>
            <w:r>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 xml:space="preserve">Furthermore, NR Rel-16 specified UL full power transmission schemes with mode0, mode1 and mode2. UL full power transmission is mainly introduced for non-coherent and </w:t>
            </w:r>
            <w:r>
              <w:lastRenderedPageBreak/>
              <w:t>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Emphasis"/>
                <w:color w:val="000000" w:themeColor="text1"/>
              </w:rPr>
              <w:t xml:space="preserve"> ul-FullPowerTransmission</w:t>
            </w:r>
            <w:r>
              <w:rPr>
                <w:rStyle w:val="apple-converted-space"/>
                <w:color w:val="000000" w:themeColor="text1"/>
              </w:rPr>
              <w:t xml:space="preserve"> </w:t>
            </w:r>
            <w:r>
              <w:rPr>
                <w:color w:val="000000" w:themeColor="text1"/>
              </w:rPr>
              <w:t>is set to '</w:t>
            </w:r>
            <w:r>
              <w:rPr>
                <w:rStyle w:val="Emphasis"/>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Emphasis"/>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Emphasis"/>
                <w:color w:val="000000" w:themeColor="text1"/>
              </w:rPr>
              <w:t>'</w:t>
            </w:r>
            <w:r>
              <w:rPr>
                <w:color w:val="000000" w:themeColor="text1"/>
              </w:rPr>
              <w:t>partialAndNonCoherent', and when the SRS-resourceSet with usage set to "codebook" includes at least one SRS resource with 4 ports and one SRS resource with 2 ports, the codebookSubset associated with the 2-port SRS resource is 'nonCoherent'.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Caption"/>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eastAsia="zh-CN"/>
              </w:rPr>
              <w:lastRenderedPageBreak/>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ListParagraph"/>
              <w:widowControl w:val="0"/>
              <w:numPr>
                <w:ilvl w:val="0"/>
                <w:numId w:val="34"/>
              </w:numPr>
              <w:ind w:leftChars="0"/>
              <w:jc w:val="both"/>
            </w:pPr>
            <w:bookmarkStart w:id="64"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4"/>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ListParagraph"/>
              <w:widowControl w:val="0"/>
              <w:numPr>
                <w:ilvl w:val="0"/>
                <w:numId w:val="34"/>
              </w:numPr>
              <w:ind w:leftChars="0"/>
              <w:jc w:val="both"/>
            </w:pPr>
            <w:r>
              <w:t xml:space="preserve">For 4Tx partial-coherent or non-coherent UE supporting UL full power transmission </w:t>
            </w:r>
            <w:r>
              <w:lastRenderedPageBreak/>
              <w:t>mode1, UL full power mode1 can be supported with 2-port SRS configured.</w:t>
            </w:r>
          </w:p>
          <w:p w14:paraId="7DBC4601" w14:textId="4345EEF3" w:rsidR="00FD444E" w:rsidRPr="00FD444E" w:rsidRDefault="00FD444E" w:rsidP="00B650B3">
            <w:pPr>
              <w:pStyle w:val="ListParagraph"/>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FD444E" w14:paraId="16BD6771" w14:textId="77777777" w:rsidTr="00C64F5D">
        <w:tc>
          <w:tcPr>
            <w:tcW w:w="1945"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64F5D">
        <w:tc>
          <w:tcPr>
            <w:tcW w:w="1945"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DF0DD4" w14:paraId="1A29CFA6" w14:textId="77777777" w:rsidTr="00C64F5D">
        <w:tc>
          <w:tcPr>
            <w:tcW w:w="1945"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413D5C">
        <w:tc>
          <w:tcPr>
            <w:tcW w:w="1945" w:type="dxa"/>
          </w:tcPr>
          <w:p w14:paraId="3B23E89E" w14:textId="77777777" w:rsidR="001026F7" w:rsidRDefault="001026F7" w:rsidP="00413D5C">
            <w:pPr>
              <w:spacing w:afterLines="50" w:after="120"/>
              <w:jc w:val="both"/>
              <w:rPr>
                <w:sz w:val="22"/>
                <w:lang w:val="en-US"/>
              </w:rPr>
            </w:pPr>
            <w:r>
              <w:rPr>
                <w:sz w:val="22"/>
                <w:lang w:val="en-US"/>
              </w:rPr>
              <w:t>vivo</w:t>
            </w:r>
          </w:p>
        </w:tc>
        <w:tc>
          <w:tcPr>
            <w:tcW w:w="7683"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64F5D">
        <w:tc>
          <w:tcPr>
            <w:tcW w:w="1945" w:type="dxa"/>
          </w:tcPr>
          <w:p w14:paraId="510FDA30" w14:textId="0BFDB296" w:rsidR="00DF0DD4" w:rsidRDefault="005F2726" w:rsidP="00DF0DD4">
            <w:pPr>
              <w:spacing w:afterLines="50" w:after="120"/>
              <w:jc w:val="both"/>
              <w:rPr>
                <w:sz w:val="22"/>
                <w:lang w:val="en-US"/>
              </w:rPr>
            </w:pPr>
            <w:r>
              <w:rPr>
                <w:sz w:val="22"/>
                <w:lang w:val="en-US"/>
              </w:rPr>
              <w:t>Huawei, HiSilicon</w:t>
            </w:r>
          </w:p>
        </w:tc>
        <w:tc>
          <w:tcPr>
            <w:tcW w:w="7683"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714D97">
      <w:pPr>
        <w:pStyle w:val="ListParagraph"/>
        <w:keepNext/>
        <w:keepLines/>
        <w:numPr>
          <w:ilvl w:val="0"/>
          <w:numId w:val="38"/>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lastRenderedPageBreak/>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lastRenderedPageBreak/>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5" w:name="_Hlk67580046"/>
      <w:r>
        <w:rPr>
          <w:b/>
          <w:bCs/>
        </w:rPr>
        <w:t xml:space="preserve">RAN2 impact of RAN1/4-led TEI CRs shall be limited to RRC signalling of configuration parameters and </w:t>
      </w:r>
      <w:r>
        <w:rPr>
          <w:b/>
          <w:bCs/>
        </w:rPr>
        <w:tab/>
        <w:t>UE capabilities (no MAC impact, no RRC procedural impact, etc.)</w:t>
      </w:r>
      <w:bookmarkEnd w:id="65"/>
    </w:p>
    <w:p w14:paraId="799D7F73" w14:textId="77777777" w:rsidR="001F0C78" w:rsidRDefault="001F0C78" w:rsidP="001F0C78">
      <w:bookmarkStart w:id="66" w:name="_Hlk67580600"/>
      <w:r>
        <w:t>Note: Ideally one RAN WG would take the decision about whether a TEI feature should be introduced or not and other RAN WGs then accept this decision and contribute their TEI CRs.</w:t>
      </w:r>
      <w:bookmarkEnd w:id="66"/>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w:t>
      </w:r>
      <w:r>
        <w:lastRenderedPageBreak/>
        <w:t xml:space="preserve">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 xml:space="preserve">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w:t>
      </w:r>
      <w:r>
        <w:lastRenderedPageBreak/>
        <w:t>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lastRenderedPageBreak/>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2"/>
      <w:pgSz w:w="11906" w:h="16838" w:code="9"/>
      <w:pgMar w:top="851" w:right="1134" w:bottom="567" w:left="1134" w:header="720" w:footer="720"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D988DD7" w16cid:durableId="2452B7F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A88C81" w14:textId="77777777" w:rsidR="006803E0" w:rsidRDefault="006803E0">
      <w:r>
        <w:separator/>
      </w:r>
    </w:p>
  </w:endnote>
  <w:endnote w:type="continuationSeparator" w:id="0">
    <w:p w14:paraId="6207005F" w14:textId="77777777" w:rsidR="006803E0" w:rsidRDefault="006803E0">
      <w:r>
        <w:continuationSeparator/>
      </w:r>
    </w:p>
  </w:endnote>
  <w:endnote w:type="continuationNotice" w:id="1">
    <w:p w14:paraId="1D5AE7BF" w14:textId="77777777" w:rsidR="006803E0" w:rsidRDefault="006803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ZapfDingba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088EF" w14:textId="0D8063C0" w:rsidR="00413D5C" w:rsidRPr="00000924" w:rsidRDefault="00413D5C">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sidR="00784565">
      <w:rPr>
        <w:rStyle w:val="PageNumber"/>
        <w:rFonts w:eastAsia="MS Gothic"/>
        <w:noProof/>
      </w:rPr>
      <w:t>16</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sidR="00784565">
      <w:rPr>
        <w:rStyle w:val="PageNumber"/>
        <w:rFonts w:eastAsia="MS Gothic"/>
        <w:noProof/>
      </w:rPr>
      <w:t>46</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A81D6" w14:textId="77777777" w:rsidR="006803E0" w:rsidRDefault="006803E0">
      <w:r>
        <w:separator/>
      </w:r>
    </w:p>
  </w:footnote>
  <w:footnote w:type="continuationSeparator" w:id="0">
    <w:p w14:paraId="2EB3EBEB" w14:textId="77777777" w:rsidR="006803E0" w:rsidRDefault="006803E0">
      <w:r>
        <w:continuationSeparator/>
      </w:r>
    </w:p>
  </w:footnote>
  <w:footnote w:type="continuationNotice" w:id="1">
    <w:p w14:paraId="71EDA3A2" w14:textId="77777777" w:rsidR="006803E0" w:rsidRDefault="006803E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2"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6"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8"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3"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2"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26"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27"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32" w15:restartNumberingAfterBreak="0">
    <w:nsid w:val="76502E34"/>
    <w:multiLevelType w:val="hybridMultilevel"/>
    <w:tmpl w:val="2370D8E2"/>
    <w:lvl w:ilvl="0" w:tplc="3E1ABB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D53980"/>
    <w:multiLevelType w:val="multilevel"/>
    <w:tmpl w:val="99F4D080"/>
    <w:numStyleLink w:val="1"/>
  </w:abstractNum>
  <w:num w:numId="1">
    <w:abstractNumId w:val="26"/>
  </w:num>
  <w:num w:numId="2">
    <w:abstractNumId w:val="7"/>
  </w:num>
  <w:num w:numId="3">
    <w:abstractNumId w:val="35"/>
  </w:num>
  <w:num w:numId="4">
    <w:abstractNumId w:val="2"/>
  </w:num>
  <w:num w:numId="5">
    <w:abstractNumId w:val="4"/>
  </w:num>
  <w:num w:numId="6">
    <w:abstractNumId w:val="10"/>
  </w:num>
  <w:num w:numId="7">
    <w:abstractNumId w:val="25"/>
  </w:num>
  <w:num w:numId="8">
    <w:abstractNumId w:val="18"/>
  </w:num>
  <w:num w:numId="9">
    <w:abstractNumId w:val="17"/>
  </w:num>
  <w:num w:numId="10">
    <w:abstractNumId w:val="5"/>
  </w:num>
  <w:num w:numId="11">
    <w:abstractNumId w:val="1"/>
  </w:num>
  <w:num w:numId="12">
    <w:abstractNumId w:val="36"/>
  </w:num>
  <w:num w:numId="13">
    <w:abstractNumId w:val="33"/>
  </w:num>
  <w:num w:numId="14">
    <w:abstractNumId w:val="2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7"/>
  </w:num>
  <w:num w:numId="20">
    <w:abstractNumId w:val="34"/>
  </w:num>
  <w:num w:numId="21">
    <w:abstractNumId w:val="13"/>
  </w:num>
  <w:num w:numId="22">
    <w:abstractNumId w:val="28"/>
  </w:num>
  <w:num w:numId="23">
    <w:abstractNumId w:val="24"/>
  </w:num>
  <w:num w:numId="24">
    <w:abstractNumId w:val="14"/>
  </w:num>
  <w:num w:numId="25">
    <w:abstractNumId w:val="12"/>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num>
  <w:num w:numId="28">
    <w:abstractNumId w:val="29"/>
  </w:num>
  <w:num w:numId="29">
    <w:abstractNumId w:val="31"/>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22"/>
  </w:num>
  <w:num w:numId="33">
    <w:abstractNumId w:val="0"/>
  </w:num>
  <w:num w:numId="34">
    <w:abstractNumId w:val="19"/>
  </w:num>
  <w:num w:numId="35">
    <w:abstractNumId w:val="9"/>
  </w:num>
  <w:num w:numId="36">
    <w:abstractNumId w:val="3"/>
  </w:num>
  <w:num w:numId="37">
    <w:abstractNumId w:val="8"/>
  </w:num>
  <w:num w:numId="38">
    <w:abstractNumId w:val="15"/>
  </w:num>
  <w:num w:numId="39">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991"/>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3E0"/>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FC7"/>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565"/>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06D"/>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EE9B4A9E-04FD-4A74-BF82-5E3B4FA4F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uiPriority w:val="99"/>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3193632">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2725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185">
          <w:marLeft w:val="0"/>
          <w:marRight w:val="0"/>
          <w:marTop w:val="0"/>
          <w:marBottom w:val="0"/>
          <w:divBdr>
            <w:top w:val="none" w:sz="0" w:space="0" w:color="auto"/>
            <w:left w:val="none" w:sz="0" w:space="0" w:color="auto"/>
            <w:bottom w:val="none" w:sz="0" w:space="0" w:color="auto"/>
            <w:right w:val="none" w:sz="0" w:space="0" w:color="auto"/>
          </w:divBdr>
        </w:div>
      </w:divsChild>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4.png"/><Relationship Id="rId55" Type="http://schemas.microsoft.com/office/2016/09/relationships/commentsIds" Target="commentsIds.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package" Target="embeddings/Microsoft_Visio_Drawing1.vsdx"/><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package" Target="embeddings/Microsoft_Visio_Drawing3.vsdx"/><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emf"/><Relationship Id="rId48" Type="http://schemas.openxmlformats.org/officeDocument/2006/relationships/image" Target="media/image33.emf"/><Relationship Id="rId8" Type="http://schemas.openxmlformats.org/officeDocument/2006/relationships/styles" Target="styl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package" Target="embeddings/Microsoft_Visio_Drawing2.vsdx"/><Relationship Id="rId46" Type="http://schemas.openxmlformats.org/officeDocument/2006/relationships/image" Target="media/image31.png"/><Relationship Id="rId20" Type="http://schemas.openxmlformats.org/officeDocument/2006/relationships/image" Target="media/image8.png"/><Relationship Id="rId41" Type="http://schemas.openxmlformats.org/officeDocument/2006/relationships/image" Target="media/image26.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wmf"/><Relationship Id="rId49" Type="http://schemas.openxmlformats.org/officeDocument/2006/relationships/package" Target="embeddings/Microsoft_Visio_Drawing4.vsdx"/></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3.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4.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5.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44197184-B0BF-48CF-84AE-1E8D1880E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17606</Words>
  <Characters>100358</Characters>
  <Application>Microsoft Office Word</Application>
  <DocSecurity>0</DocSecurity>
  <Lines>836</Lines>
  <Paragraphs>235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117729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Matthew Webb</cp:lastModifiedBy>
  <cp:revision>3</cp:revision>
  <cp:lastPrinted>2017-08-09T04:40:00Z</cp:lastPrinted>
  <dcterms:created xsi:type="dcterms:W3CDTF">2021-05-21T14:11:00Z</dcterms:created>
  <dcterms:modified xsi:type="dcterms:W3CDTF">2021-05-21T14:12:00Z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1585321116</vt:lpwstr>
  </property>
</Properties>
</file>