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numPr>
                <w:ilvl w:val="0"/>
                <w:numId w:val="0"/>
              </w:numPr>
              <w:ind w:left="360"/>
            </w:pPr>
            <w:bookmarkStart w:id="31" w:name="_Toc71039793"/>
            <w:r>
              <w:t>Type2:</w:t>
            </w:r>
            <w:bookmarkEnd w:id="31"/>
          </w:p>
          <w:p w14:paraId="078F627F" w14:textId="77777777" w:rsidR="00D4281F" w:rsidRDefault="00D4281F" w:rsidP="00D4281F">
            <w:pPr>
              <w:pStyle w:val="Proposal"/>
              <w:numPr>
                <w:ilvl w:val="0"/>
                <w:numId w:val="0"/>
              </w:numPr>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numPr>
                <w:ilvl w:val="0"/>
                <w:numId w:val="0"/>
              </w:numPr>
              <w:ind w:left="360"/>
              <w:rPr>
                <w:lang w:eastAsia="ja-JP"/>
              </w:rPr>
            </w:pPr>
            <w:bookmarkStart w:id="34" w:name="_Toc71039796"/>
            <w:r>
              <w:t xml:space="preserve">where the gNB Rx – Tx time difference corresponds to a received uplink radio frame containing PRACH from the respective </w:t>
            </w:r>
            <w:proofErr w:type="gramStart"/>
            <w:r>
              <w:t>UE.</w:t>
            </w:r>
            <w:r>
              <w:rPr>
                <w:vertAlign w:val="subscript"/>
              </w:rPr>
              <w:t>.</w:t>
            </w:r>
            <w:bookmarkEnd w:id="34"/>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w:t>
            </w:r>
            <w:proofErr w:type="spellStart"/>
            <w:r>
              <w:t>gnodeB</w:t>
            </w:r>
            <w:proofErr w:type="spellEnd"/>
            <w:r>
              <w:t xml:space="preserve">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proofErr w:type="spellStart"/>
            <w:r>
              <w:rPr>
                <w:i/>
              </w:rPr>
              <w:t>i</w:t>
            </w:r>
            <w:proofErr w:type="spellEnd"/>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proofErr w:type="spellStart"/>
            <w:r>
              <w:rPr>
                <w:i/>
              </w:rPr>
              <w:t>i</w:t>
            </w:r>
            <w:proofErr w:type="spellEnd"/>
            <w:r>
              <w:t xml:space="preserve"> received from the UE.</w:t>
            </w:r>
            <w:bookmarkEnd w:id="37"/>
          </w:p>
          <w:p w14:paraId="1D644F85" w14:textId="77777777" w:rsidR="00D4281F" w:rsidRDefault="00D4281F" w:rsidP="00D4281F">
            <w:pPr>
              <w:pStyle w:val="Proposal"/>
              <w:numPr>
                <w:ilvl w:val="0"/>
                <w:numId w:val="0"/>
              </w:numPr>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 xml:space="preserve">Send </w:t>
            </w:r>
            <w:proofErr w:type="gramStart"/>
            <w:r>
              <w:rPr>
                <w:lang w:eastAsia="ja-JP"/>
              </w:rPr>
              <w:t>an</w:t>
            </w:r>
            <w:proofErr w:type="gramEnd"/>
            <w:r>
              <w:rPr>
                <w:lang w:eastAsia="ja-JP"/>
              </w:rPr>
              <w:t xml:space="preserve">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 xml:space="preserve">Send </w:t>
      </w:r>
      <w:proofErr w:type="gramStart"/>
      <w:r w:rsidRPr="002A60E6">
        <w:rPr>
          <w:b/>
        </w:rPr>
        <w:t>an</w:t>
      </w:r>
      <w:proofErr w:type="gramEnd"/>
      <w:r w:rsidRPr="002A60E6">
        <w:rPr>
          <w:b/>
        </w:rPr>
        <w:t xml:space="preserve">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77777777" w:rsidR="00DA3A05" w:rsidRDefault="00DA3A05" w:rsidP="002A60E6">
            <w:pPr>
              <w:spacing w:afterLines="50" w:after="120"/>
              <w:jc w:val="both"/>
              <w:rPr>
                <w:sz w:val="22"/>
                <w:lang w:val="en-US"/>
              </w:rPr>
            </w:pPr>
          </w:p>
        </w:tc>
        <w:tc>
          <w:tcPr>
            <w:tcW w:w="7683" w:type="dxa"/>
          </w:tcPr>
          <w:p w14:paraId="5442C2E6" w14:textId="77777777" w:rsidR="00DA3A05" w:rsidRPr="00F740AD" w:rsidRDefault="00DA3A05" w:rsidP="002A60E6">
            <w:pPr>
              <w:spacing w:afterLines="50" w:after="120"/>
              <w:jc w:val="both"/>
              <w:rPr>
                <w:sz w:val="22"/>
                <w:lang w:val="en-US"/>
              </w:rPr>
            </w:pP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4pt" o:ole="">
                  <v:imagedata r:id="rId27" o:title=""/>
                </v:shape>
                <o:OLEObject Type="Embed" ProgID="Visio.Drawing.15" ShapeID="_x0000_i1025" DrawAspect="Content" ObjectID="_1683060170" r:id="rId28"/>
              </w:object>
            </w:r>
            <w:r>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w:t>
            </w:r>
            <w:proofErr w:type="gramStart"/>
            <w:r>
              <w:rPr>
                <w:lang w:eastAsia="zh-CN"/>
              </w:rPr>
              <w:t>relative</w:t>
            </w:r>
            <w:proofErr w:type="gramEnd"/>
            <w:r>
              <w:rPr>
                <w:lang w:eastAsia="zh-CN"/>
              </w:rPr>
              <w:t xml:space="preser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rFonts w:hint="eastAsia"/>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 xml:space="preserve">e don’t see the need to change the existing </w:t>
            </w:r>
            <w:r w:rsidR="00E85960">
              <w:rPr>
                <w:sz w:val="22"/>
                <w:lang w:val="en-US"/>
              </w:rPr>
              <w:t>RLM procedure.</w:t>
            </w:r>
            <w:bookmarkStart w:id="51" w:name="_GoBack"/>
            <w:bookmarkEnd w:id="51"/>
          </w:p>
        </w:tc>
      </w:tr>
    </w:tbl>
    <w:p w14:paraId="408C91CA" w14:textId="51CDB582"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w:t>
            </w:r>
            <w:proofErr w:type="gramStart"/>
            <w:r w:rsidRPr="00C64F5D">
              <w:rPr>
                <w:rFonts w:hint="eastAsia"/>
                <w:lang w:val="en-US"/>
              </w:rPr>
              <w:t>are</w:t>
            </w:r>
            <w:proofErr w:type="gramEnd"/>
            <w:r w:rsidRPr="00C64F5D">
              <w:rPr>
                <w:rFonts w:hint="eastAsia"/>
                <w:lang w:val="en-US"/>
              </w:rPr>
              <w:t xml:space="preserv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52"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52"/>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77777777" w:rsidR="00DF0DD4" w:rsidRDefault="00DF0DD4" w:rsidP="00DF0DD4">
            <w:pPr>
              <w:spacing w:afterLines="50" w:after="120"/>
              <w:jc w:val="both"/>
              <w:rPr>
                <w:sz w:val="22"/>
                <w:lang w:val="en-US"/>
              </w:rPr>
            </w:pPr>
          </w:p>
        </w:tc>
        <w:tc>
          <w:tcPr>
            <w:tcW w:w="7683" w:type="dxa"/>
          </w:tcPr>
          <w:p w14:paraId="13C62102" w14:textId="77777777" w:rsidR="00DF0DD4" w:rsidRPr="00F740AD" w:rsidRDefault="00DF0DD4" w:rsidP="00DF0DD4">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3" w:name="_Hlk57121077"/>
            <w:bookmarkStart w:id="54"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3"/>
          <w:bookmarkEnd w:id="54"/>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5"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5"/>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6"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6"/>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宋体"/>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Caption"/>
            </w:pPr>
            <w:bookmarkStart w:id="57"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7"/>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8"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8"/>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7777777" w:rsidR="004B3046" w:rsidRDefault="004B3046" w:rsidP="00C64F5D">
            <w:pPr>
              <w:spacing w:afterLines="50" w:after="120"/>
              <w:jc w:val="both"/>
              <w:rPr>
                <w:sz w:val="22"/>
                <w:lang w:val="en-US"/>
              </w:rPr>
            </w:pPr>
          </w:p>
        </w:tc>
        <w:tc>
          <w:tcPr>
            <w:tcW w:w="7683" w:type="dxa"/>
          </w:tcPr>
          <w:p w14:paraId="727C104E" w14:textId="77777777" w:rsidR="004B3046" w:rsidRPr="00F740AD" w:rsidRDefault="004B3046" w:rsidP="00C64F5D">
            <w:pPr>
              <w:spacing w:afterLines="50" w:after="120"/>
              <w:jc w:val="both"/>
              <w:rPr>
                <w:sz w:val="22"/>
                <w:lang w:val="en-US"/>
              </w:rPr>
            </w:pP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9" w:name="_Hlk71824828"/>
      <w:r w:rsidRPr="00202BBC">
        <w:rPr>
          <w:rFonts w:ascii="Arial" w:eastAsia="MS Mincho" w:hAnsi="Arial"/>
          <w:sz w:val="28"/>
          <w:szCs w:val="32"/>
          <w:lang w:val="en-US"/>
        </w:rPr>
        <w:t>Removal of DM-RS restriction for DL MU-MIMO</w:t>
      </w:r>
      <w:bookmarkEnd w:id="59"/>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0"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0"/>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05pt;height:153pt" o:ole="">
                  <v:imagedata r:id="rId36" o:title=""/>
                </v:shape>
                <o:OLEObject Type="Embed" ProgID="Visio.Drawing.15" ShapeID="_x0000_i1026" DrawAspect="Content" ObjectID="_1683060171" r:id="rId37"/>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5.95pt;height:151.05pt" o:ole="">
                  <v:imagedata r:id="rId38" o:title=""/>
                </v:shape>
                <o:OLEObject Type="Embed" ProgID="Visio.Drawing.15" ShapeID="_x0000_i1027" DrawAspect="Content" ObjectID="_1683060172"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1" w:name="_Ref71571417"/>
            <w:r>
              <w:t xml:space="preserve">Figure </w:t>
            </w:r>
            <w:r>
              <w:fldChar w:fldCharType="begin"/>
            </w:r>
            <w:r>
              <w:instrText xml:space="preserve"> SEQ Figure \* ARABIC </w:instrText>
            </w:r>
            <w:r>
              <w:fldChar w:fldCharType="separate"/>
            </w:r>
            <w:r>
              <w:rPr>
                <w:noProof/>
              </w:rPr>
              <w:t>2</w:t>
            </w:r>
            <w:r>
              <w:fldChar w:fldCharType="end"/>
            </w:r>
            <w:bookmarkEnd w:id="61"/>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2" w:name="_Ref71573639"/>
            <w:r>
              <w:t xml:space="preserve">Figure </w:t>
            </w:r>
            <w:r>
              <w:fldChar w:fldCharType="begin"/>
            </w:r>
            <w:r>
              <w:instrText xml:space="preserve"> SEQ Figure \* ARABIC </w:instrText>
            </w:r>
            <w:r>
              <w:fldChar w:fldCharType="separate"/>
            </w:r>
            <w:r>
              <w:rPr>
                <w:noProof/>
              </w:rPr>
              <w:t>3</w:t>
            </w:r>
            <w:r>
              <w:fldChar w:fldCharType="end"/>
            </w:r>
            <w:bookmarkEnd w:id="62"/>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 xml:space="preserve">Based on the above results, the existing DM-RS restriction in NR specification which doesn’t not allow DM-RS ports 1004-1007 or 1006-1011 usage with PT-RS ports is not well justified and should be considered for removal, </w:t>
            </w:r>
            <w:proofErr w:type="gramStart"/>
            <w:r>
              <w:rPr>
                <w:sz w:val="22"/>
                <w:lang w:eastAsia="zh-CN"/>
              </w:rPr>
              <w:t>since  it</w:t>
            </w:r>
            <w:proofErr w:type="gramEnd"/>
            <w:r>
              <w:rPr>
                <w:sz w:val="22"/>
                <w:lang w:eastAsia="zh-CN"/>
              </w:rPr>
              <w:t xml:space="preserve">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202BBC" w14:paraId="2DE6EB8A" w14:textId="77777777" w:rsidTr="00C64F5D">
        <w:tc>
          <w:tcPr>
            <w:tcW w:w="1945" w:type="dxa"/>
          </w:tcPr>
          <w:p w14:paraId="697128B9" w14:textId="77777777" w:rsidR="00202BBC" w:rsidRDefault="00202BBC" w:rsidP="00C64F5D">
            <w:pPr>
              <w:spacing w:afterLines="50" w:after="120"/>
              <w:jc w:val="both"/>
              <w:rPr>
                <w:sz w:val="22"/>
                <w:lang w:val="en-US"/>
              </w:rPr>
            </w:pPr>
          </w:p>
        </w:tc>
        <w:tc>
          <w:tcPr>
            <w:tcW w:w="7683" w:type="dxa"/>
          </w:tcPr>
          <w:p w14:paraId="35342E74" w14:textId="77777777" w:rsidR="00202BBC" w:rsidRPr="00F740AD" w:rsidRDefault="00202BBC" w:rsidP="00C64F5D">
            <w:pPr>
              <w:spacing w:afterLines="50" w:after="120"/>
              <w:jc w:val="both"/>
              <w:rPr>
                <w:sz w:val="22"/>
                <w:lang w:val="en-US"/>
              </w:rPr>
            </w:pPr>
          </w:p>
        </w:tc>
      </w:tr>
      <w:tr w:rsidR="00202BBC" w14:paraId="42FA1C11" w14:textId="77777777" w:rsidTr="00C64F5D">
        <w:tc>
          <w:tcPr>
            <w:tcW w:w="1945" w:type="dxa"/>
          </w:tcPr>
          <w:p w14:paraId="0EE6C6FB" w14:textId="77777777" w:rsidR="00202BBC" w:rsidRDefault="00202BBC" w:rsidP="00C64F5D">
            <w:pPr>
              <w:spacing w:afterLines="50" w:after="120"/>
              <w:jc w:val="both"/>
              <w:rPr>
                <w:sz w:val="22"/>
                <w:lang w:val="en-US"/>
              </w:rPr>
            </w:pPr>
          </w:p>
        </w:tc>
        <w:tc>
          <w:tcPr>
            <w:tcW w:w="7683" w:type="dxa"/>
          </w:tcPr>
          <w:p w14:paraId="466C475A" w14:textId="77777777" w:rsidR="00202BBC" w:rsidRPr="00F740AD" w:rsidRDefault="00202BBC" w:rsidP="00C64F5D">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3" w:name="_Ref71578016"/>
            <w:r>
              <w:t xml:space="preserve">Figure </w:t>
            </w:r>
            <w:r>
              <w:fldChar w:fldCharType="begin"/>
            </w:r>
            <w:r>
              <w:instrText xml:space="preserve"> SEQ Figure \* ARABIC </w:instrText>
            </w:r>
            <w:r>
              <w:fldChar w:fldCharType="separate"/>
            </w:r>
            <w:r>
              <w:rPr>
                <w:noProof/>
              </w:rPr>
              <w:t>4</w:t>
            </w:r>
            <w:r>
              <w:fldChar w:fldCharType="end"/>
            </w:r>
            <w:bookmarkEnd w:id="63"/>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4" w:name="_Ref71586311"/>
            <w:r>
              <w:t xml:space="preserve">Figure </w:t>
            </w:r>
            <w:r>
              <w:fldChar w:fldCharType="begin"/>
            </w:r>
            <w:r>
              <w:instrText xml:space="preserve"> SEQ Figure \* ARABIC </w:instrText>
            </w:r>
            <w:r>
              <w:fldChar w:fldCharType="separate"/>
            </w:r>
            <w:r>
              <w:rPr>
                <w:noProof/>
              </w:rPr>
              <w:t>5</w:t>
            </w:r>
            <w:r>
              <w:fldChar w:fldCharType="end"/>
            </w:r>
            <w:bookmarkEnd w:id="64"/>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202BBC" w14:paraId="354A63F4" w14:textId="77777777" w:rsidTr="00C64F5D">
        <w:tc>
          <w:tcPr>
            <w:tcW w:w="1945" w:type="dxa"/>
          </w:tcPr>
          <w:p w14:paraId="209CE6C1" w14:textId="77777777" w:rsidR="00202BBC" w:rsidRDefault="00202BBC" w:rsidP="00C64F5D">
            <w:pPr>
              <w:spacing w:afterLines="50" w:after="120"/>
              <w:jc w:val="both"/>
              <w:rPr>
                <w:sz w:val="22"/>
                <w:lang w:val="en-US"/>
              </w:rPr>
            </w:pPr>
          </w:p>
        </w:tc>
        <w:tc>
          <w:tcPr>
            <w:tcW w:w="7683" w:type="dxa"/>
          </w:tcPr>
          <w:p w14:paraId="3E4D4484" w14:textId="77777777" w:rsidR="00202BBC" w:rsidRPr="00F740AD" w:rsidRDefault="00202BBC" w:rsidP="00C64F5D">
            <w:pPr>
              <w:spacing w:afterLines="50" w:after="120"/>
              <w:jc w:val="both"/>
              <w:rPr>
                <w:sz w:val="22"/>
                <w:lang w:val="en-US"/>
              </w:rPr>
            </w:pPr>
          </w:p>
        </w:tc>
      </w:tr>
      <w:tr w:rsidR="00202BBC" w14:paraId="1D4FB6E5" w14:textId="77777777" w:rsidTr="00C64F5D">
        <w:tc>
          <w:tcPr>
            <w:tcW w:w="1945" w:type="dxa"/>
          </w:tcPr>
          <w:p w14:paraId="01E965FB" w14:textId="77777777" w:rsidR="00202BBC" w:rsidRDefault="00202BBC" w:rsidP="00C64F5D">
            <w:pPr>
              <w:spacing w:afterLines="50" w:after="120"/>
              <w:jc w:val="both"/>
              <w:rPr>
                <w:sz w:val="22"/>
                <w:lang w:val="en-US"/>
              </w:rPr>
            </w:pPr>
          </w:p>
        </w:tc>
        <w:tc>
          <w:tcPr>
            <w:tcW w:w="7683" w:type="dxa"/>
          </w:tcPr>
          <w:p w14:paraId="71F9F598" w14:textId="77777777" w:rsidR="00202BBC" w:rsidRPr="00F740AD" w:rsidRDefault="00202BBC" w:rsidP="00C64F5D">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5" w:name="_Ref68459151"/>
            <w:r>
              <w:t xml:space="preserve">Figure </w:t>
            </w:r>
            <w:r>
              <w:fldChar w:fldCharType="begin"/>
            </w:r>
            <w:r>
              <w:instrText xml:space="preserve"> SEQ Figure \* ARABIC </w:instrText>
            </w:r>
            <w:r>
              <w:fldChar w:fldCharType="separate"/>
            </w:r>
            <w:r>
              <w:rPr>
                <w:noProof/>
              </w:rPr>
              <w:t>1</w:t>
            </w:r>
            <w:r>
              <w:fldChar w:fldCharType="end"/>
            </w:r>
            <w:bookmarkEnd w:id="65"/>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05pt;height:225pt" o:ole="">
                  <v:imagedata r:id="rId47" o:title=""/>
                </v:shape>
                <o:OLEObject Type="Embed" ProgID="Visio.Drawing.15" ShapeID="_x0000_i1028" DrawAspect="Content" ObjectID="_1683060173" r:id="rId48"/>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DF0DD4" w14:paraId="505BCF0B" w14:textId="77777777" w:rsidTr="00C64F5D">
        <w:tc>
          <w:tcPr>
            <w:tcW w:w="1945" w:type="dxa"/>
          </w:tcPr>
          <w:p w14:paraId="5420AB63" w14:textId="77777777" w:rsidR="00DF0DD4" w:rsidRDefault="00DF0DD4" w:rsidP="00DF0DD4">
            <w:pPr>
              <w:spacing w:afterLines="50" w:after="120"/>
              <w:jc w:val="both"/>
              <w:rPr>
                <w:sz w:val="22"/>
                <w:lang w:val="en-US"/>
              </w:rPr>
            </w:pPr>
          </w:p>
        </w:tc>
        <w:tc>
          <w:tcPr>
            <w:tcW w:w="7683" w:type="dxa"/>
          </w:tcPr>
          <w:p w14:paraId="045BC9DD" w14:textId="77777777" w:rsidR="00DF0DD4" w:rsidRPr="00F740AD" w:rsidRDefault="00DF0DD4" w:rsidP="00DF0DD4">
            <w:pPr>
              <w:spacing w:afterLines="50" w:after="120"/>
              <w:jc w:val="both"/>
              <w:rPr>
                <w:sz w:val="22"/>
                <w:lang w:val="en-US"/>
              </w:rPr>
            </w:pPr>
          </w:p>
        </w:tc>
      </w:tr>
      <w:tr w:rsidR="002540F7" w14:paraId="1D62FB8F" w14:textId="77777777" w:rsidTr="00C64F5D">
        <w:tc>
          <w:tcPr>
            <w:tcW w:w="1945" w:type="dxa"/>
          </w:tcPr>
          <w:p w14:paraId="5F695D08" w14:textId="77777777" w:rsidR="002540F7" w:rsidRDefault="002540F7" w:rsidP="00DF0DD4">
            <w:pPr>
              <w:spacing w:afterLines="50" w:after="120"/>
              <w:jc w:val="both"/>
              <w:rPr>
                <w:sz w:val="22"/>
                <w:lang w:val="en-US"/>
              </w:rPr>
            </w:pPr>
          </w:p>
        </w:tc>
        <w:tc>
          <w:tcPr>
            <w:tcW w:w="7683" w:type="dxa"/>
          </w:tcPr>
          <w:p w14:paraId="6822E2C8" w14:textId="77777777" w:rsidR="002540F7" w:rsidRPr="00F740AD" w:rsidRDefault="002540F7" w:rsidP="00DF0DD4">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w:t>
            </w:r>
            <w:proofErr w:type="gramStart"/>
            <w:r>
              <w:t>an</w:t>
            </w:r>
            <w:proofErr w:type="gramEnd"/>
            <w:r>
              <w:t xml:space="preserve">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w:t>
            </w:r>
            <w:proofErr w:type="gramStart"/>
            <w:r>
              <w:t>an</w:t>
            </w:r>
            <w:proofErr w:type="gramEnd"/>
            <w:r>
              <w:t xml:space="preserve">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6"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6"/>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gNB to understand UE can support coherent codebook with </w:t>
            </w:r>
            <w:proofErr w:type="gramStart"/>
            <w:r>
              <w:rPr>
                <w:sz w:val="22"/>
                <w:lang w:val="en-US"/>
              </w:rPr>
              <w:t>less</w:t>
            </w:r>
            <w:proofErr w:type="gramEnd"/>
            <w:r>
              <w:rPr>
                <w:sz w:val="22"/>
                <w:lang w:val="en-US"/>
              </w:rPr>
              <w:t xml:space="preserve">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77777777" w:rsidR="00DF0DD4" w:rsidRDefault="00DF0DD4" w:rsidP="00DF0DD4">
            <w:pPr>
              <w:spacing w:afterLines="50" w:after="120"/>
              <w:jc w:val="both"/>
              <w:rPr>
                <w:sz w:val="22"/>
                <w:lang w:val="en-US"/>
              </w:rPr>
            </w:pPr>
          </w:p>
        </w:tc>
        <w:tc>
          <w:tcPr>
            <w:tcW w:w="7683" w:type="dxa"/>
          </w:tcPr>
          <w:p w14:paraId="683236D5" w14:textId="77777777" w:rsidR="00DF0DD4" w:rsidRPr="00F740AD" w:rsidRDefault="00DF0DD4" w:rsidP="00DF0DD4">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7" w:name="_Hlk67580046"/>
      <w:r>
        <w:rPr>
          <w:b/>
          <w:bCs/>
        </w:rPr>
        <w:t xml:space="preserve">RAN2 impact of RAN1/4-led TEI CRs shall be limited to RRC signalling of configuration parameters and </w:t>
      </w:r>
      <w:r>
        <w:rPr>
          <w:b/>
          <w:bCs/>
        </w:rPr>
        <w:tab/>
        <w:t>UE capabilities (no MAC impact, no RRC procedural impact, etc.)</w:t>
      </w:r>
      <w:bookmarkEnd w:id="67"/>
    </w:p>
    <w:p w14:paraId="799D7F73" w14:textId="77777777" w:rsidR="001F0C78" w:rsidRDefault="001F0C78" w:rsidP="001F0C78">
      <w:bookmarkStart w:id="68" w:name="_Hlk67580600"/>
      <w:r>
        <w:t>Note: Ideally one RAN WG would take the decision about whether a TEI feature should be introduced or not and other RAN WGs then accept this decision and contribute their TEI CRs.</w:t>
      </w:r>
      <w:bookmarkEnd w:id="6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proofErr w:type="gramStart"/>
      <w:r>
        <w:t>cat.B</w:t>
      </w:r>
      <w:proofErr w:type="spellEnd"/>
      <w:proofErr w:type="gram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proofErr w:type="gramStart"/>
      <w:r>
        <w:t>cat.B</w:t>
      </w:r>
      <w:proofErr w:type="spellEnd"/>
      <w:proofErr w:type="gram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proofErr w:type="gramStart"/>
      <w:r>
        <w:t>cat.F</w:t>
      </w:r>
      <w:proofErr w:type="spellEnd"/>
      <w:proofErr w:type="gram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proofErr w:type="gramStart"/>
      <w:r>
        <w:t>cat.B</w:t>
      </w:r>
      <w:proofErr w:type="spellEnd"/>
      <w:proofErr w:type="gram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21435" w14:textId="77777777" w:rsidR="00E9472D" w:rsidRDefault="00E9472D">
      <w:r>
        <w:separator/>
      </w:r>
    </w:p>
  </w:endnote>
  <w:endnote w:type="continuationSeparator" w:id="0">
    <w:p w14:paraId="2F9F2938" w14:textId="77777777" w:rsidR="00E9472D" w:rsidRDefault="00E9472D">
      <w:r>
        <w:continuationSeparator/>
      </w:r>
    </w:p>
  </w:endnote>
  <w:endnote w:type="continuationNotice" w:id="1">
    <w:p w14:paraId="13EB42E1" w14:textId="77777777" w:rsidR="00E9472D" w:rsidRDefault="00E947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38</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42</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AB8C5" w14:textId="77777777" w:rsidR="00E9472D" w:rsidRDefault="00E9472D">
      <w:r>
        <w:separator/>
      </w:r>
    </w:p>
  </w:footnote>
  <w:footnote w:type="continuationSeparator" w:id="0">
    <w:p w14:paraId="1BFDB353" w14:textId="77777777" w:rsidR="00E9472D" w:rsidRDefault="00E9472D">
      <w:r>
        <w:continuationSeparator/>
      </w:r>
    </w:p>
  </w:footnote>
  <w:footnote w:type="continuationNotice" w:id="1">
    <w:p w14:paraId="053B385C" w14:textId="77777777" w:rsidR="00E9472D" w:rsidRDefault="00E947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6"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D53980"/>
    <w:multiLevelType w:val="multilevel"/>
    <w:tmpl w:val="99F4D080"/>
    <w:numStyleLink w:val="1"/>
  </w:abstractNum>
  <w:num w:numId="1">
    <w:abstractNumId w:val="25"/>
  </w:num>
  <w:num w:numId="2">
    <w:abstractNumId w:val="7"/>
  </w:num>
  <w:num w:numId="3">
    <w:abstractNumId w:val="33"/>
  </w:num>
  <w:num w:numId="4">
    <w:abstractNumId w:val="2"/>
  </w:num>
  <w:num w:numId="5">
    <w:abstractNumId w:val="4"/>
  </w:num>
  <w:num w:numId="6">
    <w:abstractNumId w:val="10"/>
  </w:num>
  <w:num w:numId="7">
    <w:abstractNumId w:val="24"/>
  </w:num>
  <w:num w:numId="8">
    <w:abstractNumId w:val="17"/>
  </w:num>
  <w:num w:numId="9">
    <w:abstractNumId w:val="16"/>
  </w:num>
  <w:num w:numId="10">
    <w:abstractNumId w:val="5"/>
  </w:num>
  <w:num w:numId="11">
    <w:abstractNumId w:val="1"/>
  </w:num>
  <w:num w:numId="12">
    <w:abstractNumId w:val="34"/>
  </w:num>
  <w:num w:numId="13">
    <w:abstractNumId w:val="31"/>
  </w:num>
  <w:num w:numId="14">
    <w:abstractNumId w:val="2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32"/>
  </w:num>
  <w:num w:numId="21">
    <w:abstractNumId w:val="13"/>
  </w:num>
  <w:num w:numId="22">
    <w:abstractNumId w:val="27"/>
  </w:num>
  <w:num w:numId="23">
    <w:abstractNumId w:val="23"/>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num>
  <w:num w:numId="28">
    <w:abstractNumId w:val="28"/>
  </w:num>
  <w:num w:numId="29">
    <w:abstractNumId w:val="30"/>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1"/>
  </w:num>
  <w:num w:numId="33">
    <w:abstractNumId w:val="0"/>
  </w:num>
  <w:num w:numId="34">
    <w:abstractNumId w:val="18"/>
  </w:num>
  <w:num w:numId="35">
    <w:abstractNumId w:val="9"/>
  </w:num>
  <w:num w:numId="36">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宋体"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宋体"/>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Drawing2.vsdx"/><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package" Target="embeddings/Microsoft_Visio_Drawing1.vsdx"/><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Drawing.vsdx"/><Relationship Id="rId36" Type="http://schemas.openxmlformats.org/officeDocument/2006/relationships/image" Target="media/image23.emf"/><Relationship Id="rId49" Type="http://schemas.openxmlformats.org/officeDocument/2006/relationships/image" Target="media/image33.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E6BC0891-4EBE-4D9F-88EF-3163199EC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15627</Words>
  <Characters>89074</Characters>
  <Application>Microsoft Office Word</Application>
  <DocSecurity>0</DocSecurity>
  <Lines>742</Lines>
  <Paragraphs>208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104493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CATT - Ren Da</cp:lastModifiedBy>
  <cp:revision>2</cp:revision>
  <cp:lastPrinted>2017-08-09T04:40:00Z</cp:lastPrinted>
  <dcterms:created xsi:type="dcterms:W3CDTF">2021-05-21T03:56:00Z</dcterms:created>
  <dcterms:modified xsi:type="dcterms:W3CDTF">2021-05-21T03:56:00Z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