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D28026" w14:textId="78D6E2B7" w:rsidR="0093333E" w:rsidRPr="001770E2" w:rsidRDefault="001770E2" w:rsidP="0093333E">
      <w:pPr>
        <w:tabs>
          <w:tab w:val="center" w:pos="4536"/>
          <w:tab w:val="right" w:pos="8280"/>
          <w:tab w:val="right" w:pos="9639"/>
        </w:tabs>
        <w:spacing w:line="276" w:lineRule="auto"/>
        <w:ind w:right="2"/>
        <w:rPr>
          <w:rFonts w:ascii="Arial" w:eastAsia="Malgun Gothic" w:hAnsi="Arial" w:cs="Arial"/>
          <w:b/>
          <w:bCs/>
          <w:lang w:eastAsia="en-US"/>
        </w:rPr>
      </w:pPr>
      <w:r w:rsidRPr="001770E2">
        <w:rPr>
          <w:rFonts w:ascii="Arial" w:eastAsia="Malgun Gothic" w:hAnsi="Arial" w:cs="Arial"/>
          <w:b/>
          <w:bCs/>
          <w:lang w:eastAsia="en-US"/>
        </w:rPr>
        <w:t>3GPP TSG RAN WG1 #10</w:t>
      </w:r>
      <w:r w:rsidR="006D27B7">
        <w:rPr>
          <w:rFonts w:ascii="Arial" w:eastAsia="MS Mincho" w:hAnsi="Arial" w:cs="Arial"/>
          <w:b/>
          <w:bCs/>
        </w:rPr>
        <w:t>5</w:t>
      </w:r>
      <w:r w:rsidRPr="001770E2">
        <w:rPr>
          <w:rFonts w:ascii="Arial" w:eastAsia="Malgun Gothic" w:hAnsi="Arial" w:cs="Arial"/>
          <w:b/>
          <w:bCs/>
          <w:lang w:eastAsia="en-US"/>
        </w:rPr>
        <w:t>-e</w:t>
      </w:r>
      <w:r w:rsidR="007E76E7">
        <w:rPr>
          <w:rFonts w:ascii="Arial" w:eastAsia="Malgun Gothic" w:hAnsi="Arial" w:cs="Arial"/>
          <w:b/>
          <w:bCs/>
          <w:lang w:eastAsia="en-US"/>
        </w:rPr>
        <w:tab/>
      </w:r>
      <w:r w:rsidR="007E76E7">
        <w:rPr>
          <w:rFonts w:ascii="Arial" w:eastAsia="Malgun Gothic" w:hAnsi="Arial" w:cs="Arial"/>
          <w:b/>
          <w:bCs/>
          <w:lang w:eastAsia="en-US"/>
        </w:rPr>
        <w:tab/>
      </w:r>
      <w:r w:rsidR="007E76E7">
        <w:rPr>
          <w:rFonts w:ascii="Arial" w:eastAsia="Malgun Gothic" w:hAnsi="Arial" w:cs="Arial"/>
          <w:b/>
          <w:bCs/>
          <w:lang w:eastAsia="en-US"/>
        </w:rPr>
        <w:tab/>
        <w:t>R1-2</w:t>
      </w:r>
      <w:r w:rsidR="007E76E7">
        <w:rPr>
          <w:rFonts w:ascii="Arial" w:eastAsia="MS Mincho" w:hAnsi="Arial" w:cs="Arial" w:hint="eastAsia"/>
          <w:b/>
          <w:bCs/>
        </w:rPr>
        <w:t>1</w:t>
      </w:r>
      <w:r w:rsidR="00FF0AAC">
        <w:rPr>
          <w:rFonts w:ascii="Arial" w:eastAsia="Malgun Gothic" w:hAnsi="Arial" w:cs="Arial"/>
          <w:b/>
          <w:bCs/>
          <w:lang w:eastAsia="en-US"/>
        </w:rPr>
        <w:t>0</w:t>
      </w:r>
      <w:r w:rsidR="006D27B7">
        <w:rPr>
          <w:rFonts w:ascii="Arial" w:eastAsia="MS Mincho" w:hAnsi="Arial" w:cs="Arial"/>
          <w:b/>
          <w:bCs/>
        </w:rPr>
        <w:t>5955</w:t>
      </w:r>
    </w:p>
    <w:p w14:paraId="51CDA475" w14:textId="2D4A94C7" w:rsidR="00672CBF" w:rsidRPr="00321B21" w:rsidRDefault="00672CBF" w:rsidP="00672CBF">
      <w:pPr>
        <w:tabs>
          <w:tab w:val="center" w:pos="4536"/>
          <w:tab w:val="right" w:pos="9072"/>
        </w:tabs>
        <w:spacing w:line="276" w:lineRule="auto"/>
        <w:rPr>
          <w:rFonts w:ascii="Arial" w:eastAsia="Malgun Gothic" w:hAnsi="Arial" w:cs="Arial"/>
          <w:b/>
          <w:bCs/>
          <w:lang w:eastAsia="en-US"/>
        </w:rPr>
      </w:pPr>
      <w:r w:rsidRPr="00672CBF">
        <w:rPr>
          <w:rFonts w:ascii="Arial" w:eastAsia="Malgun Gothic" w:hAnsi="Arial" w:cs="Arial"/>
          <w:b/>
          <w:bCs/>
          <w:lang w:val="en-US" w:eastAsia="en-US"/>
        </w:rPr>
        <w:t xml:space="preserve">e-Meeting, </w:t>
      </w:r>
      <w:r w:rsidR="006D27B7">
        <w:rPr>
          <w:rFonts w:ascii="Arial" w:eastAsia="Malgun Gothic" w:hAnsi="Arial" w:cs="Arial"/>
          <w:b/>
          <w:bCs/>
          <w:lang w:eastAsia="en-US"/>
        </w:rPr>
        <w:t>May</w:t>
      </w:r>
      <w:r w:rsidR="00C47BE0" w:rsidRPr="00C47BE0">
        <w:rPr>
          <w:rFonts w:ascii="Arial" w:eastAsia="Malgun Gothic" w:hAnsi="Arial" w:cs="Arial"/>
          <w:b/>
          <w:bCs/>
          <w:lang w:eastAsia="en-US"/>
        </w:rPr>
        <w:t xml:space="preserve"> </w:t>
      </w:r>
      <w:r w:rsidR="00321B21">
        <w:rPr>
          <w:rFonts w:ascii="Arial" w:eastAsia="Malgun Gothic" w:hAnsi="Arial" w:cs="Arial"/>
          <w:b/>
          <w:bCs/>
          <w:lang w:eastAsia="en-US"/>
        </w:rPr>
        <w:t>1</w:t>
      </w:r>
      <w:r w:rsidR="006D27B7">
        <w:rPr>
          <w:rFonts w:ascii="Arial" w:eastAsia="Malgun Gothic" w:hAnsi="Arial" w:cs="Arial"/>
          <w:b/>
          <w:bCs/>
          <w:lang w:eastAsia="en-US"/>
        </w:rPr>
        <w:t>0</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xml:space="preserve"> – </w:t>
      </w:r>
      <w:r w:rsidR="00321B21">
        <w:rPr>
          <w:rFonts w:ascii="Arial" w:eastAsia="Malgun Gothic" w:hAnsi="Arial" w:cs="Arial"/>
          <w:b/>
          <w:bCs/>
          <w:lang w:eastAsia="en-US"/>
        </w:rPr>
        <w:t>2</w:t>
      </w:r>
      <w:r w:rsidR="006D27B7">
        <w:rPr>
          <w:rFonts w:ascii="Arial" w:eastAsia="Malgun Gothic" w:hAnsi="Arial" w:cs="Arial"/>
          <w:b/>
          <w:bCs/>
          <w:lang w:eastAsia="en-US"/>
        </w:rPr>
        <w:t>7</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2021</w:t>
      </w:r>
    </w:p>
    <w:p w14:paraId="6B70EDFD" w14:textId="77777777" w:rsidR="0093333E" w:rsidRPr="00672CBF" w:rsidRDefault="0093333E" w:rsidP="0093333E">
      <w:pPr>
        <w:tabs>
          <w:tab w:val="center" w:pos="4536"/>
          <w:tab w:val="right" w:pos="9072"/>
        </w:tabs>
        <w:spacing w:line="276" w:lineRule="auto"/>
        <w:rPr>
          <w:rFonts w:ascii="Arial" w:eastAsia="Malgun Gothic" w:hAnsi="Arial" w:cs="Arial"/>
          <w:b/>
          <w:bCs/>
          <w:szCs w:val="24"/>
          <w:lang w:eastAsia="en-US"/>
        </w:rPr>
      </w:pPr>
    </w:p>
    <w:p w14:paraId="66670163" w14:textId="00261902" w:rsidR="0093333E" w:rsidRPr="00E34C18" w:rsidRDefault="0093333E" w:rsidP="0093333E">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C52E7D">
        <w:rPr>
          <w:rFonts w:ascii="Arial" w:eastAsia="MS Mincho" w:hAnsi="Arial" w:hint="eastAsia"/>
          <w:lang w:val="en-US"/>
        </w:rPr>
        <w:t>8</w:t>
      </w:r>
      <w:r>
        <w:rPr>
          <w:rFonts w:ascii="Arial" w:eastAsia="Malgun Gothic" w:hAnsi="Arial"/>
          <w:lang w:val="en-US" w:eastAsia="ko-KR"/>
        </w:rPr>
        <w:t>.</w:t>
      </w:r>
      <w:r w:rsidR="00C52E7D">
        <w:rPr>
          <w:rFonts w:ascii="Arial" w:eastAsia="Malgun Gothic" w:hAnsi="Arial"/>
          <w:lang w:val="en-US" w:eastAsia="ko-KR"/>
        </w:rPr>
        <w:t>16</w:t>
      </w:r>
    </w:p>
    <w:p w14:paraId="18AD2FB9" w14:textId="14D30651" w:rsidR="0093333E" w:rsidRPr="00E34C18" w:rsidRDefault="0093333E" w:rsidP="0093333E">
      <w:pPr>
        <w:tabs>
          <w:tab w:val="left" w:pos="1985"/>
        </w:tabs>
        <w:spacing w:after="120" w:line="288" w:lineRule="auto"/>
        <w:ind w:left="2040" w:hangingChars="850" w:hanging="2040"/>
        <w:jc w:val="both"/>
        <w:rPr>
          <w:rFonts w:ascii="Arial" w:eastAsia="宋体"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72AA6271" w:rsidR="0093333E" w:rsidRPr="00E34C18" w:rsidRDefault="0093333E" w:rsidP="0093333E">
      <w:pPr>
        <w:tabs>
          <w:tab w:val="left" w:pos="1985"/>
        </w:tabs>
        <w:spacing w:after="120" w:line="288" w:lineRule="auto"/>
        <w:ind w:left="2040" w:hangingChars="850" w:hanging="2040"/>
        <w:jc w:val="both"/>
        <w:rPr>
          <w:rFonts w:ascii="Arial" w:eastAsia="Malgun Gothic" w:hAnsi="Arial" w:cs="Arial"/>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74671D" w:rsidRPr="0074671D">
        <w:rPr>
          <w:rFonts w:ascii="Arial" w:eastAsia="Malgun Gothic" w:hAnsi="Arial"/>
          <w:lang w:val="en-US" w:eastAsia="en-US"/>
        </w:rPr>
        <w:t xml:space="preserve">Summary on </w:t>
      </w:r>
      <w:r w:rsidR="00321B21">
        <w:rPr>
          <w:rFonts w:ascii="Arial" w:eastAsia="Malgun Gothic" w:hAnsi="Arial"/>
          <w:lang w:val="en-US" w:eastAsia="en-US"/>
        </w:rPr>
        <w:t>Rel-1</w:t>
      </w:r>
      <w:r w:rsidR="00C52E7D">
        <w:rPr>
          <w:rFonts w:ascii="Arial" w:eastAsia="Malgun Gothic" w:hAnsi="Arial"/>
          <w:lang w:val="en-US" w:eastAsia="en-US"/>
        </w:rPr>
        <w:t>7</w:t>
      </w:r>
      <w:r w:rsidR="00321B21">
        <w:rPr>
          <w:rFonts w:ascii="Arial" w:eastAsia="Malgun Gothic" w:hAnsi="Arial"/>
          <w:lang w:val="en-US" w:eastAsia="en-US"/>
        </w:rPr>
        <w:t xml:space="preserve"> </w:t>
      </w:r>
      <w:r w:rsidR="006D27B7">
        <w:rPr>
          <w:rFonts w:ascii="Arial" w:eastAsia="Malgun Gothic" w:hAnsi="Arial"/>
          <w:lang w:val="en-US" w:eastAsia="en-US"/>
        </w:rPr>
        <w:t xml:space="preserve">NR </w:t>
      </w:r>
      <w:r w:rsidR="00321B21">
        <w:rPr>
          <w:rFonts w:ascii="Arial" w:eastAsia="Malgun Gothic" w:hAnsi="Arial"/>
          <w:lang w:val="en-US" w:eastAsia="en-US"/>
        </w:rPr>
        <w:t>TEI related discussion</w:t>
      </w:r>
    </w:p>
    <w:p w14:paraId="480671AA" w14:textId="1F16C826"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408027AC" w:rsidR="0074671D" w:rsidRDefault="0074671D" w:rsidP="0074671D">
      <w:pPr>
        <w:spacing w:afterLines="50" w:after="120"/>
        <w:jc w:val="both"/>
        <w:rPr>
          <w:rFonts w:eastAsia="MS Mincho"/>
          <w:sz w:val="22"/>
          <w:szCs w:val="22"/>
          <w:lang w:val="en-US"/>
        </w:rPr>
      </w:pPr>
      <w:r w:rsidRPr="003E0E4E">
        <w:rPr>
          <w:rFonts w:eastAsia="MS Mincho"/>
          <w:sz w:val="22"/>
          <w:szCs w:val="22"/>
          <w:lang w:val="en-US"/>
        </w:rPr>
        <w:t xml:space="preserve">This contribution summarizes the discussions and proposals in AI </w:t>
      </w:r>
      <w:r w:rsidR="00C52E7D">
        <w:rPr>
          <w:rFonts w:eastAsia="MS Mincho"/>
          <w:sz w:val="22"/>
          <w:szCs w:val="22"/>
          <w:lang w:val="en-US"/>
        </w:rPr>
        <w:t>8.16</w:t>
      </w:r>
      <w:r w:rsidR="00974662">
        <w:rPr>
          <w:rFonts w:eastAsia="MS Mincho"/>
          <w:sz w:val="22"/>
          <w:szCs w:val="22"/>
          <w:lang w:val="en-US"/>
        </w:rPr>
        <w:t xml:space="preserve"> </w:t>
      </w:r>
      <w:r w:rsidR="0001312D">
        <w:rPr>
          <w:rFonts w:eastAsia="MS Mincho"/>
          <w:sz w:val="22"/>
          <w:szCs w:val="22"/>
          <w:lang w:val="en-US"/>
        </w:rPr>
        <w:t>for Rel-1</w:t>
      </w:r>
      <w:r w:rsidR="00C52E7D">
        <w:rPr>
          <w:rFonts w:eastAsia="MS Mincho"/>
          <w:sz w:val="22"/>
          <w:szCs w:val="22"/>
          <w:lang w:val="en-US"/>
        </w:rPr>
        <w:t>7</w:t>
      </w:r>
      <w:r w:rsidR="0001312D">
        <w:rPr>
          <w:rFonts w:eastAsia="MS Mincho"/>
          <w:sz w:val="22"/>
          <w:szCs w:val="22"/>
          <w:lang w:val="en-US"/>
        </w:rPr>
        <w:t xml:space="preserve"> NR TEI related discussion</w:t>
      </w:r>
      <w:r w:rsidR="00FC2EAE">
        <w:rPr>
          <w:rFonts w:eastAsia="MS Mincho"/>
          <w:sz w:val="22"/>
          <w:szCs w:val="22"/>
          <w:lang w:val="en-US"/>
        </w:rPr>
        <w:t xml:space="preserve"> and following email discussion.</w:t>
      </w:r>
    </w:p>
    <w:p w14:paraId="147D0A25" w14:textId="77777777" w:rsidR="0032344A" w:rsidRPr="0032344A" w:rsidRDefault="0032344A" w:rsidP="0032344A">
      <w:pPr>
        <w:rPr>
          <w:rFonts w:ascii="Times" w:eastAsia="Batang" w:hAnsi="Times"/>
          <w:sz w:val="20"/>
          <w:szCs w:val="24"/>
          <w:highlight w:val="cyan"/>
          <w:lang w:eastAsia="en-US"/>
        </w:rPr>
      </w:pPr>
      <w:r w:rsidRPr="0032344A">
        <w:rPr>
          <w:rFonts w:ascii="Times" w:eastAsia="Batang" w:hAnsi="Times"/>
          <w:sz w:val="20"/>
          <w:szCs w:val="24"/>
          <w:highlight w:val="cyan"/>
          <w:lang w:eastAsia="en-US"/>
        </w:rPr>
        <w:t xml:space="preserve">[105-e-NR-R17-TEI-01] Email discussion/approval Rel-17 </w:t>
      </w:r>
      <w:proofErr w:type="gramStart"/>
      <w:r w:rsidRPr="0032344A">
        <w:rPr>
          <w:rFonts w:ascii="Times" w:eastAsia="Batang" w:hAnsi="Times"/>
          <w:sz w:val="20"/>
          <w:szCs w:val="24"/>
          <w:highlight w:val="cyan"/>
          <w:lang w:eastAsia="en-US"/>
        </w:rPr>
        <w:t>TEIs  –</w:t>
      </w:r>
      <w:proofErr w:type="gramEnd"/>
      <w:r w:rsidRPr="0032344A">
        <w:rPr>
          <w:rFonts w:ascii="Times" w:eastAsia="Batang" w:hAnsi="Times"/>
          <w:sz w:val="20"/>
          <w:szCs w:val="24"/>
          <w:highlight w:val="cyan"/>
          <w:lang w:eastAsia="en-US"/>
        </w:rPr>
        <w:t xml:space="preserve"> Hiroki (NTT DOCOMO)</w:t>
      </w:r>
    </w:p>
    <w:p w14:paraId="1BFAE7D0"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1st check point: May 24</w:t>
      </w:r>
    </w:p>
    <w:p w14:paraId="039BDD26"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2nd check point: May 27</w:t>
      </w:r>
    </w:p>
    <w:p w14:paraId="0F7EBB71" w14:textId="77777777" w:rsidR="00FC2EAE" w:rsidRPr="003E0E4E" w:rsidRDefault="00FC2EAE" w:rsidP="0074671D">
      <w:pPr>
        <w:spacing w:afterLines="50" w:after="120"/>
        <w:jc w:val="both"/>
        <w:rPr>
          <w:rFonts w:eastAsia="MS Mincho"/>
          <w:sz w:val="22"/>
          <w:szCs w:val="22"/>
          <w:lang w:val="en-US"/>
        </w:rPr>
      </w:pPr>
    </w:p>
    <w:p w14:paraId="54E0B5D5" w14:textId="6827BC15" w:rsidR="0074671D" w:rsidRDefault="0074671D" w:rsidP="0074671D">
      <w:pPr>
        <w:spacing w:afterLines="50" w:after="120"/>
        <w:jc w:val="both"/>
        <w:rPr>
          <w:b/>
          <w:bCs/>
          <w:sz w:val="22"/>
          <w:lang w:val="en-US"/>
        </w:rPr>
      </w:pPr>
      <w:r>
        <w:rPr>
          <w:rFonts w:eastAsia="MS Mincho" w:hint="eastAsia"/>
          <w:sz w:val="22"/>
          <w:szCs w:val="22"/>
          <w:lang w:val="en-US"/>
        </w:rPr>
        <w:t>B</w:t>
      </w:r>
      <w:r>
        <w:rPr>
          <w:rFonts w:eastAsia="MS Mincho"/>
          <w:sz w:val="22"/>
          <w:szCs w:val="22"/>
          <w:lang w:val="en-US"/>
        </w:rPr>
        <w:t>ased on the discussions summarized in Section 2</w:t>
      </w:r>
      <w:r w:rsidR="0001312D">
        <w:rPr>
          <w:rFonts w:eastAsia="MS Mincho"/>
          <w:sz w:val="22"/>
          <w:szCs w:val="22"/>
          <w:lang w:val="en-US"/>
        </w:rPr>
        <w:t xml:space="preserve">, </w:t>
      </w:r>
      <w:r w:rsidR="00695F74">
        <w:rPr>
          <w:rFonts w:eastAsia="MS Mincho"/>
          <w:sz w:val="22"/>
          <w:szCs w:val="22"/>
          <w:lang w:val="en-US"/>
        </w:rPr>
        <w:t>six</w:t>
      </w:r>
      <w:r w:rsidR="00695F74">
        <w:rPr>
          <w:sz w:val="22"/>
          <w:lang w:val="en-US"/>
        </w:rPr>
        <w:t xml:space="preserve"> TEI proposals are identified</w:t>
      </w:r>
      <w:r>
        <w:rPr>
          <w:sz w:val="22"/>
          <w:lang w:val="en-US"/>
        </w:rPr>
        <w:t xml:space="preserve"> </w:t>
      </w:r>
      <w:r w:rsidR="00695F74">
        <w:rPr>
          <w:sz w:val="22"/>
          <w:lang w:val="en-US"/>
        </w:rPr>
        <w:t>in</w:t>
      </w:r>
      <w:r>
        <w:rPr>
          <w:sz w:val="22"/>
          <w:lang w:val="en-US"/>
        </w:rPr>
        <w:t xml:space="preserve"> AI </w:t>
      </w:r>
      <w:r w:rsidR="00B87C59">
        <w:rPr>
          <w:sz w:val="22"/>
          <w:lang w:val="en-US"/>
        </w:rPr>
        <w:t>8.16</w:t>
      </w:r>
      <w:r>
        <w:rPr>
          <w:sz w:val="22"/>
          <w:lang w:val="en-US"/>
        </w:rPr>
        <w:t xml:space="preserve">. </w:t>
      </w:r>
      <w:r w:rsidR="00E32D2B">
        <w:rPr>
          <w:sz w:val="22"/>
          <w:lang w:val="en-US"/>
        </w:rPr>
        <w:t xml:space="preserve">According to the guidance from RAN1 chair (i.e., same guidance as in Rel-16 TEI </w:t>
      </w:r>
      <w:r w:rsidR="001F0C78">
        <w:rPr>
          <w:sz w:val="22"/>
          <w:lang w:val="en-US"/>
        </w:rPr>
        <w:t>[</w:t>
      </w:r>
      <w:r w:rsidR="005161D7">
        <w:rPr>
          <w:sz w:val="22"/>
          <w:lang w:val="en-US"/>
        </w:rPr>
        <w:t>11</w:t>
      </w:r>
      <w:r w:rsidR="001F0C78">
        <w:rPr>
          <w:sz w:val="22"/>
          <w:lang w:val="en-US"/>
        </w:rPr>
        <w:t xml:space="preserve">] </w:t>
      </w:r>
      <w:r w:rsidR="00E32D2B">
        <w:rPr>
          <w:sz w:val="22"/>
          <w:lang w:val="en-US"/>
        </w:rPr>
        <w:t xml:space="preserve">should still hold), </w:t>
      </w:r>
      <w:r w:rsidR="001F0C78">
        <w:rPr>
          <w:sz w:val="22"/>
          <w:lang w:val="en-US"/>
        </w:rPr>
        <w:t xml:space="preserve">it should be checked first whether each TEI proposal is supported by at least </w:t>
      </w:r>
      <w:r w:rsidR="001F0C78" w:rsidRPr="001F0C78">
        <w:rPr>
          <w:sz w:val="22"/>
          <w:lang w:val="en-US"/>
        </w:rPr>
        <w:t>1 operator, 1 infra vendor and 1 UE vendor</w:t>
      </w:r>
      <w:r w:rsidR="001F0C78">
        <w:rPr>
          <w:sz w:val="22"/>
          <w:lang w:val="en-US"/>
        </w:rPr>
        <w:t xml:space="preserve"> so that the discussion on the TEI proposal can be prioritized over other TEI proposals.</w:t>
      </w:r>
      <w:r w:rsidR="00325DA3">
        <w:rPr>
          <w:rFonts w:hint="eastAsia"/>
          <w:sz w:val="22"/>
          <w:lang w:val="en-US"/>
        </w:rPr>
        <w:t xml:space="preserve"> </w:t>
      </w:r>
      <w:r w:rsidR="00325DA3" w:rsidRPr="005161D7">
        <w:rPr>
          <w:b/>
          <w:bCs/>
          <w:sz w:val="22"/>
          <w:lang w:val="en-US"/>
        </w:rPr>
        <w:t>Companies are encouraged to clarify which TEI proposal can be supported in the list below</w:t>
      </w:r>
      <w:r w:rsidR="00056262" w:rsidRPr="005161D7">
        <w:rPr>
          <w:b/>
          <w:bCs/>
          <w:sz w:val="22"/>
          <w:lang w:val="en-US"/>
        </w:rPr>
        <w:t>, i.e., please add your company name if you support the TEI proposal</w:t>
      </w:r>
      <w:r w:rsidR="00325DA3" w:rsidRPr="005161D7">
        <w:rPr>
          <w:b/>
          <w:bCs/>
          <w:sz w:val="22"/>
          <w:lang w:val="en-US"/>
        </w:rPr>
        <w:t xml:space="preserve">. </w:t>
      </w:r>
    </w:p>
    <w:p w14:paraId="5767694A" w14:textId="77777777" w:rsidR="005161D7" w:rsidRDefault="005161D7" w:rsidP="0074671D">
      <w:pPr>
        <w:spacing w:afterLines="50" w:after="120"/>
        <w:jc w:val="both"/>
        <w:rPr>
          <w:sz w:val="22"/>
          <w:lang w:val="en-US"/>
        </w:rPr>
      </w:pPr>
    </w:p>
    <w:p w14:paraId="24407AD6" w14:textId="77479196"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#1: Enhancement of NR codeword mapping</w:t>
      </w:r>
    </w:p>
    <w:p w14:paraId="0FA931D0" w14:textId="45E0C4F4" w:rsid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6D27B7" w:rsidRPr="006D27B7">
        <w:rPr>
          <w:sz w:val="22"/>
          <w:lang w:val="en-US"/>
        </w:rPr>
        <w:t xml:space="preserve">ZTE, CMCC, China Telecom, China Unicom, SoftBank, NTT DOCOMO, </w:t>
      </w:r>
      <w:proofErr w:type="spellStart"/>
      <w:r w:rsidR="006D27B7" w:rsidRPr="006D27B7">
        <w:rPr>
          <w:sz w:val="22"/>
          <w:lang w:val="en-US"/>
        </w:rPr>
        <w:t>Sanechips</w:t>
      </w:r>
      <w:proofErr w:type="spellEnd"/>
      <w:r w:rsidR="006D27B7" w:rsidRPr="006D27B7">
        <w:rPr>
          <w:sz w:val="22"/>
          <w:lang w:val="en-US"/>
        </w:rPr>
        <w:t>, vivo</w:t>
      </w:r>
    </w:p>
    <w:p w14:paraId="43488F44" w14:textId="705916EF"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#2: Improved Frequency-Domain Interleaving</w:t>
      </w:r>
    </w:p>
    <w:p w14:paraId="24D1D1F3" w14:textId="5B44AEA2"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0C0C0242" w14:textId="03AC3792"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#3: Enhancements to PUCCH format</w:t>
      </w:r>
      <w:r w:rsidR="00AE3749">
        <w:rPr>
          <w:b/>
          <w:bCs/>
          <w:sz w:val="22"/>
          <w:lang w:val="en-US"/>
        </w:rPr>
        <w:t xml:space="preserve"> 2</w:t>
      </w:r>
    </w:p>
    <w:p w14:paraId="0A6125DA" w14:textId="28FD5F07"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43BF660F" w14:textId="4BF5CA6D"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#4: Enhancements to CSI-RS design to solve false PMI reporting issue</w:t>
      </w:r>
    </w:p>
    <w:p w14:paraId="2F639436" w14:textId="1B8A46DE"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sz w:val="22"/>
        </w:rPr>
        <w:t>Ericsson, NTT DOCOMO, Softbank, Verizon, T-Mobile USA</w:t>
      </w:r>
    </w:p>
    <w:p w14:paraId="20BB1D40" w14:textId="1A39A294"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#5: NR positioning support for TA-based positioning in E-CID</w:t>
      </w:r>
    </w:p>
    <w:p w14:paraId="301EBBC4" w14:textId="0BA3267A"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D4281F" w:rsidRPr="006D27B7">
        <w:rPr>
          <w:bCs/>
          <w:sz w:val="22"/>
          <w:szCs w:val="18"/>
        </w:rPr>
        <w:t>NTT DOCOMO INC., Ericsson, Polaris Wireless, Verizon, China Telecom, FirstNet, Deutsche Telekom, Intel Corporation, CATT</w:t>
      </w:r>
    </w:p>
    <w:p w14:paraId="455DE4E2" w14:textId="120007F3"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#6: Enhancements on the scheduling of PU</w:t>
      </w:r>
      <w:r w:rsidR="000D6221">
        <w:rPr>
          <w:b/>
          <w:bCs/>
          <w:sz w:val="22"/>
          <w:lang w:val="en-US"/>
        </w:rPr>
        <w:t>S</w:t>
      </w:r>
      <w:r w:rsidRPr="00695F74">
        <w:rPr>
          <w:b/>
          <w:bCs/>
          <w:sz w:val="22"/>
          <w:lang w:val="en-US"/>
        </w:rPr>
        <w:t>CH over multiple slots</w:t>
      </w:r>
    </w:p>
    <w:p w14:paraId="3B613BCA" w14:textId="6DC45140"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0D6221" w:rsidRPr="000D6221">
        <w:rPr>
          <w:sz w:val="22"/>
          <w:lang w:val="en-US"/>
        </w:rPr>
        <w:t>Huawei, HiSilicon, China Unicom</w:t>
      </w:r>
    </w:p>
    <w:p w14:paraId="2BD79382" w14:textId="6171246C" w:rsidR="006D27B7" w:rsidRPr="00695F74" w:rsidRDefault="006D27B7"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7</w:t>
      </w:r>
      <w:r w:rsidRPr="00695F74">
        <w:rPr>
          <w:b/>
          <w:bCs/>
          <w:sz w:val="22"/>
          <w:lang w:val="en-US"/>
        </w:rPr>
        <w:t xml:space="preserve">: Enhancements on </w:t>
      </w:r>
      <w:r w:rsidRPr="006D27B7">
        <w:rPr>
          <w:b/>
          <w:bCs/>
          <w:sz w:val="22"/>
          <w:lang w:val="en-US"/>
        </w:rPr>
        <w:t>SSB resources for RLM</w:t>
      </w:r>
    </w:p>
    <w:p w14:paraId="5773170B" w14:textId="75F6C1D1" w:rsidR="006D27B7" w:rsidRPr="00695F74" w:rsidRDefault="006D27B7"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621FEB51" w14:textId="0BFA6B81" w:rsidR="00181838" w:rsidRPr="00695F74" w:rsidRDefault="00181838"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8</w:t>
      </w:r>
      <w:r w:rsidRPr="00695F74">
        <w:rPr>
          <w:b/>
          <w:bCs/>
          <w:sz w:val="22"/>
          <w:lang w:val="en-US"/>
        </w:rPr>
        <w:t xml:space="preserve">: </w:t>
      </w:r>
      <w:r>
        <w:rPr>
          <w:b/>
          <w:bCs/>
          <w:sz w:val="22"/>
          <w:lang w:val="en-US"/>
        </w:rPr>
        <w:t>Periodic SRS transmission outside DRX active time</w:t>
      </w:r>
    </w:p>
    <w:p w14:paraId="7D9360C2" w14:textId="11462FC4" w:rsidR="00181838" w:rsidRPr="00695F74" w:rsidRDefault="00181838"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27845105" w14:textId="6D66086B" w:rsidR="004B3046" w:rsidRPr="00695F74" w:rsidRDefault="004B3046"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9</w:t>
      </w:r>
      <w:r w:rsidRPr="00695F74">
        <w:rPr>
          <w:b/>
          <w:bCs/>
          <w:sz w:val="22"/>
          <w:lang w:val="en-US"/>
        </w:rPr>
        <w:t xml:space="preserve">: </w:t>
      </w:r>
      <w:r>
        <w:rPr>
          <w:b/>
          <w:bCs/>
          <w:sz w:val="22"/>
          <w:lang w:val="en-US"/>
        </w:rPr>
        <w:t>Joint configuration of DRX groups and Rel-16 Power saving features</w:t>
      </w:r>
    </w:p>
    <w:p w14:paraId="1A25071C" w14:textId="77777777" w:rsidR="004B3046" w:rsidRPr="00695F74" w:rsidRDefault="004B3046"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5445A045" w14:textId="06389304" w:rsidR="00202BBC" w:rsidRPr="00695F74" w:rsidRDefault="00202BBC"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10</w:t>
      </w:r>
      <w:r w:rsidRPr="00695F74">
        <w:rPr>
          <w:b/>
          <w:bCs/>
          <w:sz w:val="22"/>
          <w:lang w:val="en-US"/>
        </w:rPr>
        <w:t xml:space="preserve">: </w:t>
      </w:r>
      <w:r w:rsidRPr="00202BBC">
        <w:rPr>
          <w:b/>
          <w:bCs/>
          <w:sz w:val="22"/>
          <w:lang w:val="en-US"/>
        </w:rPr>
        <w:t>Removal of DM-RS restriction for DL MU-MIMO</w:t>
      </w:r>
    </w:p>
    <w:p w14:paraId="0E225A93" w14:textId="22B5530F" w:rsidR="00202BBC" w:rsidRPr="00695F74" w:rsidRDefault="00202BBC"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Intel</w:t>
      </w:r>
    </w:p>
    <w:p w14:paraId="56F97545" w14:textId="54877D8C" w:rsidR="00202BBC" w:rsidRPr="00695F74" w:rsidRDefault="00202BBC"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11</w:t>
      </w:r>
      <w:r w:rsidRPr="00695F74">
        <w:rPr>
          <w:b/>
          <w:bCs/>
          <w:sz w:val="22"/>
          <w:lang w:val="en-US"/>
        </w:rPr>
        <w:t xml:space="preserve">: </w:t>
      </w:r>
      <w:r w:rsidR="000D6221">
        <w:rPr>
          <w:b/>
          <w:bCs/>
          <w:sz w:val="22"/>
          <w:lang w:val="en-US"/>
        </w:rPr>
        <w:t>UL MU-MIMO enhancements for DSS</w:t>
      </w:r>
    </w:p>
    <w:p w14:paraId="3B14B6ED" w14:textId="22E43A7C" w:rsidR="00202BBC" w:rsidRPr="00695F74" w:rsidRDefault="00202BBC"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Intel</w:t>
      </w:r>
    </w:p>
    <w:p w14:paraId="3CA69524" w14:textId="76D5E2EE" w:rsidR="00EF50AD" w:rsidRPr="00695F74" w:rsidRDefault="00EF50AD"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12</w:t>
      </w:r>
      <w:r w:rsidRPr="00695F74">
        <w:rPr>
          <w:b/>
          <w:bCs/>
          <w:sz w:val="22"/>
          <w:lang w:val="en-US"/>
        </w:rPr>
        <w:t xml:space="preserve">: </w:t>
      </w:r>
      <w:r>
        <w:rPr>
          <w:b/>
          <w:bCs/>
          <w:sz w:val="22"/>
          <w:lang w:val="en-US"/>
        </w:rPr>
        <w:t>M</w:t>
      </w:r>
      <w:r w:rsidRPr="00EF50AD">
        <w:rPr>
          <w:b/>
          <w:bCs/>
          <w:sz w:val="22"/>
          <w:lang w:val="en-US"/>
        </w:rPr>
        <w:t>itigating half-duplex issue in NR V2X groupcast NACK-only case regime</w:t>
      </w:r>
    </w:p>
    <w:p w14:paraId="5DB46AB5" w14:textId="1B99A760" w:rsidR="00EF50AD" w:rsidRPr="00695F74" w:rsidRDefault="00EF50AD"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Intel, Qualcomm</w:t>
      </w:r>
    </w:p>
    <w:p w14:paraId="6258DE56" w14:textId="65CC5611" w:rsidR="00FD444E" w:rsidRPr="00695F74" w:rsidRDefault="00FD444E"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13</w:t>
      </w:r>
      <w:r w:rsidRPr="00695F74">
        <w:rPr>
          <w:b/>
          <w:bCs/>
          <w:sz w:val="22"/>
          <w:lang w:val="en-US"/>
        </w:rPr>
        <w:t xml:space="preserve">: </w:t>
      </w:r>
      <w:r w:rsidRPr="00FD444E">
        <w:rPr>
          <w:b/>
          <w:bCs/>
          <w:sz w:val="22"/>
          <w:lang w:val="en-US"/>
        </w:rPr>
        <w:t>Support of 2 Tx codebook configuration to 4Tx capable UE in UL</w:t>
      </w:r>
    </w:p>
    <w:p w14:paraId="06566CD3" w14:textId="3AAEF556" w:rsidR="00FD444E" w:rsidRPr="00695F74" w:rsidRDefault="00FD444E"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sz w:val="22"/>
          <w:lang w:val="en-US"/>
        </w:rPr>
        <w:t>vivo, ZTE, CMCC, Samsung</w:t>
      </w:r>
    </w:p>
    <w:p w14:paraId="0C2895EB" w14:textId="77777777" w:rsidR="00695F74" w:rsidRPr="006D27B7" w:rsidRDefault="00695F74" w:rsidP="00695F74">
      <w:pPr>
        <w:spacing w:afterLines="50" w:after="120"/>
        <w:jc w:val="both"/>
        <w:rPr>
          <w:sz w:val="22"/>
          <w:lang w:val="en-US"/>
        </w:rPr>
      </w:pPr>
    </w:p>
    <w:p w14:paraId="4F8324EE" w14:textId="10D2671D" w:rsidR="00974662" w:rsidRDefault="00C61499" w:rsidP="002753B9">
      <w:pPr>
        <w:rPr>
          <w:bCs/>
        </w:rPr>
      </w:pPr>
      <w:r>
        <w:rPr>
          <w:rFonts w:hint="eastAsia"/>
          <w:bCs/>
        </w:rPr>
        <w:t>Detailed feedback/question</w:t>
      </w:r>
      <w:r>
        <w:rPr>
          <w:bCs/>
        </w:rPr>
        <w:t xml:space="preserve"> </w:t>
      </w:r>
      <w:r w:rsidR="006E230A">
        <w:rPr>
          <w:bCs/>
        </w:rPr>
        <w:t xml:space="preserve">on each TEI proposal </w:t>
      </w:r>
      <w:r>
        <w:rPr>
          <w:bCs/>
        </w:rPr>
        <w:t xml:space="preserve">can </w:t>
      </w:r>
      <w:proofErr w:type="spellStart"/>
      <w:r w:rsidR="00056262">
        <w:rPr>
          <w:bCs/>
        </w:rPr>
        <w:t>alo</w:t>
      </w:r>
      <w:proofErr w:type="spellEnd"/>
      <w:r w:rsidR="00056262">
        <w:rPr>
          <w:bCs/>
        </w:rPr>
        <w:t xml:space="preserve"> </w:t>
      </w:r>
      <w:r>
        <w:rPr>
          <w:bCs/>
        </w:rPr>
        <w:t>be provided in Section 2</w:t>
      </w:r>
      <w:r w:rsidR="008963D9">
        <w:rPr>
          <w:bCs/>
        </w:rPr>
        <w:t>.</w:t>
      </w:r>
    </w:p>
    <w:p w14:paraId="039D96AF" w14:textId="4FAA6BB9" w:rsidR="008963D9" w:rsidRDefault="008963D9" w:rsidP="002753B9">
      <w:pPr>
        <w:rPr>
          <w:bCs/>
        </w:rPr>
      </w:pPr>
    </w:p>
    <w:p w14:paraId="3EED815F" w14:textId="26BA9D8D" w:rsidR="001E42F9" w:rsidRDefault="001E42F9" w:rsidP="002753B9">
      <w:pPr>
        <w:rPr>
          <w:bCs/>
        </w:rPr>
      </w:pPr>
      <w:r>
        <w:rPr>
          <w:rFonts w:hint="eastAsia"/>
          <w:bCs/>
        </w:rPr>
        <w:t>P</w:t>
      </w:r>
      <w:r>
        <w:rPr>
          <w:bCs/>
        </w:rPr>
        <w:t>lease also note that as announced at the last RAN1 meeting, making any agreement on a particular TEI proposal in this quarter requires to complete all work including CRs for the TEI proposal within this quarter according to the TEI guidance B as shown in Appendix [12].</w:t>
      </w:r>
    </w:p>
    <w:p w14:paraId="0691EF57" w14:textId="279784D8" w:rsidR="001E42F9" w:rsidRDefault="001E42F9" w:rsidP="002753B9">
      <w:pPr>
        <w:rPr>
          <w:bCs/>
        </w:rPr>
      </w:pPr>
    </w:p>
    <w:p w14:paraId="7AD01AB2" w14:textId="77777777" w:rsidR="001E42F9" w:rsidRPr="00C61499" w:rsidRDefault="001E42F9" w:rsidP="002753B9">
      <w:pPr>
        <w:rPr>
          <w:bCs/>
        </w:rPr>
      </w:pPr>
    </w:p>
    <w:p w14:paraId="4C90FA50" w14:textId="77777777" w:rsidR="00C61499" w:rsidRDefault="00C61499" w:rsidP="002753B9">
      <w:pPr>
        <w:rPr>
          <w:b/>
        </w:rPr>
      </w:pPr>
    </w:p>
    <w:p w14:paraId="117360CF" w14:textId="1AA986FC" w:rsidR="00974662" w:rsidRPr="00E34C18" w:rsidRDefault="00974662"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B87C59">
        <w:rPr>
          <w:rFonts w:ascii="Arial" w:eastAsia="Batang" w:hAnsi="Arial"/>
          <w:sz w:val="32"/>
          <w:szCs w:val="32"/>
          <w:lang w:val="en-US" w:eastAsia="ko-KR"/>
        </w:rPr>
        <w:t>7</w:t>
      </w:r>
      <w:r>
        <w:rPr>
          <w:rFonts w:ascii="Arial" w:eastAsia="Batang" w:hAnsi="Arial"/>
          <w:sz w:val="32"/>
          <w:szCs w:val="32"/>
          <w:lang w:val="en-US" w:eastAsia="ko-KR"/>
        </w:rPr>
        <w:t xml:space="preserve"> NR TEI </w:t>
      </w:r>
      <w:r w:rsidR="00B87C59">
        <w:rPr>
          <w:rFonts w:ascii="Arial" w:eastAsia="Batang" w:hAnsi="Arial"/>
          <w:sz w:val="32"/>
          <w:szCs w:val="32"/>
          <w:lang w:val="en-US" w:eastAsia="ko-KR"/>
        </w:rPr>
        <w:t>proposals</w:t>
      </w:r>
    </w:p>
    <w:p w14:paraId="7315717C" w14:textId="77777777" w:rsidR="00974662" w:rsidRPr="00974662" w:rsidRDefault="00974662"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4E1E3B8" w14:textId="77777777" w:rsidR="00974662" w:rsidRPr="00974662" w:rsidRDefault="00974662"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863920D" w14:textId="4B667873" w:rsidR="00974662" w:rsidRPr="005953A0" w:rsidRDefault="00B87C59"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of NR codeword mapping</w:t>
      </w:r>
    </w:p>
    <w:p w14:paraId="0EE6C82E" w14:textId="15BB03BD" w:rsidR="00974662" w:rsidRDefault="00974662" w:rsidP="00974662">
      <w:pPr>
        <w:rPr>
          <w:rFonts w:eastAsia="MS Mincho" w:cs="Batang"/>
          <w:sz w:val="22"/>
          <w:szCs w:val="22"/>
        </w:rPr>
      </w:pPr>
      <w:r>
        <w:rPr>
          <w:rFonts w:eastAsia="MS Mincho" w:cs="Batang"/>
          <w:sz w:val="22"/>
          <w:szCs w:val="22"/>
        </w:rPr>
        <w:t xml:space="preserve">Following proposal </w:t>
      </w:r>
      <w:r w:rsidR="00B87C59">
        <w:rPr>
          <w:rFonts w:eastAsia="MS Mincho" w:cs="Batang"/>
          <w:sz w:val="22"/>
          <w:szCs w:val="22"/>
        </w:rPr>
        <w:t>is</w:t>
      </w:r>
      <w:r>
        <w:rPr>
          <w:rFonts w:eastAsia="MS Mincho" w:cs="Batang"/>
          <w:sz w:val="22"/>
          <w:szCs w:val="22"/>
        </w:rPr>
        <w:t xml:space="preserve"> made in </w:t>
      </w:r>
      <w:r w:rsidR="00B87C59">
        <w:rPr>
          <w:rFonts w:eastAsia="MS Mincho" w:cs="Batang"/>
          <w:sz w:val="22"/>
          <w:szCs w:val="22"/>
        </w:rPr>
        <w:t xml:space="preserve">the </w:t>
      </w:r>
      <w:r>
        <w:rPr>
          <w:rFonts w:eastAsia="MS Mincho" w:cs="Batang"/>
          <w:sz w:val="22"/>
          <w:szCs w:val="22"/>
        </w:rPr>
        <w:t>contribution</w:t>
      </w:r>
      <w:r w:rsidR="00B87C59">
        <w:rPr>
          <w:rFonts w:eastAsia="MS Mincho" w:cs="Batang"/>
          <w:sz w:val="22"/>
          <w:szCs w:val="22"/>
        </w:rPr>
        <w:t>.</w:t>
      </w:r>
    </w:p>
    <w:tbl>
      <w:tblPr>
        <w:tblStyle w:val="TableGrid"/>
        <w:tblW w:w="0" w:type="auto"/>
        <w:tblLook w:val="04A0" w:firstRow="1" w:lastRow="0" w:firstColumn="1" w:lastColumn="0" w:noHBand="0" w:noVBand="1"/>
      </w:tblPr>
      <w:tblGrid>
        <w:gridCol w:w="562"/>
        <w:gridCol w:w="9066"/>
      </w:tblGrid>
      <w:tr w:rsidR="00974662" w14:paraId="1246C2BC" w14:textId="77777777" w:rsidTr="00974662">
        <w:tc>
          <w:tcPr>
            <w:tcW w:w="562" w:type="dxa"/>
          </w:tcPr>
          <w:p w14:paraId="469A3CD1" w14:textId="2A245D22" w:rsidR="00974662" w:rsidRPr="0016792D" w:rsidRDefault="00B87C59" w:rsidP="00E70910">
            <w:pPr>
              <w:rPr>
                <w:rFonts w:ascii="Arial" w:eastAsia="MS Mincho" w:hAnsi="Arial"/>
                <w:sz w:val="22"/>
                <w:szCs w:val="22"/>
                <w:lang w:val="en-US"/>
              </w:rPr>
            </w:pPr>
            <w:r>
              <w:rPr>
                <w:rFonts w:ascii="Arial" w:eastAsia="MS Mincho" w:hAnsi="Arial" w:hint="eastAsia"/>
                <w:sz w:val="22"/>
                <w:szCs w:val="22"/>
                <w:lang w:val="en-US"/>
              </w:rPr>
              <w:t>[</w:t>
            </w:r>
            <w:r w:rsidR="006D27B7">
              <w:rPr>
                <w:rFonts w:ascii="Arial" w:eastAsia="MS Mincho" w:hAnsi="Arial"/>
                <w:sz w:val="22"/>
                <w:szCs w:val="22"/>
                <w:lang w:val="en-US"/>
              </w:rPr>
              <w:t>2</w:t>
            </w:r>
            <w:r>
              <w:rPr>
                <w:rFonts w:ascii="Arial" w:eastAsia="MS Mincho" w:hAnsi="Arial"/>
                <w:sz w:val="22"/>
                <w:szCs w:val="22"/>
                <w:lang w:val="en-US"/>
              </w:rPr>
              <w:t>]</w:t>
            </w:r>
          </w:p>
        </w:tc>
        <w:tc>
          <w:tcPr>
            <w:tcW w:w="9066" w:type="dxa"/>
          </w:tcPr>
          <w:p w14:paraId="1A7CA5EB" w14:textId="77777777" w:rsidR="00B87C59" w:rsidRDefault="00B87C59" w:rsidP="00B87C59">
            <w:pPr>
              <w:snapToGrid w:val="0"/>
              <w:spacing w:before="120" w:afterLines="50" w:after="120"/>
              <w:jc w:val="both"/>
              <w:rPr>
                <w:rFonts w:eastAsia="微软雅黑"/>
                <w:sz w:val="20"/>
                <w:lang w:val="en-US"/>
              </w:rPr>
            </w:pPr>
            <w:r>
              <w:rPr>
                <w:rFonts w:eastAsia="微软雅黑"/>
                <w:sz w:val="20"/>
              </w:rPr>
              <w:t xml:space="preserve">One difference between NR and LTE is layer-to-codeword mapping, where NR only supports 1 codeword (CW) but LTE can support 2 codewords in the case when the number of transmission layers is not larger than 4. </w:t>
            </w:r>
          </w:p>
          <w:p w14:paraId="3AF5F5FF" w14:textId="77777777" w:rsidR="00B87C59" w:rsidRDefault="00B87C59" w:rsidP="00B87C59">
            <w:pPr>
              <w:snapToGrid w:val="0"/>
              <w:spacing w:before="120" w:afterLines="50" w:after="120"/>
              <w:jc w:val="both"/>
              <w:rPr>
                <w:rFonts w:eastAsia="微软雅黑"/>
                <w:sz w:val="20"/>
              </w:rPr>
            </w:pPr>
            <w:r>
              <w:rPr>
                <w:rFonts w:eastAsia="微软雅黑"/>
                <w:sz w:val="20"/>
              </w:rPr>
              <w:t xml:space="preserve">Taking 2 layers as an example as shown in Figure 1, two layers can map to 2 CWs respectively in LTE, and independent MCS can be indicated to the two layers to match the potentially different channel conditions. In NR, in order to simplify implementation complexity, only 1 MCS can be indicated for the two layers no matter channel conditions are closed or different. However, some issues are identified in the real test of NR deployment. The NR performance is impacted by NR CW mapping in some cases when the SINR difference for the two layers are large. </w:t>
            </w:r>
          </w:p>
          <w:p w14:paraId="08EB185F" w14:textId="7EB897C0" w:rsidR="00B87C59" w:rsidRDefault="00B87C59" w:rsidP="00B87C59">
            <w:pPr>
              <w:snapToGrid w:val="0"/>
              <w:spacing w:before="120" w:afterLines="50" w:after="120"/>
              <w:jc w:val="center"/>
              <w:rPr>
                <w:rFonts w:eastAsia="宋体"/>
                <w:sz w:val="20"/>
              </w:rPr>
            </w:pPr>
            <w:r>
              <w:rPr>
                <w:noProof/>
                <w:sz w:val="20"/>
              </w:rPr>
              <w:drawing>
                <wp:inline distT="0" distB="0" distL="0" distR="0" wp14:anchorId="67E6C0BB" wp14:editId="4E85D13B">
                  <wp:extent cx="4943475" cy="192405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t="-917" r="6297"/>
                          <a:stretch>
                            <a:fillRect/>
                          </a:stretch>
                        </pic:blipFill>
                        <pic:spPr bwMode="auto">
                          <a:xfrm>
                            <a:off x="0" y="0"/>
                            <a:ext cx="4943475" cy="1924050"/>
                          </a:xfrm>
                          <a:prstGeom prst="rect">
                            <a:avLst/>
                          </a:prstGeom>
                          <a:noFill/>
                          <a:ln>
                            <a:noFill/>
                          </a:ln>
                        </pic:spPr>
                      </pic:pic>
                    </a:graphicData>
                  </a:graphic>
                </wp:inline>
              </w:drawing>
            </w:r>
          </w:p>
          <w:p w14:paraId="3E12BB18" w14:textId="77777777" w:rsidR="00B87C59" w:rsidRDefault="00B87C59" w:rsidP="00B87C59">
            <w:pPr>
              <w:snapToGrid w:val="0"/>
              <w:spacing w:before="120" w:afterLines="50" w:after="120"/>
              <w:jc w:val="center"/>
              <w:rPr>
                <w:sz w:val="20"/>
              </w:rPr>
            </w:pPr>
            <w:r>
              <w:rPr>
                <w:sz w:val="20"/>
              </w:rPr>
              <w:t>Figure 1 Comparison of CW mapping between LTE and NR</w:t>
            </w:r>
          </w:p>
          <w:p w14:paraId="043FB13E" w14:textId="1CE46FA3" w:rsidR="00B87C59" w:rsidRDefault="00B87C59" w:rsidP="00B87C59">
            <w:pPr>
              <w:rPr>
                <w:sz w:val="20"/>
              </w:rPr>
            </w:pPr>
            <w:r>
              <w:rPr>
                <w:sz w:val="20"/>
              </w:rPr>
              <w:t>~</w:t>
            </w:r>
          </w:p>
          <w:p w14:paraId="54D9E63A" w14:textId="77777777" w:rsidR="006D27B7" w:rsidRDefault="006D27B7" w:rsidP="006D27B7">
            <w:pPr>
              <w:snapToGrid w:val="0"/>
              <w:jc w:val="both"/>
              <w:rPr>
                <w:rFonts w:eastAsia="微软雅黑"/>
                <w:b/>
                <w:bCs/>
                <w:i/>
                <w:iCs/>
                <w:sz w:val="20"/>
                <w:lang w:val="en-US"/>
              </w:rPr>
            </w:pPr>
            <w:r>
              <w:rPr>
                <w:rFonts w:eastAsia="微软雅黑"/>
                <w:b/>
                <w:bCs/>
                <w:i/>
                <w:iCs/>
                <w:sz w:val="20"/>
              </w:rPr>
              <w:t xml:space="preserve">Observation 1: </w:t>
            </w:r>
            <w:r>
              <w:rPr>
                <w:rFonts w:eastAsia="微软雅黑"/>
                <w:i/>
                <w:iCs/>
                <w:sz w:val="20"/>
              </w:rPr>
              <w:t xml:space="preserve">In the real test position 1, the receiving power gap between the two layers is about 10 </w:t>
            </w:r>
            <w:proofErr w:type="spellStart"/>
            <w:r>
              <w:rPr>
                <w:rFonts w:eastAsia="微软雅黑"/>
                <w:i/>
                <w:iCs/>
                <w:sz w:val="20"/>
              </w:rPr>
              <w:t>dB.</w:t>
            </w:r>
            <w:proofErr w:type="spellEnd"/>
            <w:r>
              <w:rPr>
                <w:rFonts w:eastAsia="微软雅黑"/>
                <w:i/>
                <w:iCs/>
                <w:sz w:val="20"/>
              </w:rPr>
              <w:t xml:space="preserve"> The constellation </w:t>
            </w:r>
            <w:proofErr w:type="spellStart"/>
            <w:r>
              <w:rPr>
                <w:rFonts w:eastAsia="微软雅黑"/>
                <w:i/>
                <w:iCs/>
                <w:sz w:val="20"/>
              </w:rPr>
              <w:t>demapping</w:t>
            </w:r>
            <w:proofErr w:type="spellEnd"/>
            <w:r>
              <w:rPr>
                <w:rFonts w:eastAsia="微软雅黑"/>
                <w:i/>
                <w:iCs/>
                <w:sz w:val="20"/>
              </w:rPr>
              <w:t xml:space="preserve"> of the first layer is much better than that of the second layer in the case of rank 2 transmission.</w:t>
            </w:r>
          </w:p>
          <w:p w14:paraId="46622160" w14:textId="77777777" w:rsidR="006D27B7" w:rsidRDefault="006D27B7" w:rsidP="006D27B7">
            <w:pPr>
              <w:snapToGrid w:val="0"/>
              <w:jc w:val="both"/>
              <w:rPr>
                <w:rFonts w:eastAsia="微软雅黑"/>
                <w:i/>
                <w:iCs/>
                <w:sz w:val="20"/>
              </w:rPr>
            </w:pPr>
            <w:r>
              <w:rPr>
                <w:rFonts w:eastAsia="微软雅黑"/>
                <w:b/>
                <w:bCs/>
                <w:i/>
                <w:iCs/>
                <w:sz w:val="20"/>
              </w:rPr>
              <w:t xml:space="preserve">Observation 2: </w:t>
            </w:r>
            <w:r>
              <w:rPr>
                <w:rFonts w:eastAsia="微软雅黑"/>
                <w:i/>
                <w:iCs/>
                <w:sz w:val="20"/>
              </w:rPr>
              <w:t xml:space="preserve">In the real test position 2, the receiving power gap between the two layers is about 10 </w:t>
            </w:r>
            <w:proofErr w:type="spellStart"/>
            <w:r>
              <w:rPr>
                <w:rFonts w:eastAsia="微软雅黑"/>
                <w:i/>
                <w:iCs/>
                <w:sz w:val="20"/>
              </w:rPr>
              <w:t>dB.</w:t>
            </w:r>
            <w:proofErr w:type="spellEnd"/>
            <w:r>
              <w:rPr>
                <w:rFonts w:eastAsia="微软雅黑"/>
                <w:i/>
                <w:iCs/>
                <w:sz w:val="20"/>
              </w:rPr>
              <w:t xml:space="preserve"> The constellation </w:t>
            </w:r>
            <w:proofErr w:type="spellStart"/>
            <w:r>
              <w:rPr>
                <w:rFonts w:eastAsia="微软雅黑"/>
                <w:i/>
                <w:iCs/>
                <w:sz w:val="20"/>
              </w:rPr>
              <w:t>demapping</w:t>
            </w:r>
            <w:proofErr w:type="spellEnd"/>
            <w:r>
              <w:rPr>
                <w:rFonts w:eastAsia="微软雅黑"/>
                <w:i/>
                <w:iCs/>
                <w:sz w:val="20"/>
              </w:rPr>
              <w:t xml:space="preserve"> of the second layer is much better than that of the second layer in the case of rank 2 transmission.</w:t>
            </w:r>
          </w:p>
          <w:p w14:paraId="3DA745B4" w14:textId="77777777" w:rsidR="006D27B7" w:rsidRDefault="006D27B7" w:rsidP="006D27B7">
            <w:pPr>
              <w:snapToGrid w:val="0"/>
              <w:rPr>
                <w:rFonts w:eastAsia="微软雅黑"/>
                <w:i/>
                <w:iCs/>
                <w:sz w:val="20"/>
              </w:rPr>
            </w:pPr>
            <w:r>
              <w:rPr>
                <w:rFonts w:eastAsia="微软雅黑"/>
                <w:b/>
                <w:bCs/>
                <w:i/>
                <w:iCs/>
                <w:sz w:val="20"/>
              </w:rPr>
              <w:t xml:space="preserve">Observation 3: </w:t>
            </w:r>
            <w:r>
              <w:rPr>
                <w:rFonts w:eastAsia="微软雅黑"/>
                <w:i/>
                <w:iCs/>
                <w:sz w:val="20"/>
              </w:rPr>
              <w:t xml:space="preserve"> The SINR gap between two UL MIMO layers is often large in our test results e.g. larger than 10dB.  It is larger than what we observed in simulations possibly due to some practical differences e.g. inaccurate </w:t>
            </w:r>
            <w:proofErr w:type="spellStart"/>
            <w:r>
              <w:rPr>
                <w:rFonts w:eastAsia="微软雅黑"/>
                <w:i/>
                <w:iCs/>
                <w:sz w:val="20"/>
              </w:rPr>
              <w:t>modeling</w:t>
            </w:r>
            <w:proofErr w:type="spellEnd"/>
            <w:r>
              <w:rPr>
                <w:rFonts w:eastAsia="微软雅黑"/>
                <w:i/>
                <w:iCs/>
                <w:sz w:val="20"/>
              </w:rPr>
              <w:t xml:space="preserve"> of antenna placements in simulations, different blockage for different antennas, etc. </w:t>
            </w:r>
            <w:r>
              <w:rPr>
                <w:rFonts w:eastAsia="微软雅黑"/>
                <w:sz w:val="20"/>
              </w:rPr>
              <w:t xml:space="preserve">  </w:t>
            </w:r>
          </w:p>
          <w:p w14:paraId="5529DE76" w14:textId="77777777" w:rsidR="006D27B7" w:rsidRDefault="006D27B7" w:rsidP="006D27B7">
            <w:pPr>
              <w:snapToGrid w:val="0"/>
              <w:jc w:val="both"/>
              <w:rPr>
                <w:rFonts w:eastAsia="微软雅黑"/>
                <w:i/>
                <w:iCs/>
                <w:sz w:val="20"/>
              </w:rPr>
            </w:pPr>
            <w:r>
              <w:rPr>
                <w:rFonts w:eastAsia="微软雅黑"/>
                <w:b/>
                <w:bCs/>
                <w:i/>
                <w:iCs/>
                <w:sz w:val="20"/>
              </w:rPr>
              <w:t xml:space="preserve">Observation 4: </w:t>
            </w:r>
            <w:r>
              <w:rPr>
                <w:rFonts w:eastAsia="微软雅黑"/>
                <w:i/>
                <w:iCs/>
                <w:sz w:val="20"/>
              </w:rPr>
              <w:t xml:space="preserve">The current NR codeword mapping has limitations in some scenarios including the scenarios with </w:t>
            </w:r>
            <w:r>
              <w:rPr>
                <w:i/>
                <w:iCs/>
                <w:sz w:val="20"/>
              </w:rPr>
              <w:t>large receiving SINR gap for transmission layers, and TDD scenarios with heavy DL traffic.</w:t>
            </w:r>
          </w:p>
          <w:p w14:paraId="42482710" w14:textId="77777777" w:rsidR="006D27B7" w:rsidRDefault="006D27B7" w:rsidP="006D27B7">
            <w:pPr>
              <w:snapToGrid w:val="0"/>
              <w:jc w:val="both"/>
              <w:rPr>
                <w:rFonts w:eastAsia="微软雅黑"/>
                <w:i/>
                <w:iCs/>
                <w:sz w:val="20"/>
              </w:rPr>
            </w:pPr>
            <w:r>
              <w:rPr>
                <w:rFonts w:eastAsia="微软雅黑"/>
                <w:b/>
                <w:bCs/>
                <w:i/>
                <w:iCs/>
                <w:sz w:val="20"/>
              </w:rPr>
              <w:t>Observation 5:</w:t>
            </w:r>
            <w:r>
              <w:rPr>
                <w:rFonts w:eastAsia="微软雅黑"/>
                <w:i/>
                <w:iCs/>
                <w:sz w:val="20"/>
              </w:rPr>
              <w:t xml:space="preserve"> Based on the simulation results from both SLS and LLS, two TB/MCS can bring obvious performance gain than single TB/MCS for the case when receiving power gap is large between two layers.</w:t>
            </w:r>
          </w:p>
          <w:p w14:paraId="445C9668" w14:textId="77777777" w:rsidR="00B87C59" w:rsidRDefault="00B87C59" w:rsidP="00933ACC">
            <w:pPr>
              <w:rPr>
                <w:sz w:val="20"/>
              </w:rPr>
            </w:pPr>
            <w:r>
              <w:rPr>
                <w:sz w:val="20"/>
              </w:rPr>
              <w:t>~</w:t>
            </w:r>
          </w:p>
          <w:p w14:paraId="2BC54BA6" w14:textId="77777777" w:rsidR="006D27B7" w:rsidRDefault="006D27B7" w:rsidP="006D27B7">
            <w:pPr>
              <w:snapToGrid w:val="0"/>
              <w:jc w:val="both"/>
              <w:rPr>
                <w:rFonts w:eastAsia="宋体"/>
                <w:sz w:val="20"/>
                <w:lang w:val="en-US"/>
              </w:rPr>
            </w:pPr>
            <w:r>
              <w:rPr>
                <w:sz w:val="20"/>
              </w:rPr>
              <w:t xml:space="preserve">Based on the real test results from section 2.1 and 2.2, the analyses and simulation results in section 3, the performance and latency may be impacted due to the limitation of the current codeword mapping mechanism. </w:t>
            </w:r>
          </w:p>
          <w:p w14:paraId="4AF3F6BF" w14:textId="77777777" w:rsidR="006D27B7" w:rsidRPr="006D27B7" w:rsidRDefault="006D27B7" w:rsidP="006D27B7">
            <w:pPr>
              <w:widowControl w:val="0"/>
              <w:snapToGrid w:val="0"/>
              <w:spacing w:before="120" w:afterLines="50" w:after="120"/>
              <w:jc w:val="both"/>
              <w:rPr>
                <w:sz w:val="20"/>
              </w:rPr>
            </w:pPr>
            <w:r w:rsidRPr="006D27B7">
              <w:rPr>
                <w:sz w:val="20"/>
              </w:rPr>
              <w:t>To address the issues mentioned in above sections, we propose to support 2 codewords with 2 MCS for rank 2-4 uplink transmission, i.e. LTE-like CW mapping. Since the aforementioned issues reflect the urgent requirement of NR products, and the relevant solution does not need much spec effort, we suggest to discuss them in Rel-17 TEI agenda.</w:t>
            </w:r>
          </w:p>
          <w:p w14:paraId="0C4DD641" w14:textId="77777777" w:rsidR="006D27B7" w:rsidRPr="006D27B7" w:rsidRDefault="006D27B7" w:rsidP="006D27B7">
            <w:pPr>
              <w:widowControl w:val="0"/>
              <w:snapToGrid w:val="0"/>
              <w:spacing w:before="120" w:afterLines="50" w:after="120"/>
              <w:jc w:val="both"/>
              <w:rPr>
                <w:rFonts w:eastAsia="MS Mincho"/>
                <w:b/>
                <w:bCs/>
                <w:i/>
                <w:iCs/>
                <w:sz w:val="20"/>
              </w:rPr>
            </w:pPr>
          </w:p>
          <w:p w14:paraId="798F874E" w14:textId="3753B974" w:rsidR="00B87C59" w:rsidRPr="006D27B7" w:rsidRDefault="006D27B7" w:rsidP="006D27B7">
            <w:pPr>
              <w:widowControl w:val="0"/>
              <w:snapToGrid w:val="0"/>
              <w:spacing w:before="120" w:afterLines="50" w:after="120"/>
              <w:jc w:val="both"/>
              <w:rPr>
                <w:rFonts w:eastAsia="微软雅黑"/>
                <w:i/>
                <w:iCs/>
                <w:sz w:val="20"/>
              </w:rPr>
            </w:pPr>
            <w:r w:rsidRPr="006D27B7">
              <w:rPr>
                <w:rFonts w:eastAsia="微软雅黑"/>
                <w:b/>
                <w:bCs/>
                <w:i/>
                <w:iCs/>
                <w:sz w:val="20"/>
              </w:rPr>
              <w:t>Proposal:</w:t>
            </w:r>
            <w:r w:rsidRPr="006D27B7">
              <w:rPr>
                <w:rFonts w:eastAsia="微软雅黑"/>
                <w:sz w:val="20"/>
              </w:rPr>
              <w:t xml:space="preserve"> </w:t>
            </w:r>
            <w:r w:rsidRPr="006D27B7">
              <w:rPr>
                <w:rFonts w:eastAsia="微软雅黑"/>
                <w:i/>
                <w:iCs/>
                <w:sz w:val="20"/>
              </w:rPr>
              <w:t>Support 2 codewords with 2 MCS for rank 2-4 uplink transmission (i.e. LTE-like CW mapping)</w:t>
            </w:r>
          </w:p>
        </w:tc>
      </w:tr>
    </w:tbl>
    <w:p w14:paraId="3FA96277" w14:textId="77777777" w:rsidR="00974662" w:rsidRDefault="00974662" w:rsidP="00974662">
      <w:pPr>
        <w:rPr>
          <w:rFonts w:ascii="Arial" w:eastAsia="Batang" w:hAnsi="Arial"/>
          <w:sz w:val="32"/>
          <w:szCs w:val="32"/>
          <w:lang w:val="en-US" w:eastAsia="ko-KR"/>
        </w:rPr>
      </w:pPr>
    </w:p>
    <w:p w14:paraId="60334399" w14:textId="678523E9" w:rsidR="00974662" w:rsidRDefault="00974662" w:rsidP="00974662">
      <w:pPr>
        <w:rPr>
          <w:rFonts w:eastAsia="MS Mincho" w:cs="Batang"/>
          <w:sz w:val="22"/>
          <w:szCs w:val="22"/>
        </w:rPr>
      </w:pPr>
      <w:r>
        <w:rPr>
          <w:rFonts w:eastAsia="MS Mincho" w:cs="Batang"/>
          <w:sz w:val="22"/>
          <w:szCs w:val="22"/>
        </w:rPr>
        <w:t xml:space="preserve">Based on the above </w:t>
      </w:r>
      <w:r w:rsidR="00E209FD">
        <w:rPr>
          <w:rFonts w:eastAsia="MS Mincho" w:cs="Batang"/>
          <w:sz w:val="22"/>
          <w:szCs w:val="22"/>
        </w:rPr>
        <w:t>contribution</w:t>
      </w:r>
      <w:r>
        <w:rPr>
          <w:rFonts w:eastAsia="MS Mincho" w:cs="Batang"/>
          <w:sz w:val="22"/>
          <w:szCs w:val="22"/>
        </w:rPr>
        <w:t xml:space="preserve">, following </w:t>
      </w:r>
      <w:r w:rsidR="00E209FD">
        <w:rPr>
          <w:rFonts w:eastAsia="MS Mincho" w:cs="Batang"/>
          <w:sz w:val="22"/>
          <w:szCs w:val="22"/>
        </w:rPr>
        <w:t>TEI proposal</w:t>
      </w:r>
      <w:r>
        <w:rPr>
          <w:rFonts w:eastAsia="MS Mincho" w:cs="Batang"/>
          <w:sz w:val="22"/>
          <w:szCs w:val="22"/>
        </w:rPr>
        <w:t xml:space="preserve"> can be discussed in RAN1#10</w:t>
      </w:r>
      <w:r w:rsidR="002801C1">
        <w:rPr>
          <w:rFonts w:eastAsia="MS Mincho" w:cs="Batang"/>
          <w:sz w:val="22"/>
          <w:szCs w:val="22"/>
        </w:rPr>
        <w:t>5</w:t>
      </w:r>
      <w:r>
        <w:rPr>
          <w:rFonts w:eastAsia="MS Mincho" w:cs="Batang"/>
          <w:sz w:val="22"/>
          <w:szCs w:val="22"/>
        </w:rPr>
        <w:t>-e meeting.</w:t>
      </w:r>
    </w:p>
    <w:p w14:paraId="29B532A7" w14:textId="77777777" w:rsidR="00974662" w:rsidRDefault="00974662" w:rsidP="00974662">
      <w:pPr>
        <w:rPr>
          <w:rFonts w:ascii="Arial" w:eastAsia="MS Mincho" w:hAnsi="Arial"/>
          <w:sz w:val="32"/>
          <w:szCs w:val="32"/>
        </w:rPr>
      </w:pPr>
    </w:p>
    <w:p w14:paraId="276503FD" w14:textId="2D2A9B60" w:rsidR="00974662" w:rsidRPr="00AD5375" w:rsidRDefault="00E209FD" w:rsidP="00974662">
      <w:pPr>
        <w:pStyle w:val="Heading3"/>
        <w:rPr>
          <w:rFonts w:eastAsia="MS Mincho" w:cs="Batang"/>
          <w:b/>
          <w:bCs/>
          <w:sz w:val="22"/>
          <w:szCs w:val="22"/>
        </w:rPr>
      </w:pPr>
      <w:r>
        <w:rPr>
          <w:rFonts w:eastAsia="MS Mincho" w:cs="Batang"/>
          <w:b/>
          <w:bCs/>
          <w:sz w:val="22"/>
          <w:szCs w:val="22"/>
        </w:rPr>
        <w:t>TEI proposal</w:t>
      </w:r>
      <w:r w:rsidR="00974662" w:rsidRPr="00AD5375">
        <w:rPr>
          <w:rFonts w:eastAsia="MS Mincho" w:cs="Batang"/>
          <w:b/>
          <w:bCs/>
          <w:sz w:val="22"/>
          <w:szCs w:val="22"/>
        </w:rPr>
        <w:t xml:space="preserve"> #</w:t>
      </w:r>
      <w:r w:rsidR="00974662">
        <w:rPr>
          <w:rFonts w:eastAsia="MS Mincho" w:cs="Batang"/>
          <w:b/>
          <w:bCs/>
          <w:sz w:val="22"/>
          <w:szCs w:val="22"/>
        </w:rPr>
        <w:t>1</w:t>
      </w:r>
    </w:p>
    <w:p w14:paraId="4E50EBD0" w14:textId="5B691A59" w:rsidR="00974662" w:rsidRDefault="006D27B7" w:rsidP="006D27B7">
      <w:pPr>
        <w:pStyle w:val="ListParagraph"/>
        <w:numPr>
          <w:ilvl w:val="0"/>
          <w:numId w:val="13"/>
        </w:numPr>
        <w:ind w:leftChars="0"/>
        <w:rPr>
          <w:b/>
        </w:rPr>
      </w:pPr>
      <w:r w:rsidRPr="006D27B7">
        <w:rPr>
          <w:rFonts w:eastAsia="MS Mincho" w:cs="Batang"/>
          <w:b/>
          <w:bCs/>
          <w:sz w:val="22"/>
          <w:szCs w:val="22"/>
        </w:rPr>
        <w:t>Support 2 codewords with 2 MCS for rank 2-4 uplink transmission (i.e. LTE-like CW mapping)</w:t>
      </w:r>
    </w:p>
    <w:p w14:paraId="19EA099C" w14:textId="77777777" w:rsidR="006D27B7" w:rsidRDefault="006D27B7" w:rsidP="006E230A">
      <w:pPr>
        <w:rPr>
          <w:rFonts w:eastAsia="MS Mincho" w:cs="Batang"/>
          <w:sz w:val="22"/>
          <w:szCs w:val="22"/>
        </w:rPr>
      </w:pPr>
    </w:p>
    <w:p w14:paraId="0917A9D9" w14:textId="55BA4D18"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6D27B7" w:rsidRPr="006D27B7">
        <w:rPr>
          <w:rFonts w:eastAsia="MS Mincho" w:cs="Batang"/>
          <w:sz w:val="22"/>
          <w:szCs w:val="22"/>
        </w:rPr>
        <w:t xml:space="preserve">ZTE, CMCC, China Telecom, China Unicom, SoftBank, NTT DOCOMO, </w:t>
      </w:r>
      <w:proofErr w:type="spellStart"/>
      <w:r w:rsidR="006D27B7" w:rsidRPr="006D27B7">
        <w:rPr>
          <w:rFonts w:eastAsia="MS Mincho" w:cs="Batang"/>
          <w:sz w:val="22"/>
          <w:szCs w:val="22"/>
        </w:rPr>
        <w:t>Sanechips</w:t>
      </w:r>
      <w:proofErr w:type="spellEnd"/>
      <w:r w:rsidR="006D27B7" w:rsidRPr="006D27B7">
        <w:rPr>
          <w:rFonts w:eastAsia="MS Mincho" w:cs="Batang"/>
          <w:sz w:val="22"/>
          <w:szCs w:val="22"/>
        </w:rPr>
        <w:t>, vivo</w:t>
      </w:r>
      <w:r>
        <w:rPr>
          <w:rFonts w:eastAsia="MS Mincho" w:cs="Batang"/>
          <w:sz w:val="22"/>
          <w:szCs w:val="22"/>
        </w:rPr>
        <w:t>.</w:t>
      </w:r>
    </w:p>
    <w:p w14:paraId="11DAF9CD" w14:textId="2652A205"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5320A54A" w14:textId="77777777" w:rsidTr="002A60E6">
        <w:tc>
          <w:tcPr>
            <w:tcW w:w="1945" w:type="dxa"/>
            <w:shd w:val="clear" w:color="auto" w:fill="F2F2F2" w:themeFill="background1" w:themeFillShade="F2"/>
          </w:tcPr>
          <w:p w14:paraId="18ADDF27"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1569F0D"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361B6437" w14:textId="77777777" w:rsidTr="002A60E6">
        <w:tc>
          <w:tcPr>
            <w:tcW w:w="1945" w:type="dxa"/>
          </w:tcPr>
          <w:p w14:paraId="2671F37B" w14:textId="77777777" w:rsidR="00E209FD" w:rsidRDefault="00E209FD" w:rsidP="002A60E6">
            <w:pPr>
              <w:spacing w:afterLines="50" w:after="120"/>
              <w:jc w:val="both"/>
              <w:rPr>
                <w:sz w:val="22"/>
                <w:lang w:val="en-US"/>
              </w:rPr>
            </w:pPr>
          </w:p>
        </w:tc>
        <w:tc>
          <w:tcPr>
            <w:tcW w:w="7683" w:type="dxa"/>
          </w:tcPr>
          <w:p w14:paraId="7C96893A" w14:textId="77777777" w:rsidR="00E209FD" w:rsidRDefault="00E209FD" w:rsidP="002A60E6">
            <w:pPr>
              <w:spacing w:afterLines="50" w:after="120"/>
              <w:jc w:val="both"/>
              <w:rPr>
                <w:sz w:val="22"/>
                <w:lang w:val="en-US"/>
              </w:rPr>
            </w:pPr>
          </w:p>
        </w:tc>
      </w:tr>
      <w:tr w:rsidR="00E209FD" w14:paraId="5E848DE1" w14:textId="77777777" w:rsidTr="002A60E6">
        <w:tc>
          <w:tcPr>
            <w:tcW w:w="1945" w:type="dxa"/>
          </w:tcPr>
          <w:p w14:paraId="53E06C6B" w14:textId="77777777" w:rsidR="00E209FD" w:rsidRDefault="00E209FD" w:rsidP="002A60E6">
            <w:pPr>
              <w:spacing w:afterLines="50" w:after="120"/>
              <w:jc w:val="both"/>
              <w:rPr>
                <w:sz w:val="22"/>
                <w:lang w:val="en-US"/>
              </w:rPr>
            </w:pPr>
          </w:p>
        </w:tc>
        <w:tc>
          <w:tcPr>
            <w:tcW w:w="7683" w:type="dxa"/>
          </w:tcPr>
          <w:p w14:paraId="63AC27ED" w14:textId="77777777" w:rsidR="00E209FD" w:rsidRPr="00F740AD" w:rsidRDefault="00E209FD" w:rsidP="002A60E6">
            <w:pPr>
              <w:spacing w:afterLines="50" w:after="120"/>
              <w:jc w:val="both"/>
              <w:rPr>
                <w:sz w:val="22"/>
                <w:lang w:val="en-US"/>
              </w:rPr>
            </w:pPr>
          </w:p>
        </w:tc>
      </w:tr>
      <w:tr w:rsidR="00E209FD" w14:paraId="313C15AC" w14:textId="77777777" w:rsidTr="002A60E6">
        <w:tc>
          <w:tcPr>
            <w:tcW w:w="1945" w:type="dxa"/>
          </w:tcPr>
          <w:p w14:paraId="1E43E854" w14:textId="77777777" w:rsidR="00E209FD" w:rsidRDefault="00E209FD" w:rsidP="002A60E6">
            <w:pPr>
              <w:spacing w:afterLines="50" w:after="120"/>
              <w:jc w:val="both"/>
              <w:rPr>
                <w:sz w:val="22"/>
                <w:lang w:val="en-US"/>
              </w:rPr>
            </w:pPr>
          </w:p>
        </w:tc>
        <w:tc>
          <w:tcPr>
            <w:tcW w:w="7683" w:type="dxa"/>
          </w:tcPr>
          <w:p w14:paraId="2E348E19" w14:textId="77777777" w:rsidR="00E209FD" w:rsidRPr="00F740AD" w:rsidRDefault="00E209FD" w:rsidP="002A60E6">
            <w:pPr>
              <w:spacing w:afterLines="50" w:after="120"/>
              <w:jc w:val="both"/>
              <w:rPr>
                <w:sz w:val="22"/>
                <w:lang w:val="en-US"/>
              </w:rPr>
            </w:pPr>
          </w:p>
        </w:tc>
      </w:tr>
    </w:tbl>
    <w:p w14:paraId="691830FD" w14:textId="77777777" w:rsidR="00E209FD" w:rsidRPr="00802399" w:rsidRDefault="00E209FD" w:rsidP="00E209FD">
      <w:pPr>
        <w:rPr>
          <w:b/>
        </w:rPr>
      </w:pPr>
    </w:p>
    <w:p w14:paraId="571D15D2" w14:textId="77777777" w:rsidR="00E209FD" w:rsidRPr="00974662" w:rsidRDefault="00E209FD" w:rsidP="002753B9">
      <w:pPr>
        <w:rPr>
          <w:b/>
        </w:rPr>
      </w:pPr>
    </w:p>
    <w:p w14:paraId="06E225B3" w14:textId="6DA646C1" w:rsidR="001C4576" w:rsidRDefault="001C4576" w:rsidP="002753B9">
      <w:pPr>
        <w:rPr>
          <w:b/>
        </w:rPr>
      </w:pPr>
    </w:p>
    <w:p w14:paraId="1B6CE8D8" w14:textId="3FA4DB72" w:rsidR="00854F9D" w:rsidRPr="005953A0" w:rsidRDefault="00E209FD"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I</w:t>
      </w:r>
      <w:r w:rsidRPr="00E209FD">
        <w:rPr>
          <w:rFonts w:ascii="Arial" w:eastAsia="Batang" w:hAnsi="Arial"/>
          <w:sz w:val="28"/>
          <w:szCs w:val="32"/>
          <w:lang w:val="en-US" w:eastAsia="ko-KR"/>
        </w:rPr>
        <w:t>mproved Frequency-Domain Interleaving</w:t>
      </w:r>
    </w:p>
    <w:p w14:paraId="3C2D633C" w14:textId="12D77524" w:rsidR="00854F9D" w:rsidRDefault="00854F9D" w:rsidP="00854F9D">
      <w:pPr>
        <w:rPr>
          <w:rFonts w:eastAsia="MS Mincho" w:cs="Batang"/>
          <w:sz w:val="22"/>
          <w:szCs w:val="22"/>
        </w:rPr>
      </w:pPr>
      <w:r>
        <w:rPr>
          <w:rFonts w:eastAsia="MS Mincho" w:cs="Batang"/>
          <w:sz w:val="22"/>
          <w:szCs w:val="22"/>
        </w:rPr>
        <w:t xml:space="preserve">Following proposal </w:t>
      </w:r>
      <w:r w:rsidR="00E209FD">
        <w:rPr>
          <w:rFonts w:eastAsia="MS Mincho" w:cs="Batang"/>
          <w:sz w:val="22"/>
          <w:szCs w:val="22"/>
        </w:rPr>
        <w:t>is</w:t>
      </w:r>
      <w:r>
        <w:rPr>
          <w:rFonts w:eastAsia="MS Mincho" w:cs="Batang"/>
          <w:sz w:val="22"/>
          <w:szCs w:val="22"/>
        </w:rPr>
        <w:t xml:space="preserve"> made in </w:t>
      </w:r>
      <w:r w:rsidR="00E209FD">
        <w:rPr>
          <w:rFonts w:eastAsia="MS Mincho" w:cs="Batang"/>
          <w:sz w:val="22"/>
          <w:szCs w:val="22"/>
        </w:rPr>
        <w:t xml:space="preserve">the </w:t>
      </w:r>
      <w:r>
        <w:rPr>
          <w:rFonts w:eastAsia="MS Mincho" w:cs="Batang"/>
          <w:sz w:val="22"/>
          <w:szCs w:val="22"/>
        </w:rPr>
        <w:t>contribution.</w:t>
      </w:r>
    </w:p>
    <w:tbl>
      <w:tblPr>
        <w:tblStyle w:val="TableGrid"/>
        <w:tblW w:w="0" w:type="auto"/>
        <w:tblLook w:val="04A0" w:firstRow="1" w:lastRow="0" w:firstColumn="1" w:lastColumn="0" w:noHBand="0" w:noVBand="1"/>
      </w:tblPr>
      <w:tblGrid>
        <w:gridCol w:w="562"/>
        <w:gridCol w:w="9066"/>
      </w:tblGrid>
      <w:tr w:rsidR="00854F9D" w14:paraId="6A95D48C" w14:textId="77777777" w:rsidTr="000B2379">
        <w:tc>
          <w:tcPr>
            <w:tcW w:w="562" w:type="dxa"/>
          </w:tcPr>
          <w:p w14:paraId="3444DA8D" w14:textId="50A70693" w:rsidR="00854F9D" w:rsidRPr="0016792D" w:rsidRDefault="00E209FD" w:rsidP="000B2379">
            <w:pPr>
              <w:rPr>
                <w:rFonts w:ascii="Arial" w:eastAsia="MS Mincho" w:hAnsi="Arial"/>
                <w:sz w:val="22"/>
                <w:szCs w:val="22"/>
                <w:lang w:val="en-US"/>
              </w:rPr>
            </w:pPr>
            <w:r>
              <w:rPr>
                <w:rFonts w:ascii="Arial" w:eastAsia="MS Mincho" w:hAnsi="Arial" w:hint="eastAsia"/>
                <w:sz w:val="22"/>
                <w:szCs w:val="22"/>
                <w:lang w:val="en-US"/>
              </w:rPr>
              <w:t>[</w:t>
            </w:r>
            <w:r w:rsidR="005161D7">
              <w:rPr>
                <w:rFonts w:ascii="Arial" w:eastAsia="MS Mincho" w:hAnsi="Arial"/>
                <w:sz w:val="22"/>
                <w:szCs w:val="22"/>
                <w:lang w:val="en-US"/>
              </w:rPr>
              <w:t>3</w:t>
            </w:r>
            <w:r>
              <w:rPr>
                <w:rFonts w:ascii="Arial" w:eastAsia="MS Mincho" w:hAnsi="Arial"/>
                <w:sz w:val="22"/>
                <w:szCs w:val="22"/>
                <w:lang w:val="en-US"/>
              </w:rPr>
              <w:t>]</w:t>
            </w:r>
          </w:p>
        </w:tc>
        <w:tc>
          <w:tcPr>
            <w:tcW w:w="9066" w:type="dxa"/>
          </w:tcPr>
          <w:p w14:paraId="08D36D25" w14:textId="77777777" w:rsidR="005161D7" w:rsidRDefault="005161D7" w:rsidP="005161D7">
            <w:pPr>
              <w:jc w:val="both"/>
              <w:rPr>
                <w:rFonts w:eastAsia="宋体"/>
                <w:sz w:val="22"/>
                <w:lang w:val="en-US"/>
              </w:rPr>
            </w:pPr>
            <w:r>
              <w:t xml:space="preserve">Starting from NR Rel-15, it was identified that at large BWs and high data rates and high rank, several </w:t>
            </w:r>
            <w:proofErr w:type="spellStart"/>
            <w:r>
              <w:t>codeblocks</w:t>
            </w:r>
            <w:proofErr w:type="spellEnd"/>
            <w:r>
              <w:t xml:space="preserve"> (~12) can be mapped onto any single OFDM symbol. When this happens, even though interleaving exists within any given code block, the frequency diversity of each </w:t>
            </w:r>
            <w:proofErr w:type="spellStart"/>
            <w:r>
              <w:t>codeblock</w:t>
            </w:r>
            <w:proofErr w:type="spellEnd"/>
            <w:r>
              <w:t xml:space="preserve"> can be relatively small since each CB occupies only a small set of PRBs. VRB-to-PRB interleaved mapping was introduced to distribute </w:t>
            </w:r>
            <w:proofErr w:type="spellStart"/>
            <w:r>
              <w:t>codeblocks</w:t>
            </w:r>
            <w:proofErr w:type="spellEnd"/>
            <w:r>
              <w:t xml:space="preserve"> across frequency. </w:t>
            </w:r>
          </w:p>
          <w:p w14:paraId="320ED61F" w14:textId="3A754242" w:rsidR="005161D7" w:rsidRDefault="005161D7" w:rsidP="005161D7">
            <w:pPr>
              <w:jc w:val="center"/>
              <w:rPr>
                <w:sz w:val="20"/>
              </w:rPr>
            </w:pPr>
            <w:r>
              <w:rPr>
                <w:noProof/>
                <w:sz w:val="20"/>
              </w:rPr>
              <w:drawing>
                <wp:inline distT="0" distB="0" distL="0" distR="0" wp14:anchorId="73A4801A" wp14:editId="4B2DE349">
                  <wp:extent cx="2124075" cy="14573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4075" cy="1457325"/>
                          </a:xfrm>
                          <a:prstGeom prst="rect">
                            <a:avLst/>
                          </a:prstGeom>
                          <a:noFill/>
                          <a:ln>
                            <a:noFill/>
                          </a:ln>
                        </pic:spPr>
                      </pic:pic>
                    </a:graphicData>
                  </a:graphic>
                </wp:inline>
              </w:drawing>
            </w:r>
          </w:p>
          <w:p w14:paraId="7E392725" w14:textId="77777777" w:rsidR="005161D7" w:rsidRDefault="005161D7" w:rsidP="005161D7">
            <w:pPr>
              <w:spacing w:after="0"/>
              <w:jc w:val="both"/>
              <w:rPr>
                <w:sz w:val="22"/>
                <w:szCs w:val="22"/>
              </w:rPr>
            </w:pPr>
            <w:r>
              <w:t>Unfortunately, several limitations of the NR Rel-15 VRB-to-PRB solution were identified in practice:</w:t>
            </w:r>
          </w:p>
          <w:p w14:paraId="719FA602" w14:textId="77777777" w:rsidR="005161D7" w:rsidRDefault="005161D7" w:rsidP="00B650B3">
            <w:pPr>
              <w:pStyle w:val="ListParagraph"/>
              <w:numPr>
                <w:ilvl w:val="0"/>
                <w:numId w:val="19"/>
              </w:numPr>
              <w:spacing w:after="0" w:line="276" w:lineRule="auto"/>
              <w:ind w:leftChars="0"/>
              <w:jc w:val="both"/>
            </w:pPr>
            <w:r>
              <w:t xml:space="preserve">Small performance gains are observed since CBs are only distributed along two sub-bands that are diverse in frequency. Much larger gains can be achieved with higher-depth </w:t>
            </w:r>
            <w:proofErr w:type="spellStart"/>
            <w:r>
              <w:t>interleavers</w:t>
            </w:r>
            <w:proofErr w:type="spellEnd"/>
            <w:r>
              <w:t xml:space="preserve"> having more diversity. </w:t>
            </w:r>
          </w:p>
          <w:p w14:paraId="14B08667" w14:textId="77777777" w:rsidR="005161D7" w:rsidRDefault="005161D7" w:rsidP="00B650B3">
            <w:pPr>
              <w:pStyle w:val="ListParagraph"/>
              <w:numPr>
                <w:ilvl w:val="0"/>
                <w:numId w:val="19"/>
              </w:numPr>
              <w:spacing w:after="0" w:line="276" w:lineRule="auto"/>
              <w:ind w:leftChars="0"/>
              <w:jc w:val="both"/>
            </w:pPr>
            <w:r>
              <w:t xml:space="preserve">VRB-to-PRB interleaved mapping is happening within the BWP and not within the UE’s scheduled allocation which limits the ability to multiplex UE’s with different BWP configurations. VRB-to-PRB mapping may preclude coexistence of different UE’s with BWP switching for power savings. </w:t>
            </w:r>
          </w:p>
          <w:p w14:paraId="5320D1A4" w14:textId="77777777" w:rsidR="005161D7" w:rsidRDefault="005161D7" w:rsidP="00B650B3">
            <w:pPr>
              <w:pStyle w:val="ListParagraph"/>
              <w:numPr>
                <w:ilvl w:val="0"/>
                <w:numId w:val="19"/>
              </w:numPr>
              <w:spacing w:after="0" w:line="276" w:lineRule="auto"/>
              <w:ind w:leftChars="0"/>
              <w:jc w:val="both"/>
            </w:pPr>
            <w:r>
              <w:t>There is no mode of CSI reporting which assumes VRB-To-PRB interleaved mapping, while dynamic switching between the interleaved and non-interleaved mapping is specified. The scheduler does not have an indication from the UE whether, in any given conditions, it will be beneficial to dynamically switch ON/OFF the interleaved mapping.</w:t>
            </w:r>
          </w:p>
          <w:p w14:paraId="2D177192" w14:textId="77777777" w:rsidR="005161D7" w:rsidRDefault="005161D7" w:rsidP="005161D7">
            <w:pPr>
              <w:spacing w:after="0"/>
              <w:jc w:val="both"/>
              <w:rPr>
                <w:sz w:val="20"/>
              </w:rPr>
            </w:pPr>
          </w:p>
          <w:p w14:paraId="776CC494" w14:textId="77777777" w:rsidR="005161D7" w:rsidRDefault="005161D7" w:rsidP="005161D7">
            <w:pPr>
              <w:spacing w:after="0"/>
              <w:jc w:val="both"/>
              <w:rPr>
                <w:sz w:val="22"/>
                <w:szCs w:val="22"/>
              </w:rPr>
            </w:pPr>
            <w:r>
              <w:t xml:space="preserve">As a simple simulation example, we consider the case of high throughput / high spectral efficiency (where the interleaving was supposed to provide most of the gains):  Rank 4, 100MHz BW, 30kHz SCS, TDL-A 30 </w:t>
            </w:r>
            <w:proofErr w:type="spellStart"/>
            <w:r>
              <w:t>nsec</w:t>
            </w:r>
            <w:proofErr w:type="spellEnd"/>
            <w:r>
              <w:t xml:space="preserve"> with MCS 13, 19 which correspond to the following cases:</w:t>
            </w:r>
          </w:p>
          <w:p w14:paraId="22BE5A1A" w14:textId="77777777" w:rsidR="005161D7" w:rsidRDefault="005161D7" w:rsidP="005161D7">
            <w:pPr>
              <w:spacing w:after="0"/>
              <w:jc w:val="both"/>
            </w:pPr>
          </w:p>
          <w:tbl>
            <w:tblPr>
              <w:tblW w:w="8340" w:type="dxa"/>
              <w:jc w:val="center"/>
              <w:tblCellMar>
                <w:left w:w="0" w:type="dxa"/>
                <w:right w:w="0" w:type="dxa"/>
              </w:tblCellMar>
              <w:tblLook w:val="04A0" w:firstRow="1" w:lastRow="0" w:firstColumn="1" w:lastColumn="0" w:noHBand="0" w:noVBand="1"/>
            </w:tblPr>
            <w:tblGrid>
              <w:gridCol w:w="1227"/>
              <w:gridCol w:w="1527"/>
              <w:gridCol w:w="1916"/>
              <w:gridCol w:w="1138"/>
              <w:gridCol w:w="2532"/>
            </w:tblGrid>
            <w:tr w:rsidR="005161D7" w14:paraId="61BE6F77" w14:textId="77777777" w:rsidTr="005161D7">
              <w:trPr>
                <w:trHeight w:val="22"/>
                <w:jc w:val="center"/>
              </w:trPr>
              <w:tc>
                <w:tcPr>
                  <w:tcW w:w="12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B93667E" w14:textId="77777777" w:rsidR="005161D7" w:rsidRDefault="005161D7" w:rsidP="005161D7">
                  <w:pPr>
                    <w:jc w:val="center"/>
                  </w:pPr>
                  <w:r>
                    <w:rPr>
                      <w:b/>
                      <w:bCs/>
                    </w:rPr>
                    <w:t>MCS</w:t>
                  </w:r>
                </w:p>
              </w:tc>
              <w:tc>
                <w:tcPr>
                  <w:tcW w:w="15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CFE1D0" w14:textId="77777777" w:rsidR="005161D7" w:rsidRDefault="005161D7" w:rsidP="005161D7">
                  <w:pPr>
                    <w:jc w:val="center"/>
                  </w:pPr>
                  <w:r>
                    <w:rPr>
                      <w:b/>
                      <w:bCs/>
                    </w:rPr>
                    <w:t>Rate</w:t>
                  </w:r>
                </w:p>
              </w:tc>
              <w:tc>
                <w:tcPr>
                  <w:tcW w:w="1916"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216D416" w14:textId="77777777" w:rsidR="005161D7" w:rsidRDefault="005161D7" w:rsidP="005161D7">
                  <w:pPr>
                    <w:jc w:val="center"/>
                  </w:pPr>
                  <w:r>
                    <w:rPr>
                      <w:b/>
                      <w:bCs/>
                    </w:rPr>
                    <w:t>Modulation Order</w:t>
                  </w:r>
                </w:p>
              </w:tc>
              <w:tc>
                <w:tcPr>
                  <w:tcW w:w="1138"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D31C91" w14:textId="77777777" w:rsidR="005161D7" w:rsidRDefault="005161D7" w:rsidP="005161D7">
                  <w:pPr>
                    <w:jc w:val="center"/>
                  </w:pPr>
                  <w:r>
                    <w:rPr>
                      <w:b/>
                      <w:bCs/>
                    </w:rPr>
                    <w:t># of CBs</w:t>
                  </w:r>
                </w:p>
              </w:tc>
              <w:tc>
                <w:tcPr>
                  <w:tcW w:w="2532"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1DFBD8F2" w14:textId="77777777" w:rsidR="005161D7" w:rsidRDefault="005161D7" w:rsidP="005161D7">
                  <w:pPr>
                    <w:jc w:val="center"/>
                  </w:pPr>
                  <w:r>
                    <w:rPr>
                      <w:b/>
                      <w:bCs/>
                    </w:rPr>
                    <w:t># of CBs / Symbol</w:t>
                  </w:r>
                </w:p>
              </w:tc>
            </w:tr>
            <w:tr w:rsidR="005161D7" w14:paraId="7BF5E92A" w14:textId="77777777" w:rsidTr="005161D7">
              <w:trPr>
                <w:trHeight w:val="16"/>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61C700DE" w14:textId="77777777" w:rsidR="005161D7" w:rsidRDefault="005161D7" w:rsidP="005161D7">
                  <w:pPr>
                    <w:jc w:val="both"/>
                  </w:pPr>
                  <w:r>
                    <w:rPr>
                      <w:b/>
                      <w:bCs/>
                    </w:rPr>
                    <w:t>19</w:t>
                  </w:r>
                </w:p>
              </w:tc>
              <w:tc>
                <w:tcPr>
                  <w:tcW w:w="1527"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2A794048" w14:textId="77777777" w:rsidR="005161D7" w:rsidRDefault="005161D7" w:rsidP="005161D7">
                  <w:pPr>
                    <w:jc w:val="center"/>
                  </w:pPr>
                  <w:r>
                    <w:t>0.85</w:t>
                  </w:r>
                </w:p>
              </w:tc>
              <w:tc>
                <w:tcPr>
                  <w:tcW w:w="1916"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08A3D8C2"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0BF52B6" w14:textId="77777777" w:rsidR="005161D7" w:rsidRDefault="005161D7" w:rsidP="005161D7">
                  <w:pPr>
                    <w:jc w:val="center"/>
                  </w:pPr>
                  <w:r>
                    <w:t>79</w:t>
                  </w:r>
                </w:p>
              </w:tc>
              <w:tc>
                <w:tcPr>
                  <w:tcW w:w="2532"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6D4C77E" w14:textId="77777777" w:rsidR="005161D7" w:rsidRDefault="005161D7" w:rsidP="005161D7">
                  <w:pPr>
                    <w:jc w:val="center"/>
                  </w:pPr>
                  <w:r>
                    <w:t>7.9</w:t>
                  </w:r>
                </w:p>
              </w:tc>
            </w:tr>
            <w:tr w:rsidR="005161D7" w14:paraId="4F02909E" w14:textId="77777777" w:rsidTr="005161D7">
              <w:trPr>
                <w:trHeight w:val="22"/>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3FED989" w14:textId="77777777" w:rsidR="005161D7" w:rsidRDefault="005161D7" w:rsidP="005161D7">
                  <w:pPr>
                    <w:jc w:val="both"/>
                  </w:pPr>
                  <w:r>
                    <w:rPr>
                      <w:b/>
                      <w:bCs/>
                    </w:rPr>
                    <w:t>13</w:t>
                  </w:r>
                </w:p>
              </w:tc>
              <w:tc>
                <w:tcPr>
                  <w:tcW w:w="1527"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2EC1831" w14:textId="77777777" w:rsidR="005161D7" w:rsidRDefault="005161D7" w:rsidP="005161D7">
                  <w:pPr>
                    <w:jc w:val="center"/>
                  </w:pPr>
                  <w:r>
                    <w:t>0.55</w:t>
                  </w:r>
                </w:p>
              </w:tc>
              <w:tc>
                <w:tcPr>
                  <w:tcW w:w="1916"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668C4DA"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6C54A9C0" w14:textId="77777777" w:rsidR="005161D7" w:rsidRDefault="005161D7" w:rsidP="005161D7">
                  <w:pPr>
                    <w:jc w:val="center"/>
                  </w:pPr>
                  <w:r>
                    <w:t>51</w:t>
                  </w:r>
                </w:p>
              </w:tc>
              <w:tc>
                <w:tcPr>
                  <w:tcW w:w="2532"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7011155" w14:textId="77777777" w:rsidR="005161D7" w:rsidRDefault="005161D7" w:rsidP="005161D7">
                  <w:pPr>
                    <w:jc w:val="center"/>
                  </w:pPr>
                  <w:r>
                    <w:t>5.1</w:t>
                  </w:r>
                </w:p>
              </w:tc>
            </w:tr>
          </w:tbl>
          <w:p w14:paraId="3072D3B8" w14:textId="77777777" w:rsidR="005161D7" w:rsidRDefault="005161D7" w:rsidP="005161D7">
            <w:pPr>
              <w:spacing w:after="0"/>
              <w:jc w:val="both"/>
              <w:rPr>
                <w:rFonts w:eastAsia="宋体"/>
                <w:sz w:val="22"/>
                <w:szCs w:val="22"/>
                <w:lang w:eastAsia="zh-CN"/>
              </w:rPr>
            </w:pPr>
          </w:p>
          <w:p w14:paraId="4030F6E9" w14:textId="77777777" w:rsidR="005161D7" w:rsidRDefault="005161D7" w:rsidP="005161D7">
            <w:pPr>
              <w:spacing w:after="0"/>
              <w:jc w:val="both"/>
            </w:pPr>
            <w:r>
              <w:t xml:space="preserve">The gains in SINR over NR Rel-15 options to reach 90% throughput is shown below: </w:t>
            </w:r>
          </w:p>
          <w:p w14:paraId="317D23E9" w14:textId="77777777" w:rsidR="005161D7" w:rsidRDefault="005161D7" w:rsidP="005161D7">
            <w:pPr>
              <w:spacing w:after="0"/>
              <w:jc w:val="both"/>
            </w:pPr>
          </w:p>
          <w:tbl>
            <w:tblPr>
              <w:tblW w:w="5000" w:type="pct"/>
              <w:jc w:val="center"/>
              <w:tblCellMar>
                <w:left w:w="0" w:type="dxa"/>
                <w:right w:w="0" w:type="dxa"/>
              </w:tblCellMar>
              <w:tblLook w:val="04A0" w:firstRow="1" w:lastRow="0" w:firstColumn="1" w:lastColumn="0" w:noHBand="0" w:noVBand="1"/>
            </w:tblPr>
            <w:tblGrid>
              <w:gridCol w:w="2642"/>
              <w:gridCol w:w="3083"/>
              <w:gridCol w:w="3105"/>
            </w:tblGrid>
            <w:tr w:rsidR="005161D7" w14:paraId="0BCD55F2" w14:textId="77777777" w:rsidTr="005161D7">
              <w:trPr>
                <w:trHeight w:val="82"/>
                <w:jc w:val="center"/>
              </w:trPr>
              <w:tc>
                <w:tcPr>
                  <w:tcW w:w="149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8D75E43" w14:textId="77777777" w:rsidR="005161D7" w:rsidRDefault="005161D7" w:rsidP="005161D7">
                  <w:pPr>
                    <w:jc w:val="both"/>
                  </w:pPr>
                  <w:proofErr w:type="spellStart"/>
                  <w:r>
                    <w:rPr>
                      <w:b/>
                      <w:bCs/>
                    </w:rPr>
                    <w:t>Interleaver</w:t>
                  </w:r>
                  <w:proofErr w:type="spellEnd"/>
                </w:p>
              </w:tc>
              <w:tc>
                <w:tcPr>
                  <w:tcW w:w="174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9480827" w14:textId="77777777" w:rsidR="005161D7" w:rsidRDefault="005161D7" w:rsidP="005161D7">
                  <w:pPr>
                    <w:jc w:val="center"/>
                  </w:pPr>
                  <w:r>
                    <w:rPr>
                      <w:b/>
                      <w:bCs/>
                    </w:rPr>
                    <w:t>Delta in dB, MCS = 19, MMSE</w:t>
                  </w:r>
                </w:p>
              </w:tc>
              <w:tc>
                <w:tcPr>
                  <w:tcW w:w="1758"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0B6DBBE1" w14:textId="77777777" w:rsidR="005161D7" w:rsidRDefault="005161D7" w:rsidP="005161D7">
                  <w:pPr>
                    <w:jc w:val="center"/>
                  </w:pPr>
                  <w:r>
                    <w:rPr>
                      <w:b/>
                      <w:bCs/>
                    </w:rPr>
                    <w:t>Delta in dB, MCS = 13, MMSE</w:t>
                  </w:r>
                </w:p>
              </w:tc>
            </w:tr>
            <w:tr w:rsidR="005161D7" w14:paraId="72D72291" w14:textId="77777777" w:rsidTr="005161D7">
              <w:trPr>
                <w:trHeight w:val="20"/>
                <w:jc w:val="center"/>
              </w:trPr>
              <w:tc>
                <w:tcPr>
                  <w:tcW w:w="1496" w:type="pct"/>
                  <w:tcBorders>
                    <w:top w:val="single" w:sz="24"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5F66E906" w14:textId="77777777" w:rsidR="005161D7" w:rsidRDefault="005161D7" w:rsidP="005161D7">
                  <w:pPr>
                    <w:jc w:val="both"/>
                  </w:pPr>
                  <w:r>
                    <w:rPr>
                      <w:b/>
                      <w:bCs/>
                    </w:rPr>
                    <w:t>Rel-</w:t>
                  </w:r>
                  <w:proofErr w:type="gramStart"/>
                  <w:r>
                    <w:rPr>
                      <w:b/>
                      <w:bCs/>
                    </w:rPr>
                    <w:t>15  (</w:t>
                  </w:r>
                  <w:proofErr w:type="gramEnd"/>
                  <w:r>
                    <w:rPr>
                      <w:b/>
                      <w:bCs/>
                    </w:rPr>
                    <w:t>No-ILV)</w:t>
                  </w:r>
                </w:p>
              </w:tc>
              <w:tc>
                <w:tcPr>
                  <w:tcW w:w="1746"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A06694B" w14:textId="77777777" w:rsidR="005161D7" w:rsidRDefault="005161D7" w:rsidP="005161D7">
                  <w:pPr>
                    <w:jc w:val="center"/>
                  </w:pPr>
                  <w:r>
                    <w:t>0</w:t>
                  </w:r>
                </w:p>
              </w:tc>
              <w:tc>
                <w:tcPr>
                  <w:tcW w:w="1758"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3021B1E" w14:textId="77777777" w:rsidR="005161D7" w:rsidRDefault="005161D7" w:rsidP="005161D7">
                  <w:pPr>
                    <w:jc w:val="center"/>
                  </w:pPr>
                  <w:r>
                    <w:t>0</w:t>
                  </w:r>
                </w:p>
              </w:tc>
            </w:tr>
            <w:tr w:rsidR="005161D7" w14:paraId="2605286E"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4255F841" w14:textId="77777777" w:rsidR="005161D7" w:rsidRDefault="005161D7" w:rsidP="005161D7">
                  <w:pPr>
                    <w:jc w:val="both"/>
                  </w:pPr>
                  <w:r>
                    <w:rPr>
                      <w:b/>
                      <w:bCs/>
                    </w:rPr>
                    <w:t>Rel-</w:t>
                  </w:r>
                  <w:proofErr w:type="gramStart"/>
                  <w:r>
                    <w:rPr>
                      <w:b/>
                      <w:bCs/>
                    </w:rPr>
                    <w:t>15  (</w:t>
                  </w:r>
                  <w:proofErr w:type="gramEnd"/>
                  <w:r>
                    <w:rPr>
                      <w:b/>
                      <w:bCs/>
                    </w:rPr>
                    <w:t>VRB2PRB ILV)</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721BEE2" w14:textId="77777777" w:rsidR="005161D7" w:rsidRDefault="005161D7" w:rsidP="005161D7">
                  <w:pPr>
                    <w:jc w:val="center"/>
                  </w:pPr>
                  <w:r>
                    <w:t>1.0</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64A4EC2B" w14:textId="77777777" w:rsidR="005161D7" w:rsidRDefault="005161D7" w:rsidP="005161D7">
                  <w:pPr>
                    <w:jc w:val="center"/>
                  </w:pPr>
                  <w:r>
                    <w:t>0.6</w:t>
                  </w:r>
                </w:p>
              </w:tc>
            </w:tr>
            <w:tr w:rsidR="005161D7" w14:paraId="4EA20A64"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EECD2A3" w14:textId="77777777" w:rsidR="005161D7" w:rsidRDefault="005161D7" w:rsidP="005161D7">
                  <w:pPr>
                    <w:jc w:val="both"/>
                  </w:pPr>
                  <w:r>
                    <w:rPr>
                      <w:b/>
                      <w:bCs/>
                    </w:rPr>
                    <w:t>8-Row</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4E59866A" w14:textId="77777777" w:rsidR="005161D7" w:rsidRDefault="005161D7" w:rsidP="005161D7">
                  <w:pPr>
                    <w:jc w:val="center"/>
                    <w:rPr>
                      <w:color w:val="00B050"/>
                    </w:rPr>
                  </w:pPr>
                  <w:r>
                    <w:rPr>
                      <w:b/>
                      <w:bCs/>
                      <w:color w:val="00B050"/>
                    </w:rPr>
                    <w:t>6.5</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5B866A1F" w14:textId="77777777" w:rsidR="005161D7" w:rsidRDefault="005161D7" w:rsidP="005161D7">
                  <w:pPr>
                    <w:jc w:val="center"/>
                    <w:rPr>
                      <w:color w:val="00B050"/>
                    </w:rPr>
                  </w:pPr>
                  <w:r>
                    <w:rPr>
                      <w:b/>
                      <w:bCs/>
                      <w:color w:val="00B050"/>
                    </w:rPr>
                    <w:t>2.8</w:t>
                  </w:r>
                </w:p>
              </w:tc>
            </w:tr>
          </w:tbl>
          <w:p w14:paraId="39758415" w14:textId="77777777" w:rsidR="005161D7" w:rsidRDefault="005161D7" w:rsidP="005161D7">
            <w:pPr>
              <w:spacing w:after="0"/>
              <w:jc w:val="both"/>
              <w:rPr>
                <w:rFonts w:eastAsia="宋体"/>
                <w:sz w:val="22"/>
                <w:szCs w:val="22"/>
                <w:lang w:eastAsia="zh-CN"/>
              </w:rPr>
            </w:pPr>
          </w:p>
          <w:p w14:paraId="6C58E6BA" w14:textId="77777777" w:rsidR="005161D7" w:rsidRDefault="005161D7" w:rsidP="005161D7">
            <w:pPr>
              <w:spacing w:after="0"/>
              <w:jc w:val="both"/>
            </w:pPr>
            <w:r>
              <w:t>Based on the above observations, we make the following proposals:</w:t>
            </w:r>
          </w:p>
          <w:p w14:paraId="29986A41" w14:textId="77777777" w:rsidR="005161D7" w:rsidRDefault="005161D7" w:rsidP="005161D7">
            <w:pPr>
              <w:pStyle w:val="Caption"/>
            </w:pPr>
            <w:bookmarkStart w:id="3" w:name="proposal_1"/>
            <w:r>
              <w:t xml:space="preserve">Proposal </w:t>
            </w:r>
            <w:r>
              <w:fldChar w:fldCharType="begin"/>
            </w:r>
            <w:r>
              <w:instrText xml:space="preserve"> SEQ Proposal \* ARABIC </w:instrText>
            </w:r>
            <w:r>
              <w:fldChar w:fldCharType="separate"/>
            </w:r>
            <w:r>
              <w:rPr>
                <w:noProof/>
              </w:rPr>
              <w:t>1</w:t>
            </w:r>
            <w:r>
              <w:fldChar w:fldCharType="end"/>
            </w:r>
            <w:r>
              <w:rPr>
                <w:b w:val="0"/>
                <w:bCs/>
              </w:rPr>
              <w:t xml:space="preserve">: </w:t>
            </w:r>
            <w:r>
              <w:t>For the VRB-To-PRB interleaved mapping:</w:t>
            </w:r>
          </w:p>
          <w:p w14:paraId="5730FCAE" w14:textId="77777777" w:rsidR="005161D7" w:rsidRDefault="005161D7" w:rsidP="00B650B3">
            <w:pPr>
              <w:pStyle w:val="ListParagraph"/>
              <w:numPr>
                <w:ilvl w:val="0"/>
                <w:numId w:val="20"/>
              </w:numPr>
              <w:spacing w:after="0" w:line="276" w:lineRule="auto"/>
              <w:ind w:leftChars="0"/>
              <w:jc w:val="both"/>
              <w:rPr>
                <w:b/>
                <w:bCs/>
              </w:rPr>
            </w:pPr>
            <w:bookmarkStart w:id="4" w:name="_Hlk71787941"/>
            <w:r>
              <w:rPr>
                <w:b/>
                <w:bCs/>
              </w:rPr>
              <w:t xml:space="preserve">Increase the depth of the </w:t>
            </w:r>
            <w:proofErr w:type="spellStart"/>
            <w:r>
              <w:rPr>
                <w:b/>
                <w:bCs/>
              </w:rPr>
              <w:t>interleaver</w:t>
            </w:r>
            <w:proofErr w:type="spellEnd"/>
            <w:r>
              <w:rPr>
                <w:b/>
                <w:bCs/>
              </w:rPr>
              <w:t xml:space="preserve"> (e.g. 4 or 8 rows instead of 2 rows in NR Rel-15) </w:t>
            </w:r>
          </w:p>
          <w:p w14:paraId="5F01FEB8" w14:textId="6E653A71" w:rsidR="00E209FD" w:rsidRPr="005161D7" w:rsidRDefault="005161D7" w:rsidP="00B650B3">
            <w:pPr>
              <w:pStyle w:val="ListParagraph"/>
              <w:numPr>
                <w:ilvl w:val="0"/>
                <w:numId w:val="20"/>
              </w:numPr>
              <w:spacing w:after="0" w:line="276" w:lineRule="auto"/>
              <w:ind w:leftChars="0"/>
              <w:jc w:val="both"/>
              <w:rPr>
                <w:b/>
                <w:bCs/>
              </w:rPr>
            </w:pPr>
            <w:r>
              <w:rPr>
                <w:b/>
                <w:bCs/>
              </w:rPr>
              <w:t>Perform the interleaved mapping within the scheduled allocations and not within the active BWP</w:t>
            </w:r>
            <w:bookmarkEnd w:id="3"/>
            <w:bookmarkEnd w:id="4"/>
          </w:p>
        </w:tc>
      </w:tr>
    </w:tbl>
    <w:p w14:paraId="6C51FF85" w14:textId="77777777" w:rsidR="00854F9D" w:rsidRDefault="00854F9D" w:rsidP="00854F9D">
      <w:pPr>
        <w:rPr>
          <w:b/>
        </w:rPr>
      </w:pPr>
    </w:p>
    <w:p w14:paraId="156EB790" w14:textId="6E83BD5F" w:rsidR="00E209FD" w:rsidRDefault="00E209FD" w:rsidP="00E209FD">
      <w:pPr>
        <w:rPr>
          <w:rFonts w:eastAsia="MS Mincho" w:cs="Batang"/>
          <w:sz w:val="22"/>
          <w:szCs w:val="22"/>
        </w:rPr>
      </w:pPr>
      <w:r>
        <w:rPr>
          <w:rFonts w:eastAsia="MS Mincho" w:cs="Batang"/>
          <w:sz w:val="22"/>
          <w:szCs w:val="22"/>
        </w:rPr>
        <w:t>Based on the above contribution, following TEI proposal can be discussed in RAN1#10</w:t>
      </w:r>
      <w:r w:rsidR="005161D7">
        <w:rPr>
          <w:rFonts w:eastAsia="MS Mincho" w:cs="Batang"/>
          <w:sz w:val="22"/>
          <w:szCs w:val="22"/>
        </w:rPr>
        <w:t>5</w:t>
      </w:r>
      <w:r>
        <w:rPr>
          <w:rFonts w:eastAsia="MS Mincho" w:cs="Batang"/>
          <w:sz w:val="22"/>
          <w:szCs w:val="22"/>
        </w:rPr>
        <w:t>-e meeting.</w:t>
      </w:r>
    </w:p>
    <w:p w14:paraId="5384C363" w14:textId="77777777" w:rsidR="00E209FD" w:rsidRDefault="00E209FD" w:rsidP="00E209FD">
      <w:pPr>
        <w:rPr>
          <w:rFonts w:ascii="Arial" w:eastAsia="MS Mincho" w:hAnsi="Arial"/>
          <w:sz w:val="32"/>
          <w:szCs w:val="32"/>
        </w:rPr>
      </w:pPr>
    </w:p>
    <w:p w14:paraId="27489006" w14:textId="194F7207" w:rsidR="00E209FD" w:rsidRPr="00AD5375" w:rsidRDefault="00E209FD" w:rsidP="00E209F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2</w:t>
      </w:r>
    </w:p>
    <w:p w14:paraId="0A5C8F8E" w14:textId="77777777" w:rsidR="00E209FD" w:rsidRPr="00E209FD" w:rsidRDefault="00E209FD" w:rsidP="00E209FD">
      <w:pPr>
        <w:pStyle w:val="ListParagraph"/>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Pr>
          <w:rFonts w:eastAsia="MS Mincho" w:cs="Batang"/>
          <w:b/>
          <w:bCs/>
          <w:sz w:val="22"/>
          <w:szCs w:val="22"/>
        </w:rPr>
        <w:t xml:space="preserve">following improvements for </w:t>
      </w:r>
      <w:r w:rsidRPr="00E209FD">
        <w:rPr>
          <w:rFonts w:eastAsia="MS Mincho" w:cs="Batang"/>
          <w:b/>
          <w:bCs/>
          <w:sz w:val="22"/>
          <w:szCs w:val="22"/>
        </w:rPr>
        <w:t>the VRB-To-PRB interleaved mapping</w:t>
      </w:r>
    </w:p>
    <w:p w14:paraId="248DB15B" w14:textId="77777777" w:rsidR="005161D7" w:rsidRPr="005161D7" w:rsidRDefault="005161D7" w:rsidP="005161D7">
      <w:pPr>
        <w:pStyle w:val="ListParagraph"/>
        <w:numPr>
          <w:ilvl w:val="1"/>
          <w:numId w:val="13"/>
        </w:numPr>
        <w:ind w:leftChars="0"/>
        <w:rPr>
          <w:rFonts w:eastAsia="MS Mincho" w:cs="Batang"/>
          <w:b/>
          <w:bCs/>
          <w:sz w:val="22"/>
          <w:szCs w:val="22"/>
        </w:rPr>
      </w:pPr>
      <w:r w:rsidRPr="005161D7">
        <w:rPr>
          <w:rFonts w:eastAsia="MS Mincho" w:cs="Batang"/>
          <w:b/>
          <w:bCs/>
          <w:sz w:val="22"/>
          <w:szCs w:val="22"/>
        </w:rPr>
        <w:t xml:space="preserve">Increase the depth of the </w:t>
      </w:r>
      <w:proofErr w:type="spellStart"/>
      <w:r w:rsidRPr="005161D7">
        <w:rPr>
          <w:rFonts w:eastAsia="MS Mincho" w:cs="Batang"/>
          <w:b/>
          <w:bCs/>
          <w:sz w:val="22"/>
          <w:szCs w:val="22"/>
        </w:rPr>
        <w:t>interleaver</w:t>
      </w:r>
      <w:proofErr w:type="spellEnd"/>
      <w:r w:rsidRPr="005161D7">
        <w:rPr>
          <w:rFonts w:eastAsia="MS Mincho" w:cs="Batang"/>
          <w:b/>
          <w:bCs/>
          <w:sz w:val="22"/>
          <w:szCs w:val="22"/>
        </w:rPr>
        <w:t xml:space="preserve"> (e.g. 4 or 8 rows instead of 2 rows in NR Rel-15) </w:t>
      </w:r>
    </w:p>
    <w:p w14:paraId="439BF145" w14:textId="6AD9C70C" w:rsidR="005161D7" w:rsidRPr="005161D7" w:rsidRDefault="005161D7" w:rsidP="005161D7">
      <w:pPr>
        <w:pStyle w:val="ListParagraph"/>
        <w:numPr>
          <w:ilvl w:val="1"/>
          <w:numId w:val="13"/>
        </w:numPr>
        <w:ind w:leftChars="0"/>
        <w:rPr>
          <w:rFonts w:eastAsia="MS Mincho" w:cs="Batang"/>
          <w:b/>
          <w:bCs/>
          <w:sz w:val="22"/>
          <w:szCs w:val="22"/>
        </w:rPr>
      </w:pPr>
      <w:r w:rsidRPr="005161D7">
        <w:rPr>
          <w:rFonts w:eastAsia="MS Mincho" w:cs="Batang"/>
          <w:b/>
          <w:bCs/>
          <w:sz w:val="22"/>
          <w:szCs w:val="22"/>
        </w:rPr>
        <w:t>Perform the interleaved mapping within the scheduled allocations and not within the active BWP</w:t>
      </w:r>
    </w:p>
    <w:p w14:paraId="35A62F35" w14:textId="77777777" w:rsidR="00E209FD" w:rsidRPr="00E209FD" w:rsidRDefault="00E209FD" w:rsidP="00E209FD">
      <w:pPr>
        <w:rPr>
          <w:b/>
        </w:rPr>
      </w:pPr>
    </w:p>
    <w:p w14:paraId="5F399AB2" w14:textId="015912E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436DE55C" w14:textId="77777777"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6A87B5BC" w14:textId="77777777" w:rsidTr="002A60E6">
        <w:tc>
          <w:tcPr>
            <w:tcW w:w="1945" w:type="dxa"/>
            <w:shd w:val="clear" w:color="auto" w:fill="F2F2F2" w:themeFill="background1" w:themeFillShade="F2"/>
          </w:tcPr>
          <w:p w14:paraId="6A04E3D8"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8A5C51C"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2B5607A6" w14:textId="77777777" w:rsidTr="002A60E6">
        <w:tc>
          <w:tcPr>
            <w:tcW w:w="1945" w:type="dxa"/>
          </w:tcPr>
          <w:p w14:paraId="7353E315" w14:textId="60D6E806" w:rsidR="00E209FD" w:rsidRDefault="00C64F5D" w:rsidP="002A60E6">
            <w:pPr>
              <w:spacing w:afterLines="50" w:after="120"/>
              <w:jc w:val="both"/>
              <w:rPr>
                <w:sz w:val="22"/>
                <w:lang w:val="en-US"/>
              </w:rPr>
            </w:pPr>
            <w:r>
              <w:rPr>
                <w:sz w:val="22"/>
                <w:lang w:val="en-US"/>
              </w:rPr>
              <w:t>vivo</w:t>
            </w:r>
          </w:p>
        </w:tc>
        <w:tc>
          <w:tcPr>
            <w:tcW w:w="7683" w:type="dxa"/>
          </w:tcPr>
          <w:p w14:paraId="743B8B25" w14:textId="4CCEABE4" w:rsidR="00E209FD" w:rsidRDefault="00C64F5D" w:rsidP="002A60E6">
            <w:pPr>
              <w:spacing w:afterLines="50" w:after="120"/>
              <w:jc w:val="both"/>
              <w:rPr>
                <w:sz w:val="22"/>
                <w:lang w:val="en-US"/>
              </w:rPr>
            </w:pPr>
            <w:r w:rsidRPr="00BD7E14">
              <w:rPr>
                <w:rFonts w:eastAsia="MS Mincho" w:cs="Batang"/>
                <w:bCs/>
                <w:sz w:val="22"/>
                <w:szCs w:val="22"/>
              </w:rPr>
              <w:t xml:space="preserve">Increasing the depth of the </w:t>
            </w:r>
            <w:proofErr w:type="spellStart"/>
            <w:r w:rsidRPr="00BD7E14">
              <w:rPr>
                <w:rFonts w:eastAsia="MS Mincho" w:cs="Batang"/>
                <w:bCs/>
                <w:sz w:val="22"/>
                <w:szCs w:val="22"/>
              </w:rPr>
              <w:t>interleaver</w:t>
            </w:r>
            <w:proofErr w:type="spellEnd"/>
            <w:r w:rsidRPr="00BD7E14">
              <w:rPr>
                <w:rFonts w:eastAsia="MS Mincho" w:cs="Batang"/>
                <w:bCs/>
                <w:sz w:val="22"/>
                <w:szCs w:val="22"/>
              </w:rPr>
              <w:t xml:space="preserve"> will improve performance in given assumption</w:t>
            </w:r>
            <w:r w:rsidRPr="00BD7E14">
              <w:rPr>
                <w:rFonts w:eastAsiaTheme="minorEastAsia"/>
                <w:sz w:val="22"/>
                <w:lang w:val="en-US" w:eastAsia="zh-CN"/>
              </w:rPr>
              <w:t>, but not sure of its urgency. I</w:t>
            </w:r>
            <w:proofErr w:type="spellStart"/>
            <w:r w:rsidRPr="00BD7E14">
              <w:rPr>
                <w:rFonts w:eastAsia="MS Mincho" w:cs="Batang"/>
                <w:bCs/>
                <w:sz w:val="22"/>
                <w:szCs w:val="22"/>
              </w:rPr>
              <w:t>nterleaved</w:t>
            </w:r>
            <w:proofErr w:type="spellEnd"/>
            <w:r w:rsidRPr="00BD7E14">
              <w:rPr>
                <w:rFonts w:eastAsia="MS Mincho" w:cs="Batang"/>
                <w:bCs/>
                <w:sz w:val="22"/>
                <w:szCs w:val="22"/>
              </w:rPr>
              <w:t xml:space="preserve"> mapping within the scheduled allocations and not within the active BWP </w:t>
            </w:r>
            <w:r w:rsidRPr="00BD7E14">
              <w:rPr>
                <w:rFonts w:eastAsiaTheme="minorEastAsia"/>
                <w:sz w:val="22"/>
                <w:lang w:val="en-US" w:eastAsia="zh-CN"/>
              </w:rPr>
              <w:t>may cause the multiplexing issue (PRB domain collision) with legacy UEs sharing the same active BWP, further study may be needed.</w:t>
            </w:r>
          </w:p>
        </w:tc>
      </w:tr>
      <w:tr w:rsidR="00E209FD" w14:paraId="53853A9A" w14:textId="77777777" w:rsidTr="002A60E6">
        <w:tc>
          <w:tcPr>
            <w:tcW w:w="1945" w:type="dxa"/>
          </w:tcPr>
          <w:p w14:paraId="1E7032DD" w14:textId="77777777" w:rsidR="00E209FD" w:rsidRDefault="00E209FD" w:rsidP="002A60E6">
            <w:pPr>
              <w:spacing w:afterLines="50" w:after="120"/>
              <w:jc w:val="both"/>
              <w:rPr>
                <w:sz w:val="22"/>
                <w:lang w:val="en-US"/>
              </w:rPr>
            </w:pPr>
          </w:p>
        </w:tc>
        <w:tc>
          <w:tcPr>
            <w:tcW w:w="7683" w:type="dxa"/>
          </w:tcPr>
          <w:p w14:paraId="515C0DAB" w14:textId="77777777" w:rsidR="00E209FD" w:rsidRPr="00F740AD" w:rsidRDefault="00E209FD" w:rsidP="002A60E6">
            <w:pPr>
              <w:spacing w:afterLines="50" w:after="120"/>
              <w:jc w:val="both"/>
              <w:rPr>
                <w:sz w:val="22"/>
                <w:lang w:val="en-US"/>
              </w:rPr>
            </w:pPr>
          </w:p>
        </w:tc>
      </w:tr>
      <w:tr w:rsidR="00E209FD" w14:paraId="60C15F16" w14:textId="77777777" w:rsidTr="002A60E6">
        <w:tc>
          <w:tcPr>
            <w:tcW w:w="1945" w:type="dxa"/>
          </w:tcPr>
          <w:p w14:paraId="39260BD9" w14:textId="77777777" w:rsidR="00E209FD" w:rsidRDefault="00E209FD" w:rsidP="002A60E6">
            <w:pPr>
              <w:spacing w:afterLines="50" w:after="120"/>
              <w:jc w:val="both"/>
              <w:rPr>
                <w:sz w:val="22"/>
                <w:lang w:val="en-US"/>
              </w:rPr>
            </w:pPr>
          </w:p>
        </w:tc>
        <w:tc>
          <w:tcPr>
            <w:tcW w:w="7683" w:type="dxa"/>
          </w:tcPr>
          <w:p w14:paraId="03A15EE0" w14:textId="77777777" w:rsidR="00E209FD" w:rsidRPr="00F740AD" w:rsidRDefault="00E209FD" w:rsidP="002A60E6">
            <w:pPr>
              <w:spacing w:afterLines="50" w:after="120"/>
              <w:jc w:val="both"/>
              <w:rPr>
                <w:sz w:val="22"/>
                <w:lang w:val="en-US"/>
              </w:rPr>
            </w:pPr>
          </w:p>
        </w:tc>
      </w:tr>
    </w:tbl>
    <w:p w14:paraId="7569B32B" w14:textId="77777777" w:rsidR="00E209FD" w:rsidRPr="00802399" w:rsidRDefault="00E209FD" w:rsidP="00E209FD">
      <w:pPr>
        <w:rPr>
          <w:b/>
        </w:rPr>
      </w:pPr>
    </w:p>
    <w:p w14:paraId="2A7750F5" w14:textId="77777777" w:rsidR="00854F9D" w:rsidRDefault="00854F9D" w:rsidP="00854F9D">
      <w:pPr>
        <w:rPr>
          <w:rFonts w:ascii="Arial" w:eastAsia="MS Mincho" w:hAnsi="Arial"/>
          <w:sz w:val="32"/>
          <w:szCs w:val="32"/>
        </w:rPr>
      </w:pPr>
    </w:p>
    <w:p w14:paraId="1EF55CDE" w14:textId="45F862C7" w:rsidR="00E70910" w:rsidRPr="00854F9D" w:rsidRDefault="00E70910" w:rsidP="002753B9">
      <w:pPr>
        <w:rPr>
          <w:b/>
        </w:rPr>
      </w:pPr>
    </w:p>
    <w:p w14:paraId="4A580DBA" w14:textId="37B146BE" w:rsidR="00E209FD" w:rsidRPr="005953A0" w:rsidRDefault="00E209FD" w:rsidP="00E209F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PUCCH format</w:t>
      </w:r>
      <w:r w:rsidR="00295EBE">
        <w:rPr>
          <w:rFonts w:ascii="Arial" w:eastAsia="Batang" w:hAnsi="Arial"/>
          <w:sz w:val="28"/>
          <w:szCs w:val="32"/>
          <w:lang w:val="en-US" w:eastAsia="ko-KR"/>
        </w:rPr>
        <w:t xml:space="preserve"> 2</w:t>
      </w:r>
    </w:p>
    <w:p w14:paraId="2F138418" w14:textId="77777777" w:rsidR="00E209FD" w:rsidRDefault="00E209FD" w:rsidP="00E209FD">
      <w:pPr>
        <w:rPr>
          <w:rFonts w:eastAsia="MS Mincho" w:cs="Batang"/>
          <w:sz w:val="22"/>
          <w:szCs w:val="22"/>
        </w:rPr>
      </w:pPr>
      <w:r>
        <w:rPr>
          <w:rFonts w:eastAsia="MS Mincho" w:cs="Batang"/>
          <w:sz w:val="22"/>
          <w:szCs w:val="22"/>
        </w:rPr>
        <w:t>Following proposal is made in the contribution.</w:t>
      </w:r>
    </w:p>
    <w:tbl>
      <w:tblPr>
        <w:tblStyle w:val="TableGrid"/>
        <w:tblW w:w="5000" w:type="pct"/>
        <w:tblLook w:val="04A0" w:firstRow="1" w:lastRow="0" w:firstColumn="1" w:lastColumn="0" w:noHBand="0" w:noVBand="1"/>
      </w:tblPr>
      <w:tblGrid>
        <w:gridCol w:w="449"/>
        <w:gridCol w:w="9179"/>
      </w:tblGrid>
      <w:tr w:rsidR="00E209FD" w14:paraId="6EAABBE2" w14:textId="77777777" w:rsidTr="005161D7">
        <w:tc>
          <w:tcPr>
            <w:tcW w:w="233" w:type="pct"/>
          </w:tcPr>
          <w:p w14:paraId="1ABF594C" w14:textId="44150887" w:rsidR="00E209FD" w:rsidRPr="0016792D" w:rsidRDefault="00E209FD" w:rsidP="002A60E6">
            <w:pPr>
              <w:rPr>
                <w:rFonts w:ascii="Arial" w:eastAsia="MS Mincho" w:hAnsi="Arial"/>
                <w:sz w:val="22"/>
                <w:szCs w:val="22"/>
                <w:lang w:val="en-US"/>
              </w:rPr>
            </w:pPr>
            <w:r>
              <w:rPr>
                <w:rFonts w:ascii="Arial" w:eastAsia="MS Mincho" w:hAnsi="Arial" w:hint="eastAsia"/>
                <w:sz w:val="22"/>
                <w:szCs w:val="22"/>
                <w:lang w:val="en-US"/>
              </w:rPr>
              <w:t>[</w:t>
            </w:r>
            <w:r w:rsidR="005161D7">
              <w:rPr>
                <w:rFonts w:ascii="Arial" w:eastAsia="MS Mincho" w:hAnsi="Arial"/>
                <w:sz w:val="22"/>
                <w:szCs w:val="22"/>
                <w:lang w:val="en-US"/>
              </w:rPr>
              <w:t>3</w:t>
            </w:r>
            <w:r>
              <w:rPr>
                <w:rFonts w:ascii="Arial" w:eastAsia="MS Mincho" w:hAnsi="Arial"/>
                <w:sz w:val="22"/>
                <w:szCs w:val="22"/>
                <w:lang w:val="en-US"/>
              </w:rPr>
              <w:t>]</w:t>
            </w:r>
          </w:p>
        </w:tc>
        <w:tc>
          <w:tcPr>
            <w:tcW w:w="4767" w:type="pct"/>
          </w:tcPr>
          <w:p w14:paraId="573F32A7" w14:textId="77777777" w:rsidR="00E209FD" w:rsidRDefault="00E209FD" w:rsidP="00E209FD">
            <w:pPr>
              <w:jc w:val="both"/>
              <w:rPr>
                <w:rFonts w:eastAsia="宋体"/>
                <w:sz w:val="22"/>
                <w:lang w:val="en-US" w:eastAsia="x-none"/>
              </w:rPr>
            </w:pPr>
            <w:r>
              <w:rPr>
                <w:lang w:eastAsia="x-none"/>
              </w:rPr>
              <w:t>Short PUCCH format, specifically, PUCCH Format 2 spans one to two OFDM symbols and is restricted to use CP-OFDM waveform. The table below summarizes the configurations available for various PUCCH formats. The lack of DFT-S-OFDM support for short PUCCH Format is a significant shortcoming that we wish to address.</w:t>
            </w:r>
          </w:p>
          <w:p w14:paraId="2E872841" w14:textId="08B53BA0" w:rsidR="00E209FD" w:rsidRDefault="00E209FD" w:rsidP="00E209FD">
            <w:pPr>
              <w:keepNext/>
              <w:rPr>
                <w:lang w:eastAsia="zh-CN"/>
              </w:rPr>
            </w:pPr>
            <w:r>
              <w:rPr>
                <w:noProof/>
                <w:lang w:eastAsia="x-none"/>
              </w:rPr>
              <w:drawing>
                <wp:inline distT="0" distB="0" distL="0" distR="0" wp14:anchorId="76F0E511" wp14:editId="783E4A4C">
                  <wp:extent cx="5638800" cy="119062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b="52666"/>
                          <a:stretch>
                            <a:fillRect/>
                          </a:stretch>
                        </pic:blipFill>
                        <pic:spPr bwMode="auto">
                          <a:xfrm>
                            <a:off x="0" y="0"/>
                            <a:ext cx="5638800" cy="1190625"/>
                          </a:xfrm>
                          <a:prstGeom prst="rect">
                            <a:avLst/>
                          </a:prstGeom>
                          <a:noFill/>
                          <a:ln>
                            <a:noFill/>
                          </a:ln>
                        </pic:spPr>
                      </pic:pic>
                    </a:graphicData>
                  </a:graphic>
                </wp:inline>
              </w:drawing>
            </w:r>
          </w:p>
          <w:p w14:paraId="12201B8F" w14:textId="77777777" w:rsidR="00E209FD" w:rsidRDefault="00E209FD" w:rsidP="00E209FD">
            <w:pPr>
              <w:pStyle w:val="Caption"/>
              <w:jc w:val="center"/>
            </w:pPr>
            <w:r>
              <w:t xml:space="preserve">Table </w:t>
            </w:r>
            <w:r>
              <w:fldChar w:fldCharType="begin"/>
            </w:r>
            <w:r>
              <w:instrText xml:space="preserve"> SEQ Table \* ARABIC </w:instrText>
            </w:r>
            <w:r>
              <w:fldChar w:fldCharType="separate"/>
            </w:r>
            <w:r>
              <w:rPr>
                <w:noProof/>
              </w:rPr>
              <w:t>1</w:t>
            </w:r>
            <w:r>
              <w:fldChar w:fldCharType="end"/>
            </w:r>
            <w:r>
              <w:t xml:space="preserve"> Configurations for different PUCCH Formats</w:t>
            </w:r>
          </w:p>
          <w:p w14:paraId="74CDFD89" w14:textId="77777777" w:rsidR="00E209FD" w:rsidRDefault="00E209FD" w:rsidP="00E209FD">
            <w:pPr>
              <w:rPr>
                <w:lang w:eastAsia="x-none"/>
              </w:rPr>
            </w:pPr>
          </w:p>
          <w:p w14:paraId="1D8460A4" w14:textId="77777777" w:rsidR="00E209FD" w:rsidRDefault="00E209FD" w:rsidP="00E209FD">
            <w:pPr>
              <w:jc w:val="both"/>
              <w:rPr>
                <w:lang w:eastAsia="x-none"/>
              </w:rPr>
            </w:pPr>
            <w:r>
              <w:rPr>
                <w:lang w:eastAsia="x-none"/>
              </w:rPr>
              <w:t xml:space="preserve">Short PUCCH formats have found significant use in FR2 deployments where a large number of </w:t>
            </w:r>
            <w:proofErr w:type="spellStart"/>
            <w:r>
              <w:rPr>
                <w:lang w:eastAsia="x-none"/>
              </w:rPr>
              <w:t>analog</w:t>
            </w:r>
            <w:proofErr w:type="spellEnd"/>
            <w:r>
              <w:rPr>
                <w:lang w:eastAsia="x-none"/>
              </w:rPr>
              <w:t xml:space="preserve"> antenna beams are used to serve users in uplink/downlink. Due to large number of antenna beams, long PUCCH formats are not </w:t>
            </w:r>
            <w:proofErr w:type="spellStart"/>
            <w:r>
              <w:rPr>
                <w:lang w:eastAsia="x-none"/>
              </w:rPr>
              <w:t>favored</w:t>
            </w:r>
            <w:proofErr w:type="spellEnd"/>
            <w:r>
              <w:rPr>
                <w:lang w:eastAsia="x-none"/>
              </w:rPr>
              <w:t xml:space="preserve"> since it’s easier to support beam sweeping operations using short PUCCH formats. Further since certain beams are intended to provide cell-edge coverage while certain beams are intended for cell-center UEs, beam-specific PUCCH configurations are ideally desired. However, defining beam-specific PUCCH formats is a tedious effort and adds to overall network configuration complexity. Therefore, short PUCCH formats are typically configured across all beams. Additional details on these aspects are presented in [1].</w:t>
            </w:r>
          </w:p>
          <w:p w14:paraId="7A7C2E65" w14:textId="77777777" w:rsidR="00E209FD" w:rsidRDefault="00E209FD" w:rsidP="00E209FD">
            <w:pPr>
              <w:jc w:val="both"/>
              <w:rPr>
                <w:lang w:eastAsia="zh-CN"/>
              </w:rPr>
            </w:pPr>
            <w:r>
              <w:rPr>
                <w:lang w:eastAsia="x-none"/>
              </w:rPr>
              <w:t xml:space="preserve">Further, with uplink being a typical bottleneck in NR deployments, it is worth considering enhancements that help improve uplink control coverage. It is well known that DFT-S-OFDM waveforms have a smaller PAPR compared to CP-OFDM, and this enables them to be transmitted at a higher power. </w:t>
            </w:r>
          </w:p>
          <w:p w14:paraId="090CC916" w14:textId="77777777" w:rsidR="00E209FD" w:rsidRDefault="00E209FD" w:rsidP="00E209FD">
            <w:pPr>
              <w:jc w:val="both"/>
            </w:pPr>
            <w:r>
              <w:t xml:space="preserve">Using power class 3 UE as a motivating example, Table 6.2.2-1 of 38.101-1 as provided in </w:t>
            </w:r>
            <w:r>
              <w:fldChar w:fldCharType="begin"/>
            </w:r>
            <w:r>
              <w:instrText xml:space="preserve"> REF _Ref40451204 \h  \* MERGEFORMAT </w:instrText>
            </w:r>
            <w:r>
              <w:fldChar w:fldCharType="separate"/>
            </w:r>
            <w:r>
              <w:t xml:space="preserve">Table </w:t>
            </w:r>
            <w:r>
              <w:rPr>
                <w:noProof/>
              </w:rPr>
              <w:t>2</w:t>
            </w:r>
            <w:r>
              <w:fldChar w:fldCharType="end"/>
            </w:r>
            <w:r>
              <w:t xml:space="preserve"> specifies a set of power reduction values dependent on RB allocation and modulation order for power class 3 UEs. The power back off values are then used by the UE to calculate the lower bound on its </w:t>
            </w:r>
            <m:oMath>
              <m:sSub>
                <m:sSubPr>
                  <m:ctrlPr>
                    <w:rPr>
                      <w:rFonts w:ascii="Cambria Math" w:hAnsi="Cambria Math"/>
                      <w:i/>
                      <w:sz w:val="22"/>
                      <w:szCs w:val="22"/>
                      <w:lang w:eastAsia="zh-CN"/>
                    </w:rPr>
                  </m:ctrlPr>
                </m:sSubPr>
                <m:e>
                  <m:r>
                    <w:rPr>
                      <w:rFonts w:ascii="Cambria Math" w:hAnsi="Cambria Math"/>
                    </w:rPr>
                    <m:t>P</m:t>
                  </m:r>
                </m:e>
                <m:sub>
                  <m:r>
                    <w:rPr>
                      <w:rFonts w:ascii="Cambria Math" w:hAnsi="Cambria Math"/>
                    </w:rPr>
                    <m:t>CMAX,f,c</m:t>
                  </m:r>
                </m:sub>
              </m:sSub>
            </m:oMath>
            <w:r>
              <w:t xml:space="preserve"> value. </w:t>
            </w:r>
          </w:p>
          <w:p w14:paraId="4A8B1627" w14:textId="77777777" w:rsidR="00E209FD" w:rsidRDefault="00E209FD" w:rsidP="00E209FD">
            <w:pPr>
              <w:pStyle w:val="Caption"/>
              <w:keepNext/>
              <w:jc w:val="center"/>
              <w:rPr>
                <w:b w:val="0"/>
              </w:rPr>
            </w:pPr>
            <w:bookmarkStart w:id="5" w:name="_Ref40451204"/>
            <w:r>
              <w:t xml:space="preserve">Table </w:t>
            </w:r>
            <w:r>
              <w:fldChar w:fldCharType="begin"/>
            </w:r>
            <w:r>
              <w:instrText xml:space="preserve"> SEQ Table \* ARABIC </w:instrText>
            </w:r>
            <w:r>
              <w:fldChar w:fldCharType="separate"/>
            </w:r>
            <w:r>
              <w:rPr>
                <w:noProof/>
              </w:rPr>
              <w:t>2</w:t>
            </w:r>
            <w:r>
              <w:fldChar w:fldCharType="end"/>
            </w:r>
            <w:bookmarkEnd w:id="5"/>
            <w:r>
              <w:t xml:space="preserve"> MPR Table from 38.101-1</w:t>
            </w:r>
          </w:p>
          <w:p w14:paraId="54DDA2BE" w14:textId="54CAB06E" w:rsidR="00E209FD" w:rsidRDefault="00E209FD" w:rsidP="00E209FD">
            <w:pPr>
              <w:jc w:val="both"/>
            </w:pPr>
            <w:r>
              <w:rPr>
                <w:noProof/>
              </w:rPr>
              <w:drawing>
                <wp:inline distT="0" distB="0" distL="0" distR="0" wp14:anchorId="1290C76C" wp14:editId="6E51D7A4">
                  <wp:extent cx="5943600" cy="2466975"/>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466975"/>
                          </a:xfrm>
                          <a:prstGeom prst="rect">
                            <a:avLst/>
                          </a:prstGeom>
                          <a:noFill/>
                          <a:ln>
                            <a:noFill/>
                          </a:ln>
                        </pic:spPr>
                      </pic:pic>
                    </a:graphicData>
                  </a:graphic>
                </wp:inline>
              </w:drawing>
            </w:r>
          </w:p>
          <w:p w14:paraId="55B9454A" w14:textId="77777777" w:rsidR="00E209FD" w:rsidRDefault="00E209FD" w:rsidP="00E209FD">
            <w:pPr>
              <w:jc w:val="both"/>
            </w:pPr>
            <w:r>
              <w:t xml:space="preserve">Note that DFT-S-OFDM with pi/2 BPSK has two sets of values defined, one for the case where the 0 dB MPR is in reference to 23 dBm and another where the 0 dB MPR is in reference to 26 dBm. This change in reference power to 26 dBm is permitted when UE is operating in TDD mode with less than 40% of the slots in a radio frame being used for uplink transmission. </w:t>
            </w:r>
          </w:p>
          <w:p w14:paraId="3FA401CC" w14:textId="77777777" w:rsidR="00E209FD" w:rsidRDefault="00E209FD" w:rsidP="00E209FD">
            <w:pPr>
              <w:jc w:val="both"/>
            </w:pPr>
            <w:r>
              <w:t>It is thus seen that for a wide range of RB allocations, DFT-S-OFDM waveforms can be transmitted at a transmit power that is 2 dB higher than that possible for CP-OFDM waveforms. This motivates us to make the following proposal:</w:t>
            </w:r>
          </w:p>
          <w:p w14:paraId="11E5C7C1" w14:textId="77777777" w:rsidR="00E209FD" w:rsidRDefault="00E209FD" w:rsidP="00E209FD">
            <w:pPr>
              <w:jc w:val="both"/>
            </w:pPr>
          </w:p>
          <w:p w14:paraId="372CE605" w14:textId="77777777" w:rsidR="00E209FD" w:rsidRDefault="00E209FD" w:rsidP="00E209FD">
            <w:pPr>
              <w:rPr>
                <w:b/>
                <w:bCs/>
                <w:lang w:eastAsia="x-none"/>
              </w:rPr>
            </w:pPr>
            <w:r>
              <w:rPr>
                <w:b/>
                <w:bCs/>
                <w:i/>
                <w:iCs/>
              </w:rPr>
              <w:t>Proposal 2:</w:t>
            </w:r>
            <w:r>
              <w:rPr>
                <w:b/>
                <w:bCs/>
              </w:rPr>
              <w:t xml:space="preserve"> </w:t>
            </w:r>
            <w:r>
              <w:rPr>
                <w:b/>
                <w:bCs/>
                <w:lang w:eastAsia="x-none"/>
              </w:rPr>
              <w:t>Support transmitting PUCCH Format 2 using DFT-S-OFDM waveform.</w:t>
            </w:r>
          </w:p>
          <w:p w14:paraId="6811ADDE" w14:textId="77777777" w:rsidR="00DA3A05" w:rsidRDefault="00DA3A05" w:rsidP="00DA3A05">
            <w:pPr>
              <w:jc w:val="both"/>
              <w:rPr>
                <w:rFonts w:eastAsia="宋体"/>
                <w:sz w:val="22"/>
                <w:lang w:val="en-US"/>
              </w:rPr>
            </w:pPr>
            <w:r>
              <w:t>Introducing DFT-S-OFDM for short PUCCH format requires a careful consideration of how the resources are split between DMRS and data. To support single symbol PUCCH transmission, it is required that DMRS and data be multiplexed on the same symbol. One option is to multiplex DMRS and data in time domain before the DFT operation [2], [3].</w:t>
            </w:r>
          </w:p>
          <w:p w14:paraId="09481157" w14:textId="77777777" w:rsidR="00DA3A05" w:rsidRDefault="00DA3A05" w:rsidP="00DA3A05">
            <w:pPr>
              <w:rPr>
                <w:b/>
                <w:bCs/>
                <w:u w:val="single"/>
              </w:rPr>
            </w:pPr>
            <w:r>
              <w:rPr>
                <w:b/>
                <w:bCs/>
                <w:u w:val="single"/>
              </w:rPr>
              <w:t>Transmit-side operations</w:t>
            </w:r>
          </w:p>
          <w:p w14:paraId="2CCDFB77" w14:textId="77777777" w:rsidR="00DA3A05" w:rsidRDefault="00DA3A05" w:rsidP="00DA3A05">
            <w:r>
              <w:t xml:space="preserve">The proposed scheme multiplexes data and reference signal within one symbol duration by virtual TDM. The time domain signal before DFT-spread and the transmitter block diagram is shown in </w:t>
            </w:r>
            <w:r>
              <w:fldChar w:fldCharType="begin"/>
            </w:r>
            <w:r>
              <w:instrText xml:space="preserve"> REF _Ref478050957 \h  \* MERGEFORMAT </w:instrText>
            </w:r>
            <w:r>
              <w:fldChar w:fldCharType="separate"/>
            </w:r>
            <w:r>
              <w:t xml:space="preserve">Figure </w:t>
            </w:r>
            <w:r>
              <w:rPr>
                <w:noProof/>
              </w:rPr>
              <w:t>1</w:t>
            </w:r>
            <w:r>
              <w:fldChar w:fldCharType="end"/>
            </w:r>
            <w:r>
              <w:t>.</w:t>
            </w:r>
          </w:p>
          <w:p w14:paraId="7534DB4B" w14:textId="44CD5407" w:rsidR="00DA3A05" w:rsidRDefault="00DA3A05" w:rsidP="00DA3A05">
            <w:r>
              <w:rPr>
                <w:noProof/>
              </w:rPr>
              <w:drawing>
                <wp:inline distT="0" distB="0" distL="0" distR="0" wp14:anchorId="19414CFF" wp14:editId="0E5A99DC">
                  <wp:extent cx="5905500" cy="1409700"/>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0" cy="1409700"/>
                          </a:xfrm>
                          <a:prstGeom prst="rect">
                            <a:avLst/>
                          </a:prstGeom>
                          <a:noFill/>
                          <a:ln>
                            <a:noFill/>
                          </a:ln>
                        </pic:spPr>
                      </pic:pic>
                    </a:graphicData>
                  </a:graphic>
                </wp:inline>
              </w:drawing>
            </w:r>
          </w:p>
          <w:p w14:paraId="07CDCF00" w14:textId="77777777" w:rsidR="00DA3A05" w:rsidRDefault="00DA3A05" w:rsidP="00DA3A05">
            <w:pPr>
              <w:jc w:val="center"/>
              <w:rPr>
                <w:b/>
                <w:bCs/>
              </w:rPr>
            </w:pPr>
            <w:bookmarkStart w:id="6" w:name="_Ref478050957"/>
            <w:r>
              <w:rPr>
                <w:b/>
                <w:bCs/>
              </w:rPr>
              <w:t xml:space="preserve">Figure </w:t>
            </w:r>
            <w:r>
              <w:fldChar w:fldCharType="begin"/>
            </w:r>
            <w:r>
              <w:rPr>
                <w:b/>
                <w:bCs/>
              </w:rPr>
              <w:instrText xml:space="preserve"> SEQ Figure \* ARABIC </w:instrText>
            </w:r>
            <w:r>
              <w:fldChar w:fldCharType="separate"/>
            </w:r>
            <w:r>
              <w:rPr>
                <w:b/>
                <w:bCs/>
                <w:noProof/>
              </w:rPr>
              <w:t>1</w:t>
            </w:r>
            <w:r>
              <w:fldChar w:fldCharType="end"/>
            </w:r>
            <w:bookmarkEnd w:id="6"/>
            <w:r>
              <w:rPr>
                <w:b/>
                <w:bCs/>
              </w:rPr>
              <w:t>. Transmitter for Virtual TDM of Reference Signal and Data</w:t>
            </w:r>
          </w:p>
          <w:p w14:paraId="7D8AE520" w14:textId="77777777" w:rsidR="00DA3A05" w:rsidRDefault="00DA3A05" w:rsidP="00DA3A05">
            <w:pPr>
              <w:jc w:val="both"/>
            </w:pPr>
            <w:r>
              <w:t xml:space="preserve">The first part of the pre DFT-spread time-domain signal is the reference signal. It is preferable for the reference signal to have low PAPR property on both time and frequency domain to keep the PAPR of the final DFT-s-OFDM waveform low and at the same time make the frequency domain channel estimation efficient. </w:t>
            </w:r>
          </w:p>
          <w:p w14:paraId="5484EA52" w14:textId="77777777" w:rsidR="00DA3A05" w:rsidRDefault="00DA3A05" w:rsidP="00DA3A05">
            <w:pPr>
              <w:jc w:val="both"/>
            </w:pPr>
            <w:r>
              <w:t xml:space="preserve">To reduce inter-symbol interference, an additional virtual CP for reference signal can be optionally added at the beginning of the pre DFT-spread time-domain signal by copying the last symbols of the reference signal. </w:t>
            </w:r>
          </w:p>
          <w:p w14:paraId="0A1E22A2" w14:textId="77777777" w:rsidR="00DA3A05" w:rsidRDefault="00DA3A05" w:rsidP="00DA3A05">
            <w:pPr>
              <w:jc w:val="both"/>
            </w:pPr>
            <w:r>
              <w:t>The reference signal symbols are followed by data symbols to form the pre DFT-spread time domain sequence</w:t>
            </w:r>
            <m:oMath>
              <m:r>
                <m:rPr>
                  <m:sty m:val="p"/>
                </m:rPr>
                <w:rPr>
                  <w:rFonts w:ascii="Cambria Math" w:hAnsi="Cambria Math"/>
                </w:rPr>
                <m:t xml:space="preserve"> s(n)</m:t>
              </m:r>
            </m:oMath>
            <w:r>
              <w:t xml:space="preserve">. The pre DFT-s sequence </w:t>
            </w:r>
            <m:oMath>
              <m:r>
                <m:rPr>
                  <m:sty m:val="p"/>
                </m:rPr>
                <w:rPr>
                  <w:rFonts w:ascii="Cambria Math" w:hAnsi="Cambria Math"/>
                </w:rPr>
                <m:t>s(n)</m:t>
              </m:r>
            </m:oMath>
            <w:r>
              <w:t xml:space="preserve"> goes through the conventional DFT-s-OFDM waveform synthesis to generate the final time domain waveform.</w:t>
            </w:r>
          </w:p>
          <w:p w14:paraId="41236855" w14:textId="77777777" w:rsidR="00DA3A05" w:rsidRDefault="00DA3A05" w:rsidP="00DA3A05">
            <w:r>
              <w:t xml:space="preserve">Denote the signals in </w:t>
            </w:r>
            <w:r>
              <w:fldChar w:fldCharType="begin"/>
            </w:r>
            <w:r>
              <w:instrText xml:space="preserve"> REF _Ref478050957 \h  \* MERGEFORMAT </w:instrText>
            </w:r>
            <w:r>
              <w:fldChar w:fldCharType="separate"/>
            </w:r>
            <w:r>
              <w:t xml:space="preserve">Figure </w:t>
            </w:r>
            <w:r>
              <w:rPr>
                <w:noProof/>
              </w:rPr>
              <w:t>1</w:t>
            </w:r>
            <w:r>
              <w:fldChar w:fldCharType="end"/>
            </w:r>
            <w:r>
              <w:t xml:space="preserve"> as follows:</w:t>
            </w:r>
          </w:p>
          <w:p w14:paraId="066669A9" w14:textId="77777777" w:rsidR="00DA3A05" w:rsidRDefault="00DA3A05" w:rsidP="00DA3A05">
            <m:oMath>
              <m:r>
                <m:rPr>
                  <m:sty m:val="p"/>
                </m:rPr>
                <w:rPr>
                  <w:rFonts w:ascii="Cambria Math" w:hAnsi="Cambria Math"/>
                </w:rPr>
                <m:t>a(n)</m:t>
              </m:r>
            </m:oMath>
            <w:r>
              <w:t xml:space="preserve"> : pre DFT-s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p>
          <w:p w14:paraId="21F037A3" w14:textId="77777777" w:rsidR="00DA3A05" w:rsidRDefault="00DA3A05" w:rsidP="00DA3A05">
            <m:oMath>
              <m:r>
                <m:rPr>
                  <m:sty m:val="p"/>
                </m:rPr>
                <w:rPr>
                  <w:rFonts w:ascii="Cambria Math" w:hAnsi="Cambria Math"/>
                </w:rPr>
                <m:t>b(n)</m:t>
              </m:r>
            </m:oMath>
            <w:r>
              <w:t xml:space="preserve"> : pre DFT-s Data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p>
          <w:p w14:paraId="17932762" w14:textId="77777777" w:rsidR="00DA3A05" w:rsidRDefault="00DA3A05" w:rsidP="00DA3A05">
            <m:oMath>
              <m:r>
                <m:rPr>
                  <m:sty m:val="p"/>
                </m:rPr>
                <w:rPr>
                  <w:rFonts w:ascii="Cambria Math" w:hAnsi="Cambria Math"/>
                </w:rPr>
                <m:t>c(n)</m:t>
              </m:r>
            </m:oMath>
            <w:r>
              <w:t xml:space="preserve"> : pre DFT-s Virtual Cyclic Prefix for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p>
          <w:p w14:paraId="035A92CD" w14:textId="77777777" w:rsidR="00DA3A05" w:rsidRDefault="00DA3A05" w:rsidP="00DA3A05">
            <m:oMath>
              <m:r>
                <m:rPr>
                  <m:sty m:val="p"/>
                </m:rPr>
                <w:rPr>
                  <w:rFonts w:ascii="Cambria Math" w:hAnsi="Cambria Math"/>
                </w:rPr>
                <m:t>s(n)</m:t>
              </m:r>
            </m:oMath>
            <w:r>
              <w:t xml:space="preserve"> : pre DFT-s Time-domain signal with length </w:t>
            </w:r>
            <m:oMath>
              <m:r>
                <m:rPr>
                  <m:sty m:val="p"/>
                </m:rPr>
                <w:rPr>
                  <w:rFonts w:ascii="Cambria Math" w:hAnsi="Cambria Math"/>
                </w:rPr>
                <m:t>M</m:t>
              </m:r>
            </m:oMath>
          </w:p>
          <w:p w14:paraId="44BE7ECA" w14:textId="77777777" w:rsidR="00DA3A05" w:rsidRDefault="00DA3A05" w:rsidP="00DA3A05">
            <w:r>
              <w:t xml:space="preserve">From the above discussion, we can see that </w:t>
            </w:r>
            <m:oMath>
              <m:r>
                <m:rPr>
                  <m:sty m:val="p"/>
                </m:rPr>
                <w:rPr>
                  <w:rFonts w:ascii="Cambria Math" w:hAnsi="Cambria Math"/>
                </w:rPr>
                <m:t>M</m:t>
              </m:r>
            </m:oMath>
            <w:r>
              <w:t xml:space="preserve"> should be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and </w:t>
            </w:r>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oMath>
            <w:r>
              <w:t xml:space="preserve"> should be</w:t>
            </w:r>
          </w:p>
          <w:p w14:paraId="5B12EDB0" w14:textId="77777777" w:rsidR="00DA3A05" w:rsidRDefault="00DA3A05" w:rsidP="00DA3A05">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r>
                <w:rPr>
                  <w:rFonts w:ascii="Cambria Math" w:hAnsi="Cambria Math"/>
                </w:rPr>
                <m:t>=[</m:t>
              </m:r>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3</m:t>
                              </m:r>
                            </m:sub>
                          </m:sSub>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sSub>
                    <m:sSubPr>
                      <m:ctrlPr>
                        <w:rPr>
                          <w:rFonts w:ascii="Cambria Math" w:hAnsi="Cambria Math"/>
                          <w:i/>
                          <w:sz w:val="22"/>
                          <w:szCs w:val="22"/>
                          <w:lang w:eastAsia="zh-CN"/>
                        </w:rPr>
                      </m:ctrlPr>
                    </m:sSubPr>
                    <m:e>
                      <m:r>
                        <w:rPr>
                          <w:rFonts w:ascii="Cambria Math" w:hAnsi="Cambria Math"/>
                        </w:rPr>
                        <m:t>c</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 m</m:t>
                      </m:r>
                    </m:e>
                    <m:sub>
                      <m:r>
                        <w:rPr>
                          <w:rFonts w:ascii="Cambria Math" w:hAnsi="Cambria Math"/>
                        </w:rPr>
                        <m:t>3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r>
                            <w:rPr>
                              <w:rFonts w:ascii="Cambria Math" w:hAnsi="Cambria Math"/>
                            </w:rPr>
                            <m:t>0</m:t>
                          </m:r>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r>
                    <w:rPr>
                      <w:rFonts w:ascii="Cambria Math" w:hAnsi="Cambria Math"/>
                    </w:rPr>
                    <m:t>a</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b</m:t>
                      </m:r>
                      <m:d>
                        <m:dPr>
                          <m:ctrlPr>
                            <w:rPr>
                              <w:rFonts w:ascii="Cambria Math" w:hAnsi="Cambria Math"/>
                              <w:i/>
                              <w:sz w:val="22"/>
                              <w:szCs w:val="22"/>
                              <w:lang w:eastAsia="zh-CN"/>
                            </w:rPr>
                          </m:ctrlPr>
                        </m:dPr>
                        <m:e>
                          <m:r>
                            <w:rPr>
                              <w:rFonts w:ascii="Cambria Math" w:hAnsi="Cambria Math"/>
                            </w:rPr>
                            <m:t>0</m:t>
                          </m:r>
                        </m:e>
                      </m:d>
                      <m:r>
                        <w:rPr>
                          <w:rFonts w:ascii="Cambria Math" w:hAnsi="Cambria Math"/>
                        </w:rPr>
                        <m:t>, …,b</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m:t>
                              </m:r>
                            </m:sub>
                          </m:sSub>
                          <m:r>
                            <w:rPr>
                              <w:rFonts w:ascii="Cambria Math" w:hAnsi="Cambria Math"/>
                            </w:rPr>
                            <m:t>-1</m:t>
                          </m:r>
                        </m:e>
                      </m:d>
                    </m:e>
                  </m:groupChr>
                </m:e>
                <m:lim>
                  <m:r>
                    <w:rPr>
                      <w:rFonts w:ascii="Cambria Math" w:hAnsi="Cambria Math"/>
                    </w:rPr>
                    <m:t>b</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  Symbols</m:t>
                      </m:r>
                    </m:sub>
                  </m:sSub>
                </m:lim>
              </m:limLow>
              <m:r>
                <w:rPr>
                  <w:rFonts w:ascii="Cambria Math" w:hAnsi="Cambria Math"/>
                </w:rPr>
                <m:t>]</m:t>
              </m:r>
            </m:oMath>
            <w:r>
              <w:t>.</w:t>
            </w:r>
          </w:p>
          <w:p w14:paraId="00355EC5" w14:textId="77777777" w:rsidR="00DA3A05" w:rsidRDefault="00DA3A05" w:rsidP="00DA3A05">
            <w:pPr>
              <w:jc w:val="both"/>
            </w:pPr>
            <w:r>
              <w:rPr>
                <w:b/>
                <w:bCs/>
                <w:u w:val="single"/>
              </w:rPr>
              <w:t>Receive-side operations</w:t>
            </w:r>
          </w:p>
          <w:p w14:paraId="1A815946" w14:textId="77777777" w:rsidR="00DA3A05" w:rsidRDefault="00DA3A05" w:rsidP="00DA3A05">
            <w:pPr>
              <w:jc w:val="both"/>
            </w:pPr>
            <w:r>
              <w:fldChar w:fldCharType="begin"/>
            </w:r>
            <w:r>
              <w:instrText xml:space="preserve"> REF _Ref478050810 \h  \* MERGEFORMAT </w:instrText>
            </w:r>
            <w:r>
              <w:fldChar w:fldCharType="separate"/>
            </w:r>
            <w:r>
              <w:t>Figure 2</w:t>
            </w:r>
            <w:r>
              <w:fldChar w:fldCharType="end"/>
            </w:r>
            <w:r>
              <w:t xml:space="preserve"> shows the receiver block diagram for the virtual TDM shown in </w:t>
            </w:r>
            <w:r>
              <w:fldChar w:fldCharType="begin"/>
            </w:r>
            <w:r>
              <w:instrText xml:space="preserve"> REF _Ref478050957 \h  \* MERGEFORMAT </w:instrText>
            </w:r>
            <w:r>
              <w:fldChar w:fldCharType="separate"/>
            </w:r>
            <w:r>
              <w:t>Figure 1</w:t>
            </w:r>
            <w:r>
              <w:fldChar w:fldCharType="end"/>
            </w:r>
            <w:r>
              <w:t xml:space="preserve">. Except the channel estimation block, the receiver is essentially equivalent to the conventional DFT-s-OFDM receiver. After FFT and tone </w:t>
            </w:r>
            <w:proofErr w:type="spellStart"/>
            <w:r>
              <w:t>demapper</w:t>
            </w:r>
            <w:proofErr w:type="spellEnd"/>
            <w:r>
              <w:t xml:space="preserve">, the extracted tones are equalized and go through IDFT to obtain M time domain symbols. Then,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r>
              <w:t xml:space="preserve"> data symbols are extracted for the decoding.</w:t>
            </w:r>
          </w:p>
          <w:p w14:paraId="6F4AA4A0" w14:textId="484F30C0" w:rsidR="00DA3A05" w:rsidRDefault="00DA3A05" w:rsidP="00DA3A05">
            <w:r>
              <w:rPr>
                <w:noProof/>
              </w:rPr>
              <mc:AlternateContent>
                <mc:Choice Requires="wps">
                  <w:drawing>
                    <wp:anchor distT="0" distB="0" distL="114300" distR="114300" simplePos="0" relativeHeight="251654656" behindDoc="0" locked="0" layoutInCell="1" allowOverlap="1" wp14:anchorId="65A0A361" wp14:editId="3B9E7083">
                      <wp:simplePos x="0" y="0"/>
                      <wp:positionH relativeFrom="column">
                        <wp:posOffset>5715</wp:posOffset>
                      </wp:positionH>
                      <wp:positionV relativeFrom="paragraph">
                        <wp:posOffset>1992630</wp:posOffset>
                      </wp:positionV>
                      <wp:extent cx="5615940" cy="30607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92C58" w14:textId="77777777" w:rsidR="003740BF" w:rsidRDefault="003740BF" w:rsidP="00DA3A05">
                                  <w:pPr>
                                    <w:pStyle w:val="Caption"/>
                                    <w:jc w:val="center"/>
                                  </w:pPr>
                                  <w:bookmarkStart w:id="7" w:name="_Ref478050810"/>
                                  <w:r>
                                    <w:t xml:space="preserve">Figure </w:t>
                                  </w:r>
                                  <w:r>
                                    <w:fldChar w:fldCharType="begin"/>
                                  </w:r>
                                  <w:r>
                                    <w:instrText xml:space="preserve"> SEQ Figure \* ARABIC </w:instrText>
                                  </w:r>
                                  <w:r>
                                    <w:fldChar w:fldCharType="separate"/>
                                  </w:r>
                                  <w:r>
                                    <w:rPr>
                                      <w:noProof/>
                                    </w:rPr>
                                    <w:t>2</w:t>
                                  </w:r>
                                  <w:r>
                                    <w:fldChar w:fldCharType="end"/>
                                  </w:r>
                                  <w:bookmarkEnd w:id="7"/>
                                  <w:r>
                                    <w:t>. Receiver for Virtual TDM of Reference Signal and Data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A0A361" id="_x0000_t202" coordsize="21600,21600" o:spt="202" path="m,l,21600r21600,l21600,xe">
                      <v:stroke joinstyle="miter"/>
                      <v:path gradientshapeok="t" o:connecttype="rect"/>
                    </v:shapetype>
                    <v:shape id="テキスト ボックス 119" o:spid="_x0000_s1026" type="#_x0000_t202" style="position:absolute;margin-left:.45pt;margin-top:156.9pt;width:442.2pt;height:24.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" stroked="f">
                      <v:textbox style="mso-fit-shape-to-text:t" inset="0,0,0,0">
                        <w:txbxContent>
                          <w:p w14:paraId="41392C58" w14:textId="77777777" w:rsidR="003740BF" w:rsidRDefault="003740BF" w:rsidP="00DA3A05">
                            <w:pPr>
                              <w:pStyle w:val="Caption"/>
                              <w:jc w:val="center"/>
                            </w:pPr>
                            <w:bookmarkStart w:id="8" w:name="_Ref478050810"/>
                            <w:r>
                              <w:t xml:space="preserve">Figure </w:t>
                            </w:r>
                            <w:r>
                              <w:fldChar w:fldCharType="begin"/>
                            </w:r>
                            <w:r>
                              <w:instrText xml:space="preserve"> SEQ Figure \* ARABIC </w:instrText>
                            </w:r>
                            <w:r>
                              <w:fldChar w:fldCharType="separate"/>
                            </w:r>
                            <w:r>
                              <w:rPr>
                                <w:noProof/>
                              </w:rPr>
                              <w:t>2</w:t>
                            </w:r>
                            <w:r>
                              <w:fldChar w:fldCharType="end"/>
                            </w:r>
                            <w:bookmarkEnd w:id="8"/>
                            <w:r>
                              <w:t>. Receiver for Virtual TDM of Reference Signal and Data</w:t>
                            </w:r>
                          </w:p>
                        </w:txbxContent>
                      </v:textbox>
                    </v:shape>
                  </w:pict>
                </mc:Fallback>
              </mc:AlternateContent>
            </w:r>
            <w:r>
              <w:rPr>
                <w:noProof/>
              </w:rPr>
              <w:drawing>
                <wp:anchor distT="0" distB="0" distL="114300" distR="114300" simplePos="0" relativeHeight="251655680" behindDoc="0" locked="0" layoutInCell="1" allowOverlap="1" wp14:anchorId="5EA8A82A" wp14:editId="5AB82817">
                  <wp:simplePos x="0" y="0"/>
                  <wp:positionH relativeFrom="character">
                    <wp:posOffset>0</wp:posOffset>
                  </wp:positionH>
                  <wp:positionV relativeFrom="line">
                    <wp:posOffset>0</wp:posOffset>
                  </wp:positionV>
                  <wp:extent cx="5615940" cy="1935480"/>
                  <wp:effectExtent l="0" t="0" r="381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5940" cy="193548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07482AA1" wp14:editId="1C99F4EE">
                      <wp:extent cx="5614670" cy="1936750"/>
                      <wp:effectExtent l="0" t="0" r="0" b="0"/>
                      <wp:docPr id="117" name="正方形/長方形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4670" cy="193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w:pict>
                    <v:rect w14:anchorId="4AB173A6" id="正方形/長方形 117" o:spid="_x0000_s1026" style="width:442.1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" filled="f" stroked="f">
                      <o:lock v:ext="edit" aspectratio="t"/>
                      <w10:anchorlock/>
                    </v:rect>
                  </w:pict>
                </mc:Fallback>
              </mc:AlternateContent>
            </w:r>
          </w:p>
          <w:p w14:paraId="1D9A804D" w14:textId="77777777" w:rsidR="00DA3A05" w:rsidRDefault="00DA3A05" w:rsidP="00DA3A05"/>
          <w:p w14:paraId="4B38BE7F" w14:textId="77777777" w:rsidR="00DA3A05" w:rsidRDefault="00DA3A05" w:rsidP="00DA3A05">
            <w:pPr>
              <w:jc w:val="both"/>
            </w:pPr>
            <w:r>
              <w:t xml:space="preserve">There can be multiple options for the channel estimator. </w:t>
            </w:r>
            <w:r>
              <w:fldChar w:fldCharType="begin"/>
            </w:r>
            <w:r>
              <w:instrText xml:space="preserve"> REF _Ref478107237 \h  \* MERGEFORMAT </w:instrText>
            </w:r>
            <w:r>
              <w:fldChar w:fldCharType="separate"/>
            </w:r>
            <w:r>
              <w:t>Figure 3</w:t>
            </w:r>
            <w:r>
              <w:fldChar w:fldCharType="end"/>
            </w:r>
            <w:r>
              <w:t xml:space="preserve"> shows a channel estimator for the virtual TDM of reference signal and data. After FFT and tone </w:t>
            </w:r>
            <w:proofErr w:type="spellStart"/>
            <w:r>
              <w:t>demapper</w:t>
            </w:r>
            <w:proofErr w:type="spellEnd"/>
            <w:r>
              <w:t xml:space="preserve">, the extracted tones go through IDFT to obtain M time domain symbols. Denote the discrete-time equivalent channel between the Tx antenna and Rx antenna for the M time domain symbols as </w:t>
            </w:r>
            <m:oMath>
              <m:r>
                <m:rPr>
                  <m:sty m:val="p"/>
                </m:rPr>
                <w:rPr>
                  <w:rFonts w:ascii="Cambria Math" w:hAnsi="Cambria Math"/>
                </w:rPr>
                <m:t>h(n)</m:t>
              </m:r>
            </m:oMath>
            <w:r>
              <w:t xml:space="preserve">. When the CP length for Reference signal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is chosen longer than the propagation delay of </w:t>
            </w:r>
            <m:oMath>
              <m:r>
                <m:rPr>
                  <m:sty m:val="p"/>
                </m:rPr>
                <w:rPr>
                  <w:rFonts w:ascii="Cambria Math" w:hAnsi="Cambria Math"/>
                </w:rPr>
                <m:t>h(n)</m:t>
              </m:r>
            </m:oMath>
            <w:r>
              <w:t xml:space="preserve">, the reference signal is protected from inter-symbol interference and circular convolution is preserved. Therefore, the extracted RS symbols in </w:t>
            </w:r>
            <w:r>
              <w:fldChar w:fldCharType="begin"/>
            </w:r>
            <w:r>
              <w:instrText xml:space="preserve"> REF _Ref478107237 \h  \* MERGEFORMAT </w:instrText>
            </w:r>
            <w:r>
              <w:fldChar w:fldCharType="separate"/>
            </w:r>
            <w:r>
              <w:t>Figure 3</w:t>
            </w:r>
            <w:r>
              <w:fldChar w:fldCharType="end"/>
            </w:r>
            <w:r>
              <w:t xml:space="preserve"> can be represented as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sSub>
                <m:sSubPr>
                  <m:ctrlPr>
                    <w:rPr>
                      <w:rFonts w:ascii="Cambria Math" w:hAnsi="Cambria Math"/>
                      <w:i/>
                      <w:sz w:val="22"/>
                      <w:szCs w:val="22"/>
                      <w:lang w:eastAsia="zh-CN"/>
                    </w:rPr>
                  </m:ctrlPr>
                </m:sSubPr>
                <m:e>
                  <m:r>
                    <w:rPr>
                      <w:rFonts w:ascii="Cambria Math" w:hAnsi="Cambria Math"/>
                    </w:rPr>
                    <m:t>⊗</m:t>
                  </m:r>
                </m:e>
                <m:sub>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sub>
              </m:sSub>
              <m:r>
                <m:rPr>
                  <m:sty m:val="p"/>
                </m:rPr>
                <w:rPr>
                  <w:rFonts w:ascii="Cambria Math" w:hAnsi="Cambria Math"/>
                </w:rPr>
                <m:t>a</m:t>
              </m:r>
              <m:d>
                <m:dPr>
                  <m:ctrlPr>
                    <w:rPr>
                      <w:rFonts w:ascii="Cambria Math" w:hAnsi="Cambria Math"/>
                      <w:sz w:val="22"/>
                      <w:szCs w:val="22"/>
                      <w:lang w:eastAsia="zh-CN"/>
                    </w:rPr>
                  </m:ctrlPr>
                </m:dPr>
                <m:e>
                  <m:r>
                    <m:rPr>
                      <m:sty m:val="p"/>
                    </m:rPr>
                    <w:rPr>
                      <w:rFonts w:ascii="Cambria Math" w:hAnsi="Cambria Math"/>
                    </w:rPr>
                    <m:t>n</m:t>
                  </m:r>
                </m:e>
              </m:d>
            </m:oMath>
            <w:r>
              <w:t xml:space="preserve"> where </w:t>
            </w:r>
            <m:oMath>
              <m:sSub>
                <m:sSubPr>
                  <m:ctrlPr>
                    <w:rPr>
                      <w:rFonts w:ascii="Cambria Math" w:hAnsi="Cambria Math"/>
                      <w:i/>
                      <w:sz w:val="22"/>
                      <w:szCs w:val="22"/>
                      <w:lang w:eastAsia="zh-CN"/>
                    </w:rPr>
                  </m:ctrlPr>
                </m:sSubPr>
                <m:e>
                  <m:r>
                    <w:rPr>
                      <w:rFonts w:ascii="Cambria Math" w:hAnsi="Cambria Math" w:cs="Cambria Math"/>
                    </w:rPr>
                    <m:t>⊗</m:t>
                  </m:r>
                </m:e>
                <m:sub>
                  <m:sSub>
                    <m:sSubPr>
                      <m:ctrlPr>
                        <w:rPr>
                          <w:rFonts w:ascii="Cambria Math" w:hAnsi="Cambria Math"/>
                          <w:i/>
                          <w:sz w:val="22"/>
                          <w:szCs w:val="22"/>
                          <w:lang w:eastAsia="zh-CN"/>
                        </w:rPr>
                      </m:ctrlPr>
                    </m:sSubPr>
                    <m:e>
                      <m:r>
                        <w:rPr>
                          <w:rFonts w:ascii="Cambria Math"/>
                        </w:rPr>
                        <m:t>m</m:t>
                      </m:r>
                    </m:e>
                    <m:sub>
                      <m:r>
                        <w:rPr>
                          <w:rFonts w:ascii="Cambria Math"/>
                        </w:rPr>
                        <m:t>1</m:t>
                      </m:r>
                    </m:sub>
                  </m:sSub>
                </m:sub>
              </m:sSub>
            </m:oMath>
            <w:r>
              <w:t xml:space="preserve"> denotes the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circular convolution. The channel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oMath>
            <w:r>
              <w:t xml:space="preserve"> can be obtained by converting the extracted reference signal symbols to frequency domain by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DFT. Finally, the estimated channel for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 tones can be upsampled by a factor of </w:t>
            </w:r>
            <m:oMath>
              <m:sSub>
                <m:sSubPr>
                  <m:ctrlPr>
                    <w:rPr>
                      <w:rFonts w:ascii="Cambria Math" w:hAnsi="Cambria Math"/>
                      <w:sz w:val="22"/>
                      <w:szCs w:val="22"/>
                      <w:lang w:eastAsia="zh-CN"/>
                    </w:rPr>
                  </m:ctrlPr>
                </m:sSubPr>
                <m:e>
                  <m:r>
                    <w:rPr>
                      <w:rFonts w:ascii="Cambria Math" w:hAnsi="Cambria Math"/>
                    </w:rPr>
                    <m:t>M/m</m:t>
                  </m:r>
                </m:e>
                <m:sub>
                  <m:r>
                    <w:rPr>
                      <w:rFonts w:ascii="Cambria Math" w:hAnsi="Cambria Math"/>
                    </w:rPr>
                    <m:t>1</m:t>
                  </m:r>
                </m:sub>
              </m:sSub>
            </m:oMath>
            <w:r>
              <w:t xml:space="preserve"> to obtain the channel estimation for </w:t>
            </w:r>
            <m:oMath>
              <m:r>
                <m:rPr>
                  <m:sty m:val="p"/>
                </m:rPr>
                <w:rPr>
                  <w:rFonts w:ascii="Cambria Math" w:hAnsi="Cambria Math"/>
                </w:rPr>
                <m:t>M</m:t>
              </m:r>
            </m:oMath>
            <w:r>
              <w:t xml:space="preserve"> tones, which can be used for the channel equalization in the receiver of </w:t>
            </w:r>
            <w:r>
              <w:fldChar w:fldCharType="begin"/>
            </w:r>
            <w:r>
              <w:instrText xml:space="preserve"> REF _Ref478050810 \h  \* MERGEFORMAT </w:instrText>
            </w:r>
            <w:r>
              <w:fldChar w:fldCharType="separate"/>
            </w:r>
            <w:r>
              <w:t>Figure 2</w:t>
            </w:r>
            <w:r>
              <w:fldChar w:fldCharType="end"/>
            </w:r>
            <w:r>
              <w:t>.</w:t>
            </w:r>
          </w:p>
          <w:p w14:paraId="5AF0F4A3" w14:textId="1D4F9D2D" w:rsidR="00DA3A05" w:rsidRDefault="00DA3A05" w:rsidP="00DA3A05">
            <w:r>
              <w:rPr>
                <w:noProof/>
              </w:rPr>
              <mc:AlternateContent>
                <mc:Choice Requires="wps">
                  <w:drawing>
                    <wp:anchor distT="0" distB="0" distL="114300" distR="114300" simplePos="0" relativeHeight="251658752" behindDoc="0" locked="0" layoutInCell="1" allowOverlap="1" wp14:anchorId="76980E05" wp14:editId="7AC2C6C0">
                      <wp:simplePos x="0" y="0"/>
                      <wp:positionH relativeFrom="column">
                        <wp:posOffset>0</wp:posOffset>
                      </wp:positionH>
                      <wp:positionV relativeFrom="paragraph">
                        <wp:posOffset>2373630</wp:posOffset>
                      </wp:positionV>
                      <wp:extent cx="5648325" cy="30607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94147" w14:textId="77777777" w:rsidR="003740BF" w:rsidRDefault="003740BF" w:rsidP="00DA3A05">
                                  <w:pPr>
                                    <w:pStyle w:val="Caption"/>
                                    <w:jc w:val="center"/>
                                  </w:pPr>
                                  <w:bookmarkStart w:id="9" w:name="_Ref478107237"/>
                                  <w:r>
                                    <w:t xml:space="preserve">Figure </w:t>
                                  </w:r>
                                  <w:r>
                                    <w:fldChar w:fldCharType="begin"/>
                                  </w:r>
                                  <w:r>
                                    <w:instrText xml:space="preserve"> SEQ Figure \* ARABIC </w:instrText>
                                  </w:r>
                                  <w:r>
                                    <w:fldChar w:fldCharType="separate"/>
                                  </w:r>
                                  <w:r>
                                    <w:rPr>
                                      <w:noProof/>
                                    </w:rPr>
                                    <w:t>3</w:t>
                                  </w:r>
                                  <w:r>
                                    <w:fldChar w:fldCharType="end"/>
                                  </w:r>
                                  <w:bookmarkEnd w:id="9"/>
                                  <w:r>
                                    <w:t>. Channel Estimator for Virtual TDM of Reference Signal and Data – Option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980E05" id="テキスト ボックス 116" o:spid="_x0000_s1027" type="#_x0000_t202" style="position:absolute;margin-left:0;margin-top:186.9pt;width:444.75pt;height:24.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" stroked="f">
                      <v:textbox style="mso-fit-shape-to-text:t" inset="0,0,0,0">
                        <w:txbxContent>
                          <w:p w14:paraId="10E94147" w14:textId="77777777" w:rsidR="003740BF" w:rsidRDefault="003740BF" w:rsidP="00DA3A05">
                            <w:pPr>
                              <w:pStyle w:val="Caption"/>
                              <w:jc w:val="center"/>
                            </w:pPr>
                            <w:bookmarkStart w:id="10" w:name="_Ref478107237"/>
                            <w:r>
                              <w:t xml:space="preserve">Figure </w:t>
                            </w:r>
                            <w:r>
                              <w:fldChar w:fldCharType="begin"/>
                            </w:r>
                            <w:r>
                              <w:instrText xml:space="preserve"> SEQ Figure \* ARABIC </w:instrText>
                            </w:r>
                            <w:r>
                              <w:fldChar w:fldCharType="separate"/>
                            </w:r>
                            <w:r>
                              <w:rPr>
                                <w:noProof/>
                              </w:rPr>
                              <w:t>3</w:t>
                            </w:r>
                            <w:r>
                              <w:fldChar w:fldCharType="end"/>
                            </w:r>
                            <w:bookmarkEnd w:id="10"/>
                            <w:r>
                              <w:t>. Channel Estimator for Virtual TDM of Reference Signal and Data – Option A.</w:t>
                            </w:r>
                          </w:p>
                        </w:txbxContent>
                      </v:textbox>
                    </v:shape>
                  </w:pict>
                </mc:Fallback>
              </mc:AlternateContent>
            </w:r>
            <w:r>
              <w:rPr>
                <w:noProof/>
              </w:rPr>
              <w:drawing>
                <wp:anchor distT="0" distB="0" distL="114300" distR="114300" simplePos="0" relativeHeight="251656704" behindDoc="0" locked="0" layoutInCell="1" allowOverlap="1" wp14:anchorId="425EC41C" wp14:editId="4AEB8D0E">
                  <wp:simplePos x="0" y="0"/>
                  <wp:positionH relativeFrom="character">
                    <wp:posOffset>0</wp:posOffset>
                  </wp:positionH>
                  <wp:positionV relativeFrom="line">
                    <wp:posOffset>0</wp:posOffset>
                  </wp:positionV>
                  <wp:extent cx="5648325" cy="2310130"/>
                  <wp:effectExtent l="0" t="0" r="9525"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48325" cy="23101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48964E66" wp14:editId="0C76CF1C">
                      <wp:extent cx="5650865" cy="2311400"/>
                      <wp:effectExtent l="0" t="0" r="0" b="3175"/>
                      <wp:docPr id="114" name="正方形/長方形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0865" cy="231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w:pict>
                    <v:rect w14:anchorId="79CC805C" id="正方形/長方形 114" o:spid="_x0000_s1026" style="width:444.95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" filled="f" stroked="f">
                      <o:lock v:ext="edit" aspectratio="t"/>
                      <w10:anchorlock/>
                    </v:rect>
                  </w:pict>
                </mc:Fallback>
              </mc:AlternateContent>
            </w:r>
          </w:p>
          <w:p w14:paraId="68E5FDA2" w14:textId="77777777" w:rsidR="00DA3A05" w:rsidRDefault="00DA3A05" w:rsidP="00DA3A05"/>
          <w:p w14:paraId="5A4029AF" w14:textId="77777777" w:rsidR="00DA3A05" w:rsidRDefault="00DA3A05" w:rsidP="00DA3A05">
            <w:pPr>
              <w:jc w:val="both"/>
            </w:pPr>
            <w:r>
              <w:t xml:space="preserve">Alternatively, the </w:t>
            </w:r>
            <w:proofErr w:type="spellStart"/>
            <w:r>
              <w:t>upsampling</w:t>
            </w:r>
            <w:proofErr w:type="spellEnd"/>
            <w:r>
              <w:t xml:space="preserve"> block can be further removed by using </w:t>
            </w:r>
            <m:oMath>
              <m:r>
                <m:rPr>
                  <m:sty m:val="p"/>
                </m:rPr>
                <w:rPr>
                  <w:rFonts w:ascii="Cambria Math" w:hAnsi="Cambria Math"/>
                </w:rPr>
                <m:t>M</m:t>
              </m:r>
            </m:oMath>
            <w:r>
              <w:t xml:space="preserve">-point DFT. </w:t>
            </w:r>
            <w:r>
              <w:fldChar w:fldCharType="begin"/>
            </w:r>
            <w:r>
              <w:instrText xml:space="preserve"> REF _Ref478109111 \h  \* MERGEFORMAT </w:instrText>
            </w:r>
            <w:r>
              <w:fldChar w:fldCharType="separate"/>
            </w:r>
            <w:r>
              <w:t>Figure 4</w:t>
            </w:r>
            <w:r>
              <w:fldChar w:fldCharType="end"/>
            </w:r>
            <w:r>
              <w:t xml:space="preserve"> shows an alternative option for the channel estimator. The extracted tones go through </w:t>
            </w:r>
            <m:oMath>
              <m:r>
                <m:rPr>
                  <m:sty m:val="p"/>
                </m:rPr>
                <w:rPr>
                  <w:rFonts w:ascii="Cambria Math" w:hAnsi="Cambria Math"/>
                </w:rPr>
                <m:t>M</m:t>
              </m:r>
            </m:oMath>
            <w:r>
              <w:t xml:space="preserve">-point IDFT to obtain </w:t>
            </w:r>
            <m:oMath>
              <m:r>
                <m:rPr>
                  <m:sty m:val="p"/>
                </m:rPr>
                <w:rPr>
                  <w:rFonts w:ascii="Cambria Math" w:hAnsi="Cambria Math"/>
                </w:rPr>
                <m:t>M</m:t>
              </m:r>
            </m:oMath>
            <w:r>
              <w:t xml:space="preserve"> time domain symbols. Then, the data symbols are replaced by zeros, and the modified </w:t>
            </w:r>
            <m:oMath>
              <m:r>
                <m:rPr>
                  <m:sty m:val="p"/>
                </m:rPr>
                <w:rPr>
                  <w:rFonts w:ascii="Cambria Math" w:hAnsi="Cambria Math"/>
                </w:rPr>
                <m:t>M</m:t>
              </m:r>
            </m:oMath>
            <w:r>
              <w:t xml:space="preserve"> time domain symbols converted to the frequency domain by </w:t>
            </w:r>
            <m:oMath>
              <m:r>
                <m:rPr>
                  <m:sty m:val="p"/>
                </m:rPr>
                <w:rPr>
                  <w:rFonts w:ascii="Cambria Math" w:hAnsi="Cambria Math"/>
                </w:rPr>
                <m:t>M</m:t>
              </m:r>
            </m:oMath>
            <w:r>
              <w:t xml:space="preserve">-point DFT. Finally, the </w:t>
            </w:r>
            <m:oMath>
              <m:r>
                <m:rPr>
                  <m:sty m:val="p"/>
                </m:rPr>
                <w:rPr>
                  <w:rFonts w:ascii="Cambria Math" w:hAnsi="Cambria Math"/>
                </w:rPr>
                <m:t>M</m:t>
              </m:r>
            </m:oMath>
            <w:r>
              <w:t xml:space="preserve"> channel tones can be estimated in the frequency domain.</w:t>
            </w:r>
          </w:p>
          <w:p w14:paraId="6A8C05C0" w14:textId="036B3DC1" w:rsidR="00DA3A05" w:rsidRDefault="00DA3A05" w:rsidP="00DA3A05">
            <w:r>
              <w:rPr>
                <w:noProof/>
              </w:rPr>
              <mc:AlternateContent>
                <mc:Choice Requires="wps">
                  <w:drawing>
                    <wp:anchor distT="0" distB="0" distL="114300" distR="114300" simplePos="0" relativeHeight="251659776" behindDoc="0" locked="0" layoutInCell="1" allowOverlap="1" wp14:anchorId="494A6BEE" wp14:editId="0DE41E4E">
                      <wp:simplePos x="0" y="0"/>
                      <wp:positionH relativeFrom="column">
                        <wp:posOffset>1905</wp:posOffset>
                      </wp:positionH>
                      <wp:positionV relativeFrom="paragraph">
                        <wp:posOffset>2134870</wp:posOffset>
                      </wp:positionV>
                      <wp:extent cx="5801995" cy="306070"/>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B0AFB" w14:textId="77777777" w:rsidR="003740BF" w:rsidRDefault="003740BF" w:rsidP="00DA3A05">
                                  <w:pPr>
                                    <w:pStyle w:val="Caption"/>
                                    <w:jc w:val="center"/>
                                  </w:pPr>
                                  <w:bookmarkStart w:id="11" w:name="_Ref478109111"/>
                                  <w:r>
                                    <w:t xml:space="preserve">Figure </w:t>
                                  </w:r>
                                  <w:r>
                                    <w:fldChar w:fldCharType="begin"/>
                                  </w:r>
                                  <w:r>
                                    <w:instrText xml:space="preserve"> SEQ Figure \* ARABIC </w:instrText>
                                  </w:r>
                                  <w:r>
                                    <w:fldChar w:fldCharType="separate"/>
                                  </w:r>
                                  <w:r>
                                    <w:rPr>
                                      <w:noProof/>
                                    </w:rPr>
                                    <w:t>4</w:t>
                                  </w:r>
                                  <w:r>
                                    <w:fldChar w:fldCharType="end"/>
                                  </w:r>
                                  <w:bookmarkEnd w:id="11"/>
                                  <w:r>
                                    <w:t>. Channel Estimator for Virtual TDM of Reference Signal and Data – Option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4A6BEE" id="テキスト ボックス 113" o:spid="_x0000_s1028" type="#_x0000_t202" style="position:absolute;margin-left:.15pt;margin-top:168.1pt;width:456.85pt;height:24.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" stroked="f">
                      <v:textbox style="mso-fit-shape-to-text:t" inset="0,0,0,0">
                        <w:txbxContent>
                          <w:p w14:paraId="678B0AFB" w14:textId="77777777" w:rsidR="003740BF" w:rsidRDefault="003740BF" w:rsidP="00DA3A05">
                            <w:pPr>
                              <w:pStyle w:val="Caption"/>
                              <w:jc w:val="center"/>
                            </w:pPr>
                            <w:bookmarkStart w:id="12" w:name="_Ref478109111"/>
                            <w:r>
                              <w:t xml:space="preserve">Figure </w:t>
                            </w:r>
                            <w:r>
                              <w:fldChar w:fldCharType="begin"/>
                            </w:r>
                            <w:r>
                              <w:instrText xml:space="preserve"> SEQ Figure \* ARABIC </w:instrText>
                            </w:r>
                            <w:r>
                              <w:fldChar w:fldCharType="separate"/>
                            </w:r>
                            <w:r>
                              <w:rPr>
                                <w:noProof/>
                              </w:rPr>
                              <w:t>4</w:t>
                            </w:r>
                            <w:r>
                              <w:fldChar w:fldCharType="end"/>
                            </w:r>
                            <w:bookmarkEnd w:id="12"/>
                            <w:r>
                              <w:t>. Channel Estimator for Virtual TDM of Reference Signal and Data – Option B.</w:t>
                            </w:r>
                          </w:p>
                        </w:txbxContent>
                      </v:textbox>
                    </v:shape>
                  </w:pict>
                </mc:Fallback>
              </mc:AlternateContent>
            </w:r>
            <w:r>
              <w:rPr>
                <w:noProof/>
              </w:rPr>
              <w:drawing>
                <wp:anchor distT="0" distB="0" distL="114300" distR="114300" simplePos="0" relativeHeight="251657728" behindDoc="0" locked="0" layoutInCell="1" allowOverlap="1" wp14:anchorId="471B713D" wp14:editId="1E689B0A">
                  <wp:simplePos x="0" y="0"/>
                  <wp:positionH relativeFrom="character">
                    <wp:posOffset>0</wp:posOffset>
                  </wp:positionH>
                  <wp:positionV relativeFrom="line">
                    <wp:posOffset>0</wp:posOffset>
                  </wp:positionV>
                  <wp:extent cx="5801995" cy="2077720"/>
                  <wp:effectExtent l="0" t="0" r="8255"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01995" cy="20777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02D3FA98" wp14:editId="792B56A5">
                      <wp:extent cx="5805170" cy="2080260"/>
                      <wp:effectExtent l="0" t="0" r="0" b="0"/>
                      <wp:docPr id="111" name="正方形/長方形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08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w:pict>
                    <v:rect w14:anchorId="33BE90D2" id="正方形/長方形 111" o:spid="_x0000_s1026" style="width:457.1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" filled="f" stroked="f">
                      <o:lock v:ext="edit" aspectratio="t"/>
                      <w10:anchorlock/>
                    </v:rect>
                  </w:pict>
                </mc:Fallback>
              </mc:AlternateContent>
            </w:r>
          </w:p>
          <w:p w14:paraId="18C5752A" w14:textId="77777777" w:rsidR="00DA3A05" w:rsidRDefault="00DA3A05" w:rsidP="00DA3A05"/>
          <w:p w14:paraId="6A2C7AA3" w14:textId="77777777" w:rsidR="00DA3A05" w:rsidRDefault="00DA3A05" w:rsidP="00DA3A05">
            <w:r>
              <w:t xml:space="preserve">Clearly, this proposed transmission scheme can provide the multiplexing of reference signal and data with arbitrary pilot ratio while keeping the low PAPR property of DFT-s-OFDM waveform. </w:t>
            </w:r>
          </w:p>
          <w:p w14:paraId="4769A9C3" w14:textId="77777777" w:rsidR="00DA3A05" w:rsidRDefault="00DA3A05" w:rsidP="00DA3A05">
            <w:pPr>
              <w:rPr>
                <w:b/>
                <w:bCs/>
                <w:u w:val="single"/>
              </w:rPr>
            </w:pPr>
            <w:r>
              <w:rPr>
                <w:b/>
                <w:bCs/>
                <w:u w:val="single"/>
              </w:rPr>
              <w:t>Simulation Results</w:t>
            </w:r>
          </w:p>
          <w:p w14:paraId="3BA282EB" w14:textId="77777777" w:rsidR="00DA3A05" w:rsidRDefault="00DA3A05" w:rsidP="00DA3A05">
            <w:pPr>
              <w:jc w:val="both"/>
            </w:pPr>
            <w:r>
              <w:t xml:space="preserve">In this section, we simulate and compare the link performances of the proposed virtual TDM scheme and compare with that of OFDM where the reference signal and data </w:t>
            </w:r>
            <w:proofErr w:type="gramStart"/>
            <w:r>
              <w:t>is</w:t>
            </w:r>
            <w:proofErr w:type="gramEnd"/>
            <w:r>
              <w:t xml:space="preserve"> </w:t>
            </w:r>
            <w:proofErr w:type="spellStart"/>
            <w:r>
              <w:t>FDMed</w:t>
            </w:r>
            <w:proofErr w:type="spellEnd"/>
            <w:r>
              <w:t>.</w:t>
            </w:r>
          </w:p>
          <w:p w14:paraId="64854C7B" w14:textId="77777777" w:rsidR="00DA3A05" w:rsidRDefault="00DA3A05" w:rsidP="00DA3A05">
            <w:pPr>
              <w:jc w:val="both"/>
            </w:pPr>
            <w:r>
              <w:fldChar w:fldCharType="begin"/>
            </w:r>
            <w:r>
              <w:instrText xml:space="preserve"> REF _Ref68606037 \h  \* MERGEFORMAT </w:instrText>
            </w:r>
            <w:r>
              <w:fldChar w:fldCharType="end"/>
            </w:r>
            <w:r>
              <w:fldChar w:fldCharType="begin"/>
            </w:r>
            <w:r>
              <w:instrText xml:space="preserve"> REF _Ref68606046 \h  \* MERGEFORMAT </w:instrText>
            </w:r>
            <w:r>
              <w:fldChar w:fldCharType="separate"/>
            </w:r>
            <w:r>
              <w:t xml:space="preserve">Figure </w:t>
            </w:r>
            <w:r>
              <w:rPr>
                <w:noProof/>
              </w:rPr>
              <w:t>5</w:t>
            </w:r>
            <w:r>
              <w:fldChar w:fldCharType="end"/>
            </w:r>
            <w:r>
              <w:t xml:space="preserve"> presents two plots that illustrate the characteristics and the performance of the DFT-S-OFDM waveform. First, </w:t>
            </w:r>
            <w:r>
              <w:fldChar w:fldCharType="begin"/>
            </w:r>
            <w:r>
              <w:instrText xml:space="preserve"> REF _Ref68606046 \h  \* MERGEFORMAT </w:instrText>
            </w:r>
            <w:r>
              <w:fldChar w:fldCharType="separate"/>
            </w:r>
            <w:r>
              <w:t xml:space="preserve">Figure </w:t>
            </w:r>
            <w:r>
              <w:rPr>
                <w:noProof/>
              </w:rPr>
              <w:t>5</w:t>
            </w:r>
            <w:r>
              <w:fldChar w:fldCharType="end"/>
            </w:r>
            <w:r>
              <w:t xml:space="preserve"> shows that DFT-s-OFDM waveform has at least 2 to 2.5 dB PAPR gain over CP-OFDM --- this is a reasonably well known result. Second, </w:t>
            </w:r>
            <w:r>
              <w:fldChar w:fldCharType="begin"/>
            </w:r>
            <w:r>
              <w:instrText xml:space="preserve"> REF _Ref68606046 \h  \* MERGEFORMAT </w:instrText>
            </w:r>
            <w:r>
              <w:fldChar w:fldCharType="separate"/>
            </w:r>
            <w:r>
              <w:t xml:space="preserve">Figure </w:t>
            </w:r>
            <w:r>
              <w:rPr>
                <w:noProof/>
              </w:rPr>
              <w:t>5</w:t>
            </w:r>
            <w:r>
              <w:fldChar w:fldCharType="end"/>
            </w:r>
            <w:r>
              <w:t xml:space="preserve"> also shows that when comparing the link level performance between CP-OFDM (with data-RS FDM) and DFT-S-OFDM, it is observed that there is little to no difference at least for small payloads. For the link level performance, a three-bit payload is considered, and transmitted over 2 RB. The additional virtual CP length for RS is set to be zero, and the pilot ratio is chosen as 50% for both cases. Thus, taking both these observations into account, we see that the proposed scheme can provide up to 2 dB better performance than a CP-OFDM-based approach.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2"/>
              <w:gridCol w:w="4581"/>
            </w:tblGrid>
            <w:tr w:rsidR="00DA3A05" w14:paraId="2D1D371A" w14:textId="77777777" w:rsidTr="00DA3A05">
              <w:tc>
                <w:tcPr>
                  <w:tcW w:w="4575" w:type="dxa"/>
                  <w:hideMark/>
                </w:tcPr>
                <w:p w14:paraId="68D40617" w14:textId="524D7775" w:rsidR="00DA3A05" w:rsidRDefault="00DA3A05" w:rsidP="00DA3A05">
                  <w:r>
                    <w:rPr>
                      <w:noProof/>
                    </w:rPr>
                    <w:drawing>
                      <wp:inline distT="0" distB="0" distL="0" distR="0" wp14:anchorId="7CB3E3ED" wp14:editId="745A9686">
                        <wp:extent cx="2781300" cy="2352675"/>
                        <wp:effectExtent l="0" t="0" r="0" b="952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l="2927" r="8235"/>
                                <a:stretch>
                                  <a:fillRect/>
                                </a:stretch>
                              </pic:blipFill>
                              <pic:spPr bwMode="auto">
                                <a:xfrm>
                                  <a:off x="0" y="0"/>
                                  <a:ext cx="2781300" cy="2352675"/>
                                </a:xfrm>
                                <a:prstGeom prst="rect">
                                  <a:avLst/>
                                </a:prstGeom>
                                <a:noFill/>
                                <a:ln>
                                  <a:noFill/>
                                </a:ln>
                              </pic:spPr>
                            </pic:pic>
                          </a:graphicData>
                        </a:graphic>
                      </wp:inline>
                    </w:drawing>
                  </w:r>
                </w:p>
              </w:tc>
              <w:tc>
                <w:tcPr>
                  <w:tcW w:w="4785" w:type="dxa"/>
                  <w:hideMark/>
                </w:tcPr>
                <w:p w14:paraId="28FA806A" w14:textId="068E2761" w:rsidR="00DA3A05" w:rsidRDefault="00DA3A05" w:rsidP="00DA3A05">
                  <w:pPr>
                    <w:keepNext/>
                  </w:pPr>
                  <w:r>
                    <w:rPr>
                      <w:noProof/>
                    </w:rPr>
                    <w:drawing>
                      <wp:inline distT="0" distB="0" distL="0" distR="0" wp14:anchorId="1C3BE7D2" wp14:editId="13001E11">
                        <wp:extent cx="2905125" cy="2409825"/>
                        <wp:effectExtent l="0" t="0" r="9525"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l="7008" r="8517"/>
                                <a:stretch>
                                  <a:fillRect/>
                                </a:stretch>
                              </pic:blipFill>
                              <pic:spPr bwMode="auto">
                                <a:xfrm>
                                  <a:off x="0" y="0"/>
                                  <a:ext cx="2905125" cy="2409825"/>
                                </a:xfrm>
                                <a:prstGeom prst="rect">
                                  <a:avLst/>
                                </a:prstGeom>
                                <a:noFill/>
                                <a:ln>
                                  <a:noFill/>
                                </a:ln>
                              </pic:spPr>
                            </pic:pic>
                          </a:graphicData>
                        </a:graphic>
                      </wp:inline>
                    </w:drawing>
                  </w:r>
                </w:p>
              </w:tc>
            </w:tr>
          </w:tbl>
          <w:p w14:paraId="54D7BD0E" w14:textId="77777777" w:rsidR="00DA3A05" w:rsidRDefault="00DA3A05" w:rsidP="00DA3A05">
            <w:pPr>
              <w:pStyle w:val="Caption"/>
              <w:jc w:val="center"/>
              <w:rPr>
                <w:rFonts w:eastAsia="Times New Roman"/>
                <w:sz w:val="20"/>
                <w:lang w:eastAsia="ar-SA"/>
              </w:rPr>
            </w:pPr>
            <w:bookmarkStart w:id="13" w:name="_Ref68606046"/>
            <w:bookmarkStart w:id="14" w:name="_Ref68606037"/>
            <w:r>
              <w:t xml:space="preserve">Figure </w:t>
            </w:r>
            <w:r>
              <w:fldChar w:fldCharType="begin"/>
            </w:r>
            <w:r>
              <w:instrText xml:space="preserve"> SEQ Figure \* ARABIC </w:instrText>
            </w:r>
            <w:r>
              <w:fldChar w:fldCharType="separate"/>
            </w:r>
            <w:r>
              <w:rPr>
                <w:noProof/>
              </w:rPr>
              <w:t>5</w:t>
            </w:r>
            <w:r>
              <w:fldChar w:fldCharType="end"/>
            </w:r>
            <w:bookmarkEnd w:id="13"/>
            <w:r>
              <w:t xml:space="preserve"> PAPR for CP-OFDM and DFT-s-OFDM waveforms (on the left) and link level performance comparison between DFT-S-OFDM and CP-OFDM (on the right).</w:t>
            </w:r>
            <w:bookmarkEnd w:id="14"/>
          </w:p>
          <w:p w14:paraId="737CAF67" w14:textId="77777777" w:rsidR="00DA3A05" w:rsidRDefault="00DA3A05" w:rsidP="00DA3A05"/>
          <w:p w14:paraId="11620326" w14:textId="77777777" w:rsidR="00DA3A05" w:rsidRDefault="00DA3A05" w:rsidP="00DA3A05">
            <w:r>
              <w:t>Based on the discussion above and the simulation results, we make the following proposal:</w:t>
            </w:r>
          </w:p>
          <w:p w14:paraId="781F7EAD" w14:textId="77777777" w:rsidR="00DA3A05" w:rsidRDefault="00DA3A05" w:rsidP="00DA3A05">
            <w:pPr>
              <w:rPr>
                <w:b/>
                <w:bCs/>
              </w:rPr>
            </w:pPr>
            <w:r>
              <w:rPr>
                <w:b/>
                <w:bCs/>
                <w:i/>
                <w:iCs/>
              </w:rPr>
              <w:t>Proposal 3:</w:t>
            </w:r>
            <w:r>
              <w:rPr>
                <w:b/>
                <w:bCs/>
              </w:rPr>
              <w:t xml:space="preserve"> Consider pre-DFT data-DMRS multiplexing to enable DFT-S-OFDM waveform for PUCCH Format 2.</w:t>
            </w:r>
          </w:p>
          <w:p w14:paraId="2BD39292" w14:textId="77777777" w:rsidR="00E209FD" w:rsidRPr="00DA3A05" w:rsidRDefault="00E209FD" w:rsidP="002A60E6">
            <w:pPr>
              <w:adjustRightInd/>
              <w:rPr>
                <w:rFonts w:eastAsia="宋体"/>
                <w:color w:val="000000"/>
                <w:lang w:eastAsia="en-US"/>
              </w:rPr>
            </w:pPr>
          </w:p>
        </w:tc>
      </w:tr>
    </w:tbl>
    <w:p w14:paraId="26F6CCEE" w14:textId="77777777" w:rsidR="00E209FD" w:rsidRDefault="00E209FD" w:rsidP="00E209FD">
      <w:pPr>
        <w:rPr>
          <w:b/>
        </w:rPr>
      </w:pPr>
    </w:p>
    <w:p w14:paraId="65209BCD" w14:textId="0C123DB9" w:rsidR="00E209FD" w:rsidRDefault="00E209FD" w:rsidP="00E209FD">
      <w:pPr>
        <w:rPr>
          <w:rFonts w:eastAsia="MS Mincho" w:cs="Batang"/>
          <w:sz w:val="22"/>
          <w:szCs w:val="22"/>
        </w:rPr>
      </w:pPr>
      <w:r>
        <w:rPr>
          <w:rFonts w:eastAsia="MS Mincho" w:cs="Batang"/>
          <w:sz w:val="22"/>
          <w:szCs w:val="22"/>
        </w:rPr>
        <w:t>Based on the above contribution, following TEI proposal can be discussed in RAN1#10</w:t>
      </w:r>
      <w:r w:rsidR="005161D7">
        <w:rPr>
          <w:rFonts w:eastAsia="MS Mincho" w:cs="Batang"/>
          <w:sz w:val="22"/>
          <w:szCs w:val="22"/>
        </w:rPr>
        <w:t>5</w:t>
      </w:r>
      <w:r>
        <w:rPr>
          <w:rFonts w:eastAsia="MS Mincho" w:cs="Batang"/>
          <w:sz w:val="22"/>
          <w:szCs w:val="22"/>
        </w:rPr>
        <w:t>-e meeting.</w:t>
      </w:r>
    </w:p>
    <w:p w14:paraId="2F060368" w14:textId="77777777" w:rsidR="00E209FD" w:rsidRDefault="00E209FD" w:rsidP="00E209FD">
      <w:pPr>
        <w:rPr>
          <w:rFonts w:ascii="Arial" w:eastAsia="MS Mincho" w:hAnsi="Arial"/>
          <w:sz w:val="32"/>
          <w:szCs w:val="32"/>
        </w:rPr>
      </w:pPr>
    </w:p>
    <w:p w14:paraId="14BD70E5" w14:textId="59C858E0" w:rsidR="00E209FD" w:rsidRPr="00AD5375" w:rsidRDefault="00E209FD" w:rsidP="00E209F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DA3A05">
        <w:rPr>
          <w:rFonts w:eastAsia="MS Mincho" w:cs="Batang"/>
          <w:b/>
          <w:bCs/>
          <w:sz w:val="22"/>
          <w:szCs w:val="22"/>
        </w:rPr>
        <w:t>3</w:t>
      </w:r>
    </w:p>
    <w:p w14:paraId="42A0B8F0" w14:textId="4A793F2A" w:rsidR="00E209FD" w:rsidRPr="00DA3A05" w:rsidRDefault="00DA3A05" w:rsidP="00E209FD">
      <w:pPr>
        <w:pStyle w:val="ListParagraph"/>
        <w:numPr>
          <w:ilvl w:val="0"/>
          <w:numId w:val="13"/>
        </w:numPr>
        <w:ind w:leftChars="0"/>
        <w:rPr>
          <w:rFonts w:eastAsia="MS Mincho" w:cs="Batang"/>
          <w:sz w:val="21"/>
          <w:szCs w:val="21"/>
        </w:rPr>
      </w:pPr>
      <w:r w:rsidRPr="00DA3A05">
        <w:rPr>
          <w:b/>
          <w:bCs/>
          <w:sz w:val="22"/>
          <w:szCs w:val="18"/>
          <w:lang w:eastAsia="x-none"/>
        </w:rPr>
        <w:t>Support transmitting PUCCH Format 2 using DFT-S-OFDM waveform</w:t>
      </w:r>
    </w:p>
    <w:p w14:paraId="1AE88F6A" w14:textId="17488418" w:rsidR="00E209FD" w:rsidRPr="00E209FD" w:rsidRDefault="00DA3A05" w:rsidP="00DA3A05">
      <w:pPr>
        <w:pStyle w:val="ListParagraph"/>
        <w:numPr>
          <w:ilvl w:val="1"/>
          <w:numId w:val="13"/>
        </w:numPr>
        <w:ind w:leftChars="0"/>
        <w:rPr>
          <w:b/>
        </w:rPr>
      </w:pPr>
      <w:r w:rsidRPr="00DA3A05">
        <w:rPr>
          <w:rFonts w:eastAsia="MS Mincho" w:cs="Batang"/>
          <w:b/>
          <w:bCs/>
          <w:sz w:val="22"/>
          <w:szCs w:val="22"/>
        </w:rPr>
        <w:t>Consider pre-DFT data-DMRS multiplexing to enable DFT-S-OFDM waveform for PUCCH Format 2.</w:t>
      </w:r>
    </w:p>
    <w:p w14:paraId="289BCC0D" w14:textId="77777777" w:rsidR="00DA3A05" w:rsidRDefault="00DA3A05" w:rsidP="00E209FD">
      <w:pPr>
        <w:spacing w:afterLines="50" w:after="120"/>
        <w:jc w:val="both"/>
        <w:rPr>
          <w:sz w:val="22"/>
          <w:lang w:val="en-US"/>
        </w:rPr>
      </w:pPr>
    </w:p>
    <w:p w14:paraId="01F18BF5" w14:textId="0E9CE95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6D290D9" w14:textId="54003FC8"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654FADCF" w14:textId="77777777" w:rsidTr="002A60E6">
        <w:tc>
          <w:tcPr>
            <w:tcW w:w="1945" w:type="dxa"/>
            <w:shd w:val="clear" w:color="auto" w:fill="F2F2F2" w:themeFill="background1" w:themeFillShade="F2"/>
          </w:tcPr>
          <w:p w14:paraId="370BCFA4"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B299540"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3C1DF913" w14:textId="77777777" w:rsidTr="002A60E6">
        <w:tc>
          <w:tcPr>
            <w:tcW w:w="1945" w:type="dxa"/>
          </w:tcPr>
          <w:p w14:paraId="3CCBDE2D" w14:textId="73999098" w:rsidR="00E209FD" w:rsidRDefault="00C64F5D" w:rsidP="002A60E6">
            <w:pPr>
              <w:spacing w:afterLines="50" w:after="120"/>
              <w:jc w:val="both"/>
              <w:rPr>
                <w:sz w:val="22"/>
                <w:lang w:val="en-US"/>
              </w:rPr>
            </w:pPr>
            <w:r>
              <w:rPr>
                <w:sz w:val="22"/>
                <w:lang w:val="en-US"/>
              </w:rPr>
              <w:t>vivo</w:t>
            </w:r>
          </w:p>
        </w:tc>
        <w:tc>
          <w:tcPr>
            <w:tcW w:w="7683" w:type="dxa"/>
          </w:tcPr>
          <w:p w14:paraId="7417477A" w14:textId="654D1D7D" w:rsidR="00E209FD" w:rsidRDefault="00C64F5D" w:rsidP="002A60E6">
            <w:pPr>
              <w:spacing w:afterLines="50" w:after="120"/>
              <w:jc w:val="both"/>
              <w:rPr>
                <w:sz w:val="22"/>
                <w:lang w:val="en-US"/>
              </w:rPr>
            </w:pPr>
            <w:r w:rsidRPr="00683224">
              <w:rPr>
                <w:rFonts w:eastAsia="宋体"/>
                <w:sz w:val="22"/>
                <w:lang w:val="en-US" w:eastAsia="zh-CN"/>
              </w:rPr>
              <w:t>It could be beneficial, but it could involve large work in RAN4.</w:t>
            </w:r>
          </w:p>
        </w:tc>
      </w:tr>
      <w:tr w:rsidR="00E209FD" w14:paraId="31C8896C" w14:textId="77777777" w:rsidTr="002A60E6">
        <w:tc>
          <w:tcPr>
            <w:tcW w:w="1945" w:type="dxa"/>
          </w:tcPr>
          <w:p w14:paraId="64E91B27" w14:textId="77777777" w:rsidR="00E209FD" w:rsidRDefault="00E209FD" w:rsidP="002A60E6">
            <w:pPr>
              <w:spacing w:afterLines="50" w:after="120"/>
              <w:jc w:val="both"/>
              <w:rPr>
                <w:sz w:val="22"/>
                <w:lang w:val="en-US"/>
              </w:rPr>
            </w:pPr>
          </w:p>
        </w:tc>
        <w:tc>
          <w:tcPr>
            <w:tcW w:w="7683" w:type="dxa"/>
          </w:tcPr>
          <w:p w14:paraId="5DC38B6C" w14:textId="77777777" w:rsidR="00E209FD" w:rsidRPr="00F740AD" w:rsidRDefault="00E209FD" w:rsidP="002A60E6">
            <w:pPr>
              <w:spacing w:afterLines="50" w:after="120"/>
              <w:jc w:val="both"/>
              <w:rPr>
                <w:sz w:val="22"/>
                <w:lang w:val="en-US"/>
              </w:rPr>
            </w:pPr>
          </w:p>
        </w:tc>
      </w:tr>
      <w:tr w:rsidR="00E209FD" w14:paraId="406D5FB2" w14:textId="77777777" w:rsidTr="002A60E6">
        <w:tc>
          <w:tcPr>
            <w:tcW w:w="1945" w:type="dxa"/>
          </w:tcPr>
          <w:p w14:paraId="754CD03E" w14:textId="77777777" w:rsidR="00E209FD" w:rsidRDefault="00E209FD" w:rsidP="002A60E6">
            <w:pPr>
              <w:spacing w:afterLines="50" w:after="120"/>
              <w:jc w:val="both"/>
              <w:rPr>
                <w:sz w:val="22"/>
                <w:lang w:val="en-US"/>
              </w:rPr>
            </w:pPr>
          </w:p>
        </w:tc>
        <w:tc>
          <w:tcPr>
            <w:tcW w:w="7683" w:type="dxa"/>
          </w:tcPr>
          <w:p w14:paraId="1EDDDCD3" w14:textId="77777777" w:rsidR="00E209FD" w:rsidRPr="00F740AD" w:rsidRDefault="00E209FD" w:rsidP="002A60E6">
            <w:pPr>
              <w:spacing w:afterLines="50" w:after="120"/>
              <w:jc w:val="both"/>
              <w:rPr>
                <w:sz w:val="22"/>
                <w:lang w:val="en-US"/>
              </w:rPr>
            </w:pPr>
          </w:p>
        </w:tc>
      </w:tr>
    </w:tbl>
    <w:p w14:paraId="1122CC8F" w14:textId="7BEFD3E1" w:rsidR="00974662" w:rsidRDefault="00974662" w:rsidP="002753B9">
      <w:pPr>
        <w:rPr>
          <w:b/>
        </w:rPr>
      </w:pPr>
    </w:p>
    <w:p w14:paraId="3AA051AE" w14:textId="336A4C44" w:rsidR="00DA3A05" w:rsidRDefault="00DA3A05" w:rsidP="002753B9">
      <w:pPr>
        <w:rPr>
          <w:b/>
        </w:rPr>
      </w:pPr>
    </w:p>
    <w:p w14:paraId="0FFC8E32" w14:textId="66E7BE32" w:rsidR="00DA3A05" w:rsidRDefault="00DA3A05" w:rsidP="002753B9">
      <w:pPr>
        <w:rPr>
          <w:b/>
        </w:rPr>
      </w:pPr>
    </w:p>
    <w:p w14:paraId="0B3123DF" w14:textId="6D0C0442" w:rsidR="00DA3A05" w:rsidRPr="005953A0" w:rsidRDefault="00DA3A05"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CSI-RS design to solve false PMI reporting issue</w:t>
      </w:r>
    </w:p>
    <w:p w14:paraId="7739E49F" w14:textId="1A8E1BA2" w:rsidR="00DA3A05" w:rsidRDefault="00DA3A05" w:rsidP="00DA3A05">
      <w:pPr>
        <w:rPr>
          <w:rFonts w:eastAsia="MS Mincho" w:cs="Batang"/>
          <w:sz w:val="22"/>
          <w:szCs w:val="22"/>
        </w:rPr>
      </w:pPr>
      <w:r>
        <w:rPr>
          <w:rFonts w:eastAsia="MS Mincho" w:cs="Batang"/>
          <w:sz w:val="22"/>
          <w:szCs w:val="22"/>
        </w:rPr>
        <w:t>Following proposal</w:t>
      </w:r>
      <w:r w:rsidR="00D4281F">
        <w:rPr>
          <w:rFonts w:eastAsia="MS Mincho" w:cs="Batang"/>
          <w:sz w:val="22"/>
          <w:szCs w:val="22"/>
        </w:rPr>
        <w:t>s</w:t>
      </w:r>
      <w:r>
        <w:rPr>
          <w:rFonts w:eastAsia="MS Mincho" w:cs="Batang"/>
          <w:sz w:val="22"/>
          <w:szCs w:val="22"/>
        </w:rPr>
        <w:t xml:space="preserve"> </w:t>
      </w:r>
      <w:r w:rsidR="00D4281F">
        <w:rPr>
          <w:rFonts w:eastAsia="MS Mincho" w:cs="Batang"/>
          <w:sz w:val="22"/>
          <w:szCs w:val="22"/>
        </w:rPr>
        <w:t>are</w:t>
      </w:r>
      <w:r>
        <w:rPr>
          <w:rFonts w:eastAsia="MS Mincho" w:cs="Batang"/>
          <w:sz w:val="22"/>
          <w:szCs w:val="22"/>
        </w:rPr>
        <w:t xml:space="preserve"> made in the contribution</w:t>
      </w:r>
      <w:r w:rsidR="00D4281F">
        <w:rPr>
          <w:rFonts w:eastAsia="MS Mincho" w:cs="Batang"/>
          <w:sz w:val="22"/>
          <w:szCs w:val="22"/>
        </w:rPr>
        <w:t>s</w:t>
      </w:r>
      <w:r>
        <w:rPr>
          <w:rFonts w:eastAsia="MS Mincho" w:cs="Batang"/>
          <w:sz w:val="22"/>
          <w:szCs w:val="22"/>
        </w:rPr>
        <w:t>.</w:t>
      </w:r>
    </w:p>
    <w:tbl>
      <w:tblPr>
        <w:tblStyle w:val="TableGrid"/>
        <w:tblW w:w="0" w:type="auto"/>
        <w:tblLook w:val="04A0" w:firstRow="1" w:lastRow="0" w:firstColumn="1" w:lastColumn="0" w:noHBand="0" w:noVBand="1"/>
      </w:tblPr>
      <w:tblGrid>
        <w:gridCol w:w="562"/>
        <w:gridCol w:w="9066"/>
      </w:tblGrid>
      <w:tr w:rsidR="00DA3A05" w14:paraId="043771EA" w14:textId="77777777" w:rsidTr="002A60E6">
        <w:tc>
          <w:tcPr>
            <w:tcW w:w="562" w:type="dxa"/>
          </w:tcPr>
          <w:p w14:paraId="030493F6" w14:textId="03C39082"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181838">
              <w:rPr>
                <w:rFonts w:ascii="Arial" w:eastAsia="MS Mincho" w:hAnsi="Arial"/>
                <w:sz w:val="22"/>
                <w:szCs w:val="22"/>
                <w:lang w:val="en-US"/>
              </w:rPr>
              <w:t>9</w:t>
            </w:r>
            <w:r>
              <w:rPr>
                <w:rFonts w:ascii="Arial" w:eastAsia="MS Mincho" w:hAnsi="Arial"/>
                <w:sz w:val="22"/>
                <w:szCs w:val="22"/>
                <w:lang w:val="en-US"/>
              </w:rPr>
              <w:t>]</w:t>
            </w:r>
          </w:p>
        </w:tc>
        <w:tc>
          <w:tcPr>
            <w:tcW w:w="9066" w:type="dxa"/>
          </w:tcPr>
          <w:p w14:paraId="5832719C" w14:textId="77777777" w:rsidR="008223DB" w:rsidRDefault="008223DB" w:rsidP="008223DB">
            <w:pPr>
              <w:rPr>
                <w:rFonts w:eastAsiaTheme="minorEastAsia"/>
                <w:sz w:val="21"/>
                <w:lang w:eastAsia="en-GB"/>
              </w:rPr>
            </w:pPr>
            <w:r>
              <w:rPr>
                <w:lang w:eastAsia="en-GB"/>
              </w:rPr>
              <w:t>As been previously informed [R1-2001918], from OTA testing of commercial NR UEs, a critical issue has been found related to MIMO performance near cell edge. The issue has been detected for both 32 and 8 port CSI-RS and for two UEs with chipsets from different vendors.</w:t>
            </w:r>
          </w:p>
          <w:p w14:paraId="223D4950" w14:textId="77777777" w:rsidR="008223DB" w:rsidRDefault="008223DB" w:rsidP="008223DB">
            <w:pPr>
              <w:rPr>
                <w:lang w:eastAsia="en-GB"/>
              </w:rPr>
            </w:pPr>
            <w:r>
              <w:rPr>
                <w:lang w:eastAsia="en-GB"/>
              </w:rPr>
              <w:t>This is a real-life network issue related to MIMO which severely impacts NR performance and can be summarized as:</w:t>
            </w:r>
          </w:p>
          <w:p w14:paraId="243246A0"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b/>
                <w:bCs/>
                <w:lang w:eastAsia="en-GB"/>
              </w:rPr>
              <w:t>Near cell edge</w:t>
            </w:r>
            <w:r>
              <w:rPr>
                <w:rFonts w:asciiTheme="minorHAnsi" w:hAnsiTheme="minorHAnsi" w:cstheme="minorHAnsi"/>
                <w:lang w:eastAsia="en-GB"/>
              </w:rPr>
              <w:t xml:space="preserve">, while still connected to a serving cell, </w:t>
            </w:r>
            <w:r>
              <w:rPr>
                <w:rFonts w:asciiTheme="minorHAnsi" w:hAnsiTheme="minorHAnsi" w:cstheme="minorHAnsi"/>
                <w:b/>
                <w:bCs/>
                <w:lang w:eastAsia="en-GB"/>
              </w:rPr>
              <w:t>the NR UE selects PMI as if it was served by an interfering cell</w:t>
            </w:r>
            <w:r>
              <w:rPr>
                <w:rFonts w:asciiTheme="minorHAnsi" w:hAnsiTheme="minorHAnsi" w:cstheme="minorHAnsi"/>
                <w:lang w:eastAsia="en-GB"/>
              </w:rPr>
              <w:t>, hence false PMI selection and reporting</w:t>
            </w:r>
          </w:p>
          <w:p w14:paraId="37CC2352"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This leads to a sharp drop in PDSCH throughput at cell edge</w:t>
            </w:r>
          </w:p>
          <w:p w14:paraId="2D73C74C"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PMI selection logged at UE, hence this issue is not due to poor UCI feedback channel quality</w:t>
            </w:r>
          </w:p>
          <w:p w14:paraId="4DB18587" w14:textId="77777777" w:rsidR="008223DB" w:rsidRDefault="008223DB" w:rsidP="00B650B3">
            <w:pPr>
              <w:pStyle w:val="ListParagraph"/>
              <w:widowControl w:val="0"/>
              <w:numPr>
                <w:ilvl w:val="0"/>
                <w:numId w:val="16"/>
              </w:numPr>
              <w:ind w:leftChars="0"/>
              <w:jc w:val="both"/>
              <w:rPr>
                <w:rFonts w:asciiTheme="minorHAnsi" w:hAnsiTheme="minorHAnsi" w:cstheme="minorHAnsi"/>
                <w:b/>
                <w:bCs/>
                <w:lang w:eastAsia="en-GB"/>
              </w:rPr>
            </w:pPr>
            <w:r>
              <w:rPr>
                <w:rFonts w:asciiTheme="minorHAnsi" w:hAnsiTheme="minorHAnsi" w:cstheme="minorHAnsi"/>
              </w:rPr>
              <w:t xml:space="preserve">The problem occurs </w:t>
            </w:r>
            <w:r>
              <w:rPr>
                <w:rFonts w:asciiTheme="minorHAnsi" w:hAnsiTheme="minorHAnsi" w:cstheme="minorHAnsi"/>
                <w:b/>
                <w:bCs/>
              </w:rPr>
              <w:t xml:space="preserve">whenever a CSI-RS resource from the serving cell collides with a CSI-RS resource from a </w:t>
            </w:r>
            <w:proofErr w:type="spellStart"/>
            <w:r>
              <w:rPr>
                <w:rFonts w:asciiTheme="minorHAnsi" w:hAnsiTheme="minorHAnsi" w:cstheme="minorHAnsi"/>
                <w:b/>
                <w:bCs/>
              </w:rPr>
              <w:t>neighboring</w:t>
            </w:r>
            <w:proofErr w:type="spellEnd"/>
            <w:r>
              <w:rPr>
                <w:rFonts w:asciiTheme="minorHAnsi" w:hAnsiTheme="minorHAnsi" w:cstheme="minorHAnsi"/>
                <w:b/>
                <w:bCs/>
              </w:rPr>
              <w:t xml:space="preserve"> cell</w:t>
            </w:r>
            <w:r>
              <w:rPr>
                <w:rFonts w:asciiTheme="minorHAnsi" w:hAnsiTheme="minorHAnsi" w:cstheme="minorHAnsi"/>
                <w:b/>
                <w:bCs/>
                <w:lang w:eastAsia="en-GB"/>
              </w:rPr>
              <w:t xml:space="preserve"> </w:t>
            </w:r>
          </w:p>
          <w:p w14:paraId="2E5C5A7F"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The problem occurs even though different seed is used for CSI-RS sequence generation in serving and interfering cell respectively</w:t>
            </w:r>
          </w:p>
          <w:p w14:paraId="2808746F"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As the analysis in this contribution shows, a cause of the problem is </w:t>
            </w:r>
            <w:r>
              <w:rPr>
                <w:rFonts w:asciiTheme="minorHAnsi" w:hAnsiTheme="minorHAnsi" w:cstheme="minorHAnsi"/>
                <w:b/>
                <w:bCs/>
                <w:lang w:eastAsia="en-GB"/>
              </w:rPr>
              <w:t>due the Rel.15 design that the same CSI-RS sequence</w:t>
            </w:r>
            <w:r>
              <w:rPr>
                <w:rFonts w:asciiTheme="minorHAnsi" w:hAnsiTheme="minorHAnsi" w:cstheme="minorHAnsi"/>
                <w:lang w:eastAsia="en-GB"/>
              </w:rPr>
              <w:t xml:space="preserve"> is used for all CSI-RS ports in the CSI-RS resource</w:t>
            </w:r>
          </w:p>
          <w:p w14:paraId="676785F0"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To mitigate this, the UE must perform more advanced channel estimation, which is unnecessary complex and can be avoided if the problem with the CSI-RS design is mitigated</w:t>
            </w:r>
          </w:p>
          <w:p w14:paraId="098A2A33"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It is argued that the false-PMI selection problem can be solved with </w:t>
            </w:r>
            <w:r>
              <w:rPr>
                <w:rFonts w:asciiTheme="minorHAnsi" w:hAnsiTheme="minorHAnsi" w:cstheme="minorHAnsi"/>
                <w:b/>
                <w:bCs/>
                <w:lang w:eastAsia="en-GB"/>
              </w:rPr>
              <w:t xml:space="preserve">cell planning of non-colliding CSI-RS </w:t>
            </w:r>
            <w:r>
              <w:rPr>
                <w:rFonts w:asciiTheme="minorHAnsi" w:hAnsiTheme="minorHAnsi" w:cstheme="minorHAnsi"/>
                <w:lang w:eastAsia="en-GB"/>
              </w:rPr>
              <w:t>in adjacent cells, however,</w:t>
            </w:r>
          </w:p>
          <w:p w14:paraId="14818A1F"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Non-overlapping CSI-RS in different cells (reuse larger than one) introduces the need for cell planning which is cumbersome and against the reuse one principle of modern RAN</w:t>
            </w:r>
          </w:p>
          <w:p w14:paraId="489C8574"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Even if non-colliding CSI-RS is configured by the use of CSI-RS cell planning, colliding CSI-RS between different cells is very hard to avoid in practical networks even if such frequency reuse is adopted because the topology is much different from hexagonal and far away gNB with colliding CSI-RS still hits the UE </w:t>
            </w:r>
          </w:p>
          <w:p w14:paraId="37B883D7"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Simulations (see section 3.1) shows that the peak PDSCH throughput performance when using colliding CSI-RS (with a new Rel.17 CSI-RS sequence) is better than when non-overlapping CSI-RS. Hence, it seems it is better to have another, well designed CSI-RS as interference than PDSCH. </w:t>
            </w:r>
          </w:p>
          <w:p w14:paraId="3CA69AA2" w14:textId="77777777" w:rsidR="008223DB" w:rsidRDefault="008223DB" w:rsidP="00B650B3">
            <w:pPr>
              <w:pStyle w:val="ListParagraph"/>
              <w:widowControl w:val="0"/>
              <w:numPr>
                <w:ilvl w:val="1"/>
                <w:numId w:val="16"/>
              </w:numPr>
              <w:ind w:leftChars="0"/>
              <w:jc w:val="both"/>
              <w:rPr>
                <w:rFonts w:asciiTheme="minorHAnsi" w:hAnsiTheme="minorHAnsi" w:cstheme="minorBidi"/>
                <w:szCs w:val="22"/>
                <w:lang w:eastAsia="en-GB"/>
              </w:rPr>
            </w:pPr>
            <w:r>
              <w:rPr>
                <w:rFonts w:asciiTheme="minorHAnsi" w:hAnsiTheme="minorHAnsi"/>
                <w:lang w:eastAsia="en-GB"/>
              </w:rPr>
              <w:t>Deliberately configuration of colliding CSI-RS has huge benefits for operators as it relives the need for network planning of CSI-RS, ease of migration and densification, lower interference and minimal overhead. This is elaborated in Section 4.</w:t>
            </w:r>
          </w:p>
          <w:p w14:paraId="5E871649" w14:textId="11BD7531" w:rsidR="008223DB" w:rsidRDefault="008223DB" w:rsidP="008223DB">
            <w:pPr>
              <w:ind w:left="360"/>
              <w:rPr>
                <w:rFonts w:asciiTheme="minorHAnsi" w:hAnsiTheme="minorHAnsi"/>
                <w:lang w:eastAsia="en-GB"/>
              </w:rPr>
            </w:pPr>
            <w:r>
              <w:rPr>
                <w:noProof/>
                <w:lang w:val="en-US"/>
              </w:rPr>
              <w:drawing>
                <wp:anchor distT="0" distB="0" distL="114300" distR="114300" simplePos="0" relativeHeight="251660800" behindDoc="0" locked="0" layoutInCell="1" allowOverlap="1" wp14:anchorId="00EE7CB2" wp14:editId="7EFED850">
                  <wp:simplePos x="0" y="0"/>
                  <wp:positionH relativeFrom="column">
                    <wp:posOffset>1191260</wp:posOffset>
                  </wp:positionH>
                  <wp:positionV relativeFrom="paragraph">
                    <wp:posOffset>255905</wp:posOffset>
                  </wp:positionV>
                  <wp:extent cx="3140710" cy="2434590"/>
                  <wp:effectExtent l="0" t="0" r="0" b="3810"/>
                  <wp:wrapTopAndBottom/>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0710" cy="2434590"/>
                          </a:xfrm>
                          <a:prstGeom prst="rect">
                            <a:avLst/>
                          </a:prstGeom>
                          <a:noFill/>
                        </pic:spPr>
                      </pic:pic>
                    </a:graphicData>
                  </a:graphic>
                  <wp14:sizeRelH relativeFrom="page">
                    <wp14:pctWidth>0</wp14:pctWidth>
                  </wp14:sizeRelH>
                  <wp14:sizeRelV relativeFrom="page">
                    <wp14:pctHeight>0</wp14:pctHeight>
                  </wp14:sizeRelV>
                </wp:anchor>
              </w:drawing>
            </w:r>
          </w:p>
          <w:p w14:paraId="7F6EDBC3" w14:textId="77777777" w:rsidR="008223DB" w:rsidRDefault="008223DB" w:rsidP="008223DB">
            <w:pPr>
              <w:pStyle w:val="Caption"/>
              <w:rPr>
                <w:lang w:eastAsia="en-GB"/>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Illustration of the observed problem from field testing with commercial UEs. The UEs served by gNB 1 are reporting PMI</w:t>
            </w:r>
            <w:r>
              <w:rPr>
                <w:vertAlign w:val="subscript"/>
              </w:rPr>
              <w:t>I</w:t>
            </w:r>
            <w:r>
              <w:t xml:space="preserve"> instead of PMI</w:t>
            </w:r>
            <w:r>
              <w:rPr>
                <w:vertAlign w:val="subscript"/>
              </w:rPr>
              <w:t>D</w:t>
            </w:r>
            <w:r>
              <w:t xml:space="preserve"> where PMI</w:t>
            </w:r>
            <w:r>
              <w:rPr>
                <w:vertAlign w:val="subscript"/>
              </w:rPr>
              <w:t>I</w:t>
            </w:r>
            <w:r>
              <w:t xml:space="preserve"> is the PMI the UE would report if served by gNB 2.</w:t>
            </w:r>
          </w:p>
          <w:p w14:paraId="5AF1C199" w14:textId="77777777" w:rsidR="008223DB" w:rsidRDefault="008223DB" w:rsidP="008223DB">
            <w:pPr>
              <w:rPr>
                <w:lang w:eastAsia="en-GB"/>
              </w:rPr>
            </w:pPr>
            <w:r>
              <w:rPr>
                <w:lang w:eastAsia="en-GB"/>
              </w:rPr>
              <w:t>To solve this problem, we suggest the following</w:t>
            </w:r>
          </w:p>
          <w:p w14:paraId="079CEADE" w14:textId="77777777" w:rsidR="008223DB" w:rsidRDefault="008223DB" w:rsidP="00B650B3">
            <w:pPr>
              <w:pStyle w:val="Proposal"/>
              <w:widowControl w:val="0"/>
              <w:numPr>
                <w:ilvl w:val="0"/>
                <w:numId w:val="15"/>
              </w:numPr>
              <w:tabs>
                <w:tab w:val="clear" w:pos="936"/>
                <w:tab w:val="clear" w:pos="1304"/>
              </w:tabs>
              <w:spacing w:line="240" w:lineRule="auto"/>
              <w:ind w:left="1701" w:hanging="1701"/>
              <w:rPr>
                <w:rFonts w:cstheme="minorBidi"/>
              </w:rPr>
            </w:pPr>
            <w:bookmarkStart w:id="15" w:name="_Toc67653820"/>
            <w:r>
              <w:t>Correct the CSI-RS design as a TEI-17 to remove the false PMI reporting problem.</w:t>
            </w:r>
            <w:bookmarkEnd w:id="15"/>
          </w:p>
          <w:p w14:paraId="29EB09C9" w14:textId="77777777" w:rsidR="008223DB" w:rsidRDefault="008223DB" w:rsidP="008223DB">
            <w:pPr>
              <w:pStyle w:val="ListParagraph"/>
              <w:ind w:left="960"/>
              <w:rPr>
                <w:lang w:eastAsia="en-GB"/>
              </w:rPr>
            </w:pPr>
          </w:p>
          <w:p w14:paraId="38E33445" w14:textId="77777777" w:rsidR="008223DB" w:rsidRDefault="008223DB" w:rsidP="008223DB">
            <w:pPr>
              <w:rPr>
                <w:rFonts w:asciiTheme="minorHAnsi" w:hAnsiTheme="minorHAnsi" w:cstheme="minorBidi"/>
                <w:lang w:eastAsia="en-GB"/>
              </w:rPr>
            </w:pPr>
            <w:r>
              <w:rPr>
                <w:lang w:eastAsia="en-GB"/>
              </w:rPr>
              <w:t xml:space="preserve">Note that the repetition of same sequence of multiple CSI-RS ports also lead to high PAPR of the CSI-RS transmission and was discussed to be corrected in Rel.16 </w:t>
            </w:r>
            <w:proofErr w:type="spellStart"/>
            <w:r>
              <w:rPr>
                <w:lang w:eastAsia="en-GB"/>
              </w:rPr>
              <w:t>eMIMO</w:t>
            </w:r>
            <w:proofErr w:type="spellEnd"/>
            <w:r>
              <w:rPr>
                <w:lang w:eastAsia="en-GB"/>
              </w:rPr>
              <w:t xml:space="preserve"> WI. However, RAN1 was divided on the severity of the issue for CSI-RS and it was concluded to be non-consensus to correct this problem. Only DM-RS PAPR was corrected in Rel.16. </w:t>
            </w:r>
          </w:p>
          <w:p w14:paraId="7B513164" w14:textId="77777777" w:rsidR="00DA3A05" w:rsidRDefault="008223DB" w:rsidP="008223DB">
            <w:pPr>
              <w:adjustRightInd/>
              <w:rPr>
                <w:lang w:eastAsia="en-GB"/>
              </w:rPr>
            </w:pPr>
            <w:r>
              <w:rPr>
                <w:lang w:eastAsia="en-GB"/>
              </w:rPr>
              <w:t>It now turns out that the same problematic CSI-RS design with repetitive behaviour also creates the false PMI problem and if a resolution is introduced by this TEI, it can be designed to resolve both PAPR issue and false PMI selection issue.</w:t>
            </w:r>
          </w:p>
          <w:p w14:paraId="133818DB" w14:textId="77777777" w:rsidR="008223DB" w:rsidRDefault="008223DB" w:rsidP="008223DB">
            <w:pPr>
              <w:adjustRightInd/>
              <w:rPr>
                <w:color w:val="000000"/>
              </w:rPr>
            </w:pPr>
            <w:r>
              <w:rPr>
                <w:rFonts w:hint="eastAsia"/>
                <w:color w:val="000000"/>
              </w:rPr>
              <w:t>~</w:t>
            </w:r>
          </w:p>
          <w:p w14:paraId="050271C7" w14:textId="77777777" w:rsidR="008223DB" w:rsidRDefault="008223DB" w:rsidP="008223DB">
            <w:pPr>
              <w:pStyle w:val="Observation"/>
            </w:pPr>
            <w:bookmarkStart w:id="16" w:name="_Toc67653812"/>
            <w:r>
              <w:t xml:space="preserve">Using measurements using commercial NR UEs from two different vendors, the PMI reporting fails at low SINR. It seems the PMI reporting when nearing the cell edge behave as the PMI reporting the UE would have been reporting if instead served by the interfering cell. This leads to a </w:t>
            </w:r>
            <w:proofErr w:type="spellStart"/>
            <w:r>
              <w:t>signifcant</w:t>
            </w:r>
            <w:proofErr w:type="spellEnd"/>
            <w:r>
              <w:t xml:space="preserve"> drop of throughput of NR at cell edge.</w:t>
            </w:r>
            <w:bookmarkEnd w:id="16"/>
            <w:r>
              <w:t xml:space="preserve"> </w:t>
            </w:r>
          </w:p>
          <w:p w14:paraId="758D51BA" w14:textId="77777777" w:rsidR="008223DB" w:rsidRDefault="008223DB" w:rsidP="008223DB">
            <w:pPr>
              <w:adjustRightInd/>
              <w:rPr>
                <w:rFonts w:eastAsia="宋体"/>
                <w:color w:val="000000"/>
                <w:lang w:val="en-US"/>
              </w:rPr>
            </w:pPr>
            <w:r>
              <w:rPr>
                <w:rFonts w:eastAsia="宋体"/>
                <w:color w:val="000000"/>
                <w:lang w:val="en-US"/>
              </w:rPr>
              <w:t>~</w:t>
            </w:r>
          </w:p>
          <w:p w14:paraId="49ABEE58" w14:textId="77777777" w:rsidR="008223DB" w:rsidRDefault="008223DB" w:rsidP="008223DB">
            <w:pPr>
              <w:rPr>
                <w:rFonts w:eastAsiaTheme="minorEastAsia"/>
                <w:sz w:val="21"/>
                <w:lang w:val="en-US"/>
              </w:rPr>
            </w:pPr>
            <w:r>
              <w:t xml:space="preserve">The following sections provides an in-depth analysis of the cause of the problem and why configuration of non-colliding CSI-RS is not a solution that is attractive or even work in all deployments. In this section, we give the </w:t>
            </w:r>
            <w:proofErr w:type="gramStart"/>
            <w:r>
              <w:t>standardization based</w:t>
            </w:r>
            <w:proofErr w:type="gramEnd"/>
            <w:r>
              <w:t xml:space="preserve"> solution together with simulation results that shows that the issue completely disappears.  </w:t>
            </w:r>
          </w:p>
          <w:p w14:paraId="63E3868D" w14:textId="77777777" w:rsidR="008223DB" w:rsidRDefault="008223DB" w:rsidP="008223DB">
            <w:r>
              <w:t xml:space="preserve">To summarize, the solution makes the interference from an adjacent base station that transmit CSI-RS appear as spatially white noise at the receiver. This is accomplished by introducing a port specific scrambling of CSI-RS ports while preserving orthogonality between the ports of a CDM group.  </w:t>
            </w:r>
          </w:p>
          <w:p w14:paraId="2AADAE3C" w14:textId="77777777" w:rsidR="008223DB" w:rsidRDefault="008223DB" w:rsidP="008223DB">
            <w:r>
              <w:t xml:space="preserve">The solution is illustrated by </w:t>
            </w:r>
            <w:r>
              <w:fldChar w:fldCharType="begin"/>
            </w:r>
            <w:r>
              <w:instrText xml:space="preserve"> REF _Ref67324323 \h </w:instrText>
            </w:r>
            <w:r>
              <w:fldChar w:fldCharType="separate"/>
            </w:r>
            <w:r>
              <w:t xml:space="preserve">Table </w:t>
            </w:r>
            <w:r>
              <w:rPr>
                <w:noProof/>
              </w:rPr>
              <w:t>1</w:t>
            </w:r>
            <w:r>
              <w:fldChar w:fldCharType="end"/>
            </w:r>
            <w:r>
              <w:t xml:space="preserve"> for the 4 port CSI-RS resource from row 4 of 38.214, where a new Rel.17 sequence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per port </w:t>
            </w:r>
            <m:oMath>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oMath>
            <w:r>
              <w:rPr>
                <w:i/>
              </w:rPr>
              <w:t xml:space="preserve"> </w:t>
            </w:r>
            <w:r>
              <w:t>(</w:t>
            </w:r>
            <m:oMath>
              <m:r>
                <w:rPr>
                  <w:rFonts w:ascii="Cambria Math" w:hAnsi="Cambria Math"/>
                </w:rPr>
                <m:t>p=3000+</m:t>
              </m:r>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r>
                <w:rPr>
                  <w:rFonts w:ascii="Cambria Math" w:hAnsi="Cambria Math"/>
                </w:rPr>
                <m:t xml:space="preserve">) </m:t>
              </m:r>
            </m:oMath>
            <w:r>
              <w:t xml:space="preserve">is introduced and which is multiplied with the original sequence. The index </w:t>
            </w:r>
            <m:oMath>
              <m:r>
                <w:rPr>
                  <w:rFonts w:ascii="Cambria Math" w:hAnsi="Cambria Math"/>
                </w:rPr>
                <m:t>n</m:t>
              </m:r>
            </m:oMath>
            <w:r>
              <w:t xml:space="preserve"> runs over the resource blocks, so in each RB, a new value of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 xml:space="preserve">(n) </m:t>
              </m:r>
            </m:oMath>
            <w:r>
              <w:t xml:space="preserve">is used for each port. If the CDM group spans multiple OFDM symbols, the same value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is used in all these OFDM symbols. </w:t>
            </w:r>
          </w:p>
          <w:p w14:paraId="6401F38F" w14:textId="77777777" w:rsidR="008223DB" w:rsidRDefault="008223DB" w:rsidP="008223DB">
            <w:pPr>
              <w:pStyle w:val="Caption"/>
              <w:keepNext/>
              <w:jc w:val="center"/>
            </w:pPr>
            <w:bookmarkStart w:id="17" w:name="_Ref67324323"/>
            <w:r>
              <w:t xml:space="preserve">Table </w:t>
            </w:r>
            <w:r>
              <w:fldChar w:fldCharType="begin"/>
            </w:r>
            <w:r>
              <w:instrText xml:space="preserve"> SEQ Table \* ARABIC </w:instrText>
            </w:r>
            <w:r>
              <w:fldChar w:fldCharType="separate"/>
            </w:r>
            <w:r>
              <w:rPr>
                <w:noProof/>
              </w:rPr>
              <w:t>1</w:t>
            </w:r>
            <w:r>
              <w:fldChar w:fldCharType="end"/>
            </w:r>
            <w:bookmarkEnd w:id="17"/>
            <w:r>
              <w:t xml:space="preserve"> TEI-17 proposal to the CSI-RS sequence, to solve the false PMI reporting issue observed in the field</w:t>
            </w:r>
          </w:p>
          <w:p w14:paraId="39E9A4E5" w14:textId="47374C5E" w:rsidR="008223DB" w:rsidRDefault="008223DB" w:rsidP="008223DB">
            <w:pPr>
              <w:jc w:val="center"/>
            </w:pPr>
            <w:r>
              <w:rPr>
                <w:noProof/>
              </w:rPr>
              <w:drawing>
                <wp:inline distT="0" distB="0" distL="0" distR="0" wp14:anchorId="20ED463A" wp14:editId="2440061D">
                  <wp:extent cx="4600575" cy="2581275"/>
                  <wp:effectExtent l="0" t="0" r="9525" b="952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00575" cy="2581275"/>
                          </a:xfrm>
                          <a:prstGeom prst="rect">
                            <a:avLst/>
                          </a:prstGeom>
                          <a:noFill/>
                          <a:ln>
                            <a:noFill/>
                          </a:ln>
                        </pic:spPr>
                      </pic:pic>
                    </a:graphicData>
                  </a:graphic>
                </wp:inline>
              </w:drawing>
            </w:r>
          </w:p>
          <w:p w14:paraId="5367A6E7" w14:textId="77777777" w:rsidR="008223DB" w:rsidRDefault="008223DB" w:rsidP="008223DB">
            <w:r>
              <w:t xml:space="preserve">The sequences </w:t>
            </w:r>
            <m:oMath>
              <m:sSup>
                <m:sSupPr>
                  <m:ctrlPr>
                    <w:rPr>
                      <w:rFonts w:ascii="Cambria Math" w:eastAsiaTheme="minorEastAsia" w:hAnsi="Cambria Math" w:cstheme="minorBidi"/>
                      <w:i/>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d>
                <m:dPr>
                  <m:ctrlPr>
                    <w:rPr>
                      <w:rFonts w:ascii="Cambria Math" w:eastAsiaTheme="minorEastAsia" w:hAnsi="Cambria Math" w:cstheme="minorBidi"/>
                      <w:i/>
                      <w:kern w:val="2"/>
                      <w:sz w:val="21"/>
                      <w:szCs w:val="22"/>
                    </w:rPr>
                  </m:ctrlPr>
                </m:dPr>
                <m:e>
                  <m:r>
                    <w:rPr>
                      <w:rFonts w:ascii="Cambria Math" w:hAnsi="Cambria Math"/>
                    </w:rPr>
                    <m:t>n</m:t>
                  </m:r>
                </m:e>
              </m:d>
            </m:oMath>
            <w:r>
              <w:t xml:space="preserve"> can be based on the existing Gold-31 pseudo random sequence already used throughout the 38.211 specifications. </w:t>
            </w:r>
          </w:p>
          <w:p w14:paraId="4A7AD139" w14:textId="77777777" w:rsidR="008223DB" w:rsidRDefault="008223DB" w:rsidP="00B650B3">
            <w:pPr>
              <w:pStyle w:val="Proposal"/>
              <w:widowControl w:val="0"/>
              <w:numPr>
                <w:ilvl w:val="0"/>
                <w:numId w:val="15"/>
              </w:numPr>
              <w:tabs>
                <w:tab w:val="clear" w:pos="936"/>
                <w:tab w:val="clear" w:pos="1304"/>
              </w:tabs>
              <w:spacing w:line="240" w:lineRule="auto"/>
              <w:ind w:left="1701" w:hanging="1701"/>
            </w:pPr>
            <w:bookmarkStart w:id="18" w:name="_Toc67653821"/>
            <w:r>
              <w:t xml:space="preserve">As a TEI-17, support a port specific multiplier sequence </w:t>
            </w:r>
            <m:oMath>
              <m:sSup>
                <m:sSupPr>
                  <m:ctrlPr>
                    <w:rPr>
                      <w:rFonts w:ascii="Cambria Math" w:eastAsiaTheme="minorEastAsia" w:hAnsi="Cambria Math" w:cstheme="minorBidi"/>
                      <w:i/>
                      <w:kern w:val="2"/>
                      <w:sz w:val="21"/>
                    </w:rPr>
                  </m:ctrlPr>
                </m:sSupPr>
                <m:e>
                  <m:r>
                    <m:rPr>
                      <m:sty m:val="bi"/>
                    </m:rPr>
                    <w:rPr>
                      <w:rFonts w:ascii="Cambria Math" w:hAnsi="Cambria Math"/>
                    </w:rPr>
                    <m:t>y</m:t>
                  </m:r>
                </m:e>
                <m:sup>
                  <m:sSup>
                    <m:sSupPr>
                      <m:ctrlPr>
                        <w:rPr>
                          <w:rFonts w:ascii="Cambria Math" w:eastAsiaTheme="minorEastAsia" w:hAnsi="Cambria Math" w:cstheme="minorBidi"/>
                          <w:i/>
                          <w:kern w:val="2"/>
                          <w:sz w:val="21"/>
                        </w:rPr>
                      </m:ctrlPr>
                    </m:sSupPr>
                    <m:e>
                      <m:r>
                        <m:rPr>
                          <m:sty m:val="bi"/>
                        </m:rPr>
                        <w:rPr>
                          <w:rFonts w:ascii="Cambria Math" w:hAnsi="Cambria Math"/>
                        </w:rPr>
                        <m:t>p</m:t>
                      </m:r>
                    </m:e>
                    <m:sup>
                      <m:r>
                        <m:rPr>
                          <m:sty m:val="bi"/>
                        </m:rPr>
                        <w:rPr>
                          <w:rFonts w:ascii="Cambria Math" w:hAnsi="Cambria Math"/>
                        </w:rPr>
                        <m:t>'</m:t>
                      </m:r>
                    </m:sup>
                  </m:sSup>
                </m:sup>
              </m:sSup>
              <m:d>
                <m:dPr>
                  <m:ctrlPr>
                    <w:rPr>
                      <w:rFonts w:ascii="Cambria Math" w:eastAsiaTheme="minorEastAsia" w:hAnsi="Cambria Math" w:cstheme="minorBidi"/>
                      <w:i/>
                      <w:kern w:val="2"/>
                      <w:sz w:val="21"/>
                    </w:rPr>
                  </m:ctrlPr>
                </m:dPr>
                <m:e>
                  <m:r>
                    <m:rPr>
                      <m:sty m:val="bi"/>
                    </m:rPr>
                    <w:rPr>
                      <w:rFonts w:ascii="Cambria Math" w:hAnsi="Cambria Math"/>
                    </w:rPr>
                    <m:t>n</m:t>
                  </m:r>
                </m:e>
              </m:d>
              <m:r>
                <m:rPr>
                  <m:sty m:val="bi"/>
                </m:rPr>
                <w:rPr>
                  <w:rFonts w:ascii="Cambria Math" w:hAnsi="Cambria Math"/>
                </w:rPr>
                <m:t xml:space="preserve"> </m:t>
              </m:r>
            </m:oMath>
            <w:r>
              <w:t>to the CSI-RS resource sequence to remove the false PMI reporting issue.</w:t>
            </w:r>
            <w:bookmarkEnd w:id="18"/>
            <w:r>
              <w:t xml:space="preserve">  </w:t>
            </w:r>
          </w:p>
          <w:p w14:paraId="3088FA69" w14:textId="77777777" w:rsidR="008223DB" w:rsidRDefault="008223DB" w:rsidP="008223DB">
            <w:pPr>
              <w:adjustRightInd/>
              <w:rPr>
                <w:rFonts w:eastAsia="MS Mincho"/>
                <w:color w:val="000000"/>
              </w:rPr>
            </w:pPr>
            <w:r>
              <w:rPr>
                <w:rFonts w:eastAsia="MS Mincho" w:hint="eastAsia"/>
                <w:color w:val="000000"/>
              </w:rPr>
              <w:t>~</w:t>
            </w:r>
          </w:p>
          <w:p w14:paraId="0C17691C" w14:textId="77777777" w:rsidR="008223DB" w:rsidRDefault="008223DB" w:rsidP="008223DB">
            <w:pPr>
              <w:pStyle w:val="Observation"/>
            </w:pPr>
            <w:bookmarkStart w:id="19" w:name="_Toc67653813"/>
            <w:r>
              <w:t>Using raw CSI-RS channel estimates (K=1) that doesn’t utilize the processing gain of the use of pseudo-orthogonal sequences in different cells exaggerate the problem of false PMI selection</w:t>
            </w:r>
            <w:bookmarkEnd w:id="19"/>
          </w:p>
          <w:p w14:paraId="6F460B0E" w14:textId="77777777" w:rsidR="008223DB" w:rsidRDefault="008223DB" w:rsidP="008223DB">
            <w:pPr>
              <w:adjustRightInd/>
              <w:rPr>
                <w:rFonts w:eastAsia="MS Mincho"/>
                <w:color w:val="000000"/>
                <w:lang w:val="en-US"/>
              </w:rPr>
            </w:pPr>
            <w:r>
              <w:rPr>
                <w:rFonts w:eastAsia="MS Mincho"/>
                <w:color w:val="000000"/>
                <w:lang w:val="en-US"/>
              </w:rPr>
              <w:t>~</w:t>
            </w:r>
          </w:p>
          <w:p w14:paraId="1B39B806" w14:textId="77777777" w:rsidR="008223DB" w:rsidRDefault="008223DB" w:rsidP="008223DB">
            <w:pPr>
              <w:pStyle w:val="Observation"/>
            </w:pPr>
            <w:bookmarkStart w:id="20" w:name="_Toc67653814"/>
            <w:r>
              <w:t>Due to the use of same sequence sample for all CSI-RS ports, the spatial covariance matrix is dominated by the spatial covariance of the CSI-RS transmitted from the interfering cell if raw channel estimation samples are used</w:t>
            </w:r>
            <w:bookmarkEnd w:id="20"/>
          </w:p>
          <w:p w14:paraId="77EC252D" w14:textId="77777777" w:rsidR="008223DB" w:rsidRDefault="008223DB" w:rsidP="008223DB">
            <w:pPr>
              <w:adjustRightInd/>
              <w:rPr>
                <w:rFonts w:eastAsia="MS Mincho"/>
                <w:color w:val="000000"/>
                <w:lang w:val="en-US"/>
              </w:rPr>
            </w:pPr>
            <w:r>
              <w:rPr>
                <w:rFonts w:eastAsia="MS Mincho"/>
                <w:color w:val="000000"/>
                <w:lang w:val="en-US"/>
              </w:rPr>
              <w:t>~</w:t>
            </w:r>
          </w:p>
          <w:p w14:paraId="78DA9FB8" w14:textId="77777777" w:rsidR="008223DB" w:rsidRDefault="008223DB" w:rsidP="008223DB">
            <w:pPr>
              <w:pStyle w:val="Observation"/>
            </w:pPr>
            <w:bookmarkStart w:id="21" w:name="_Toc67653815"/>
            <w:r>
              <w:t>If per port sequence is introduced, the spatial interference covariance matrix is randomized and appear “close to spatially white”, which reduce the problem as the spatial colored property in the covariance matrix from the interfering cell is removed</w:t>
            </w:r>
            <w:bookmarkEnd w:id="21"/>
            <w:r>
              <w:t xml:space="preserve"> </w:t>
            </w:r>
          </w:p>
          <w:p w14:paraId="68BFE150" w14:textId="77777777" w:rsidR="008223DB" w:rsidRDefault="008223DB" w:rsidP="008223DB">
            <w:pPr>
              <w:adjustRightInd/>
              <w:rPr>
                <w:rFonts w:eastAsia="MS Mincho"/>
                <w:color w:val="000000"/>
                <w:lang w:val="en-US"/>
              </w:rPr>
            </w:pPr>
            <w:r>
              <w:rPr>
                <w:rFonts w:eastAsia="MS Mincho"/>
                <w:color w:val="000000"/>
                <w:lang w:val="en-US"/>
              </w:rPr>
              <w:t>~</w:t>
            </w:r>
          </w:p>
          <w:p w14:paraId="368F4C37" w14:textId="77777777" w:rsidR="008223DB" w:rsidRDefault="008223DB" w:rsidP="008223DB">
            <w:pPr>
              <w:pStyle w:val="Observation"/>
              <w:rPr>
                <w:lang w:val="en-GB"/>
              </w:rPr>
            </w:pPr>
            <w:bookmarkStart w:id="22" w:name="_Toc67653816"/>
            <w:r>
              <w:rPr>
                <w:lang w:val="en-GB"/>
              </w:rPr>
              <w:t>So far only Type I CSI feedback has been analysed, the false PMI selection issue may be even more pronounced for Type II CSI feedback. In addition, the impact of this on any new CSI feedback schemes introduced in future releases is at risk. Hence, leaving this issue unsolved may yet again hit us back in a future release.</w:t>
            </w:r>
            <w:bookmarkEnd w:id="22"/>
            <w:r>
              <w:rPr>
                <w:lang w:val="en-GB"/>
              </w:rPr>
              <w:t xml:space="preserve">  </w:t>
            </w:r>
          </w:p>
          <w:p w14:paraId="53F56210" w14:textId="77777777" w:rsidR="008223DB" w:rsidRDefault="008223DB" w:rsidP="008223DB">
            <w:pPr>
              <w:adjustRightInd/>
              <w:rPr>
                <w:rFonts w:eastAsia="MS Mincho"/>
                <w:color w:val="000000"/>
              </w:rPr>
            </w:pPr>
            <w:r>
              <w:rPr>
                <w:rFonts w:eastAsia="MS Mincho"/>
                <w:color w:val="000000"/>
              </w:rPr>
              <w:t>~</w:t>
            </w:r>
          </w:p>
          <w:p w14:paraId="6DAAD6EE" w14:textId="77777777" w:rsidR="008223DB" w:rsidRDefault="008223DB" w:rsidP="008223DB">
            <w:pPr>
              <w:pStyle w:val="Observation"/>
            </w:pPr>
            <w:bookmarkStart w:id="23" w:name="_Toc67653817"/>
            <w:r>
              <w:t>Network deployments where cell planning is used for CSI-RS can only partially mitigate the problem in the general case, due to strongly interfering stray signals transmitted from cells further away which are commonly observed in e.g. metropolitan deployments.</w:t>
            </w:r>
            <w:bookmarkEnd w:id="23"/>
          </w:p>
          <w:p w14:paraId="0C43C016" w14:textId="77777777" w:rsidR="008223DB" w:rsidRDefault="008223DB" w:rsidP="008223DB">
            <w:pPr>
              <w:adjustRightInd/>
              <w:rPr>
                <w:rFonts w:eastAsia="MS Mincho"/>
                <w:color w:val="000000"/>
                <w:lang w:val="en-US"/>
              </w:rPr>
            </w:pPr>
            <w:r>
              <w:rPr>
                <w:rFonts w:eastAsia="MS Mincho"/>
                <w:color w:val="000000"/>
                <w:lang w:val="en-US"/>
              </w:rPr>
              <w:t>~</w:t>
            </w:r>
          </w:p>
          <w:p w14:paraId="36B51745" w14:textId="77777777" w:rsidR="008223DB" w:rsidRDefault="008223DB" w:rsidP="008223DB">
            <w:pPr>
              <w:pStyle w:val="Observation"/>
            </w:pPr>
            <w:bookmarkStart w:id="24" w:name="_Toc67653818"/>
            <w:r>
              <w:t>Network deployment with colliding CSI-RS between all cells have significant benefits to the operator in terms of no need for such network planning, ease of network densification and evolution when adding new sites, lower reference signal overhead and low interference at low load in network. Deploying with non-colliding RS should be avoided due to these reasons.</w:t>
            </w:r>
            <w:bookmarkEnd w:id="24"/>
            <w:r>
              <w:t xml:space="preserve"> </w:t>
            </w:r>
          </w:p>
          <w:p w14:paraId="06B455E0" w14:textId="77777777" w:rsidR="008223DB" w:rsidRDefault="008223DB" w:rsidP="008223DB">
            <w:pPr>
              <w:adjustRightInd/>
              <w:rPr>
                <w:rFonts w:eastAsia="MS Mincho"/>
                <w:color w:val="000000"/>
                <w:lang w:val="en-US"/>
              </w:rPr>
            </w:pPr>
            <w:r>
              <w:rPr>
                <w:rFonts w:eastAsia="MS Mincho"/>
                <w:color w:val="000000"/>
                <w:lang w:val="en-US"/>
              </w:rPr>
              <w:t>~</w:t>
            </w:r>
          </w:p>
          <w:p w14:paraId="07989922" w14:textId="36FC66A7" w:rsidR="008223DB" w:rsidRPr="008223DB" w:rsidRDefault="008223DB" w:rsidP="008223DB">
            <w:pPr>
              <w:pStyle w:val="Observation"/>
            </w:pPr>
            <w:bookmarkStart w:id="25" w:name="_Toc67653819"/>
            <w:r>
              <w:t>It must be ensured that UE implementation is prepared well for colliding CSI-RS (including TRS and all other uses of CSI-RS), and RAN4 test cases should include colliding CSI-RS deployments. Further note that such a test case with two TRS is currently being considered in RAN4 for multi-TRP operation in Rel.16</w:t>
            </w:r>
            <w:bookmarkEnd w:id="25"/>
          </w:p>
        </w:tc>
      </w:tr>
      <w:tr w:rsidR="00D4281F" w14:paraId="1FD99CAC" w14:textId="77777777" w:rsidTr="002A60E6">
        <w:tc>
          <w:tcPr>
            <w:tcW w:w="562" w:type="dxa"/>
          </w:tcPr>
          <w:p w14:paraId="43D706BF" w14:textId="13E52CB9" w:rsidR="00D4281F" w:rsidRDefault="00D4281F" w:rsidP="002A60E6">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6]</w:t>
            </w:r>
          </w:p>
        </w:tc>
        <w:tc>
          <w:tcPr>
            <w:tcW w:w="9066" w:type="dxa"/>
          </w:tcPr>
          <w:p w14:paraId="6607A29C" w14:textId="77777777" w:rsidR="00D4281F" w:rsidRDefault="00D4281F" w:rsidP="00D4281F">
            <w:pPr>
              <w:spacing w:afterLines="50" w:after="120"/>
              <w:jc w:val="both"/>
              <w:rPr>
                <w:rFonts w:eastAsia="PMingLiU"/>
                <w:sz w:val="20"/>
                <w:lang w:val="en-US" w:eastAsia="zh-CN"/>
              </w:rPr>
            </w:pPr>
            <w:r>
              <w:rPr>
                <w:rFonts w:eastAsia="PMingLiU"/>
                <w:lang w:eastAsia="zh-CN"/>
              </w:rPr>
              <w:t>We do not support this TEI proposal with the following reasons.</w:t>
            </w:r>
          </w:p>
          <w:p w14:paraId="4DF61F00"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 xml:space="preserve">There has been inter-cell interference mitigation mechanism in place since Rel-15. There is no missing critical technical component in the spec. </w:t>
            </w:r>
          </w:p>
          <w:p w14:paraId="76102527"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 xml:space="preserve">There are UEs already implemented descrambling over </w:t>
            </w:r>
            <w:proofErr w:type="spellStart"/>
            <w:r>
              <w:rPr>
                <w:rFonts w:eastAsia="Malgun Gothic"/>
                <w:lang w:eastAsia="ko-KR"/>
              </w:rPr>
              <w:t>neighbor</w:t>
            </w:r>
            <w:proofErr w:type="spellEnd"/>
            <w:r>
              <w:rPr>
                <w:rFonts w:eastAsia="Malgun Gothic"/>
                <w:lang w:eastAsia="ko-KR"/>
              </w:rPr>
              <w:t xml:space="preserve"> cell interference. Procedurally the proposal does not qualify as Rel-17 TEI but a new spec’s mechanism designed for enabling certain UEs to upgrade to new RRC without changing low-level CSI-RS channel estimation implementation.</w:t>
            </w:r>
          </w:p>
          <w:p w14:paraId="646E476C"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The new sequence is not backward-compatible.</w:t>
            </w:r>
            <w:r>
              <w:rPr>
                <w:rFonts w:ascii="PMingLiU" w:eastAsia="PMingLiU" w:hAnsi="PMingLiU" w:hint="eastAsia"/>
                <w:lang w:eastAsia="zh-TW"/>
              </w:rPr>
              <w:t xml:space="preserve">   </w:t>
            </w:r>
            <w:r>
              <w:rPr>
                <w:rFonts w:eastAsia="Malgun Gothic"/>
                <w:lang w:eastAsia="ko-KR"/>
              </w:rPr>
              <w:t xml:space="preserve"> </w:t>
            </w:r>
          </w:p>
          <w:p w14:paraId="75B6D69E" w14:textId="77777777" w:rsidR="00D4281F" w:rsidRDefault="00D4281F" w:rsidP="00D4281F">
            <w:pPr>
              <w:rPr>
                <w:rFonts w:eastAsia="Malgun Gothic"/>
                <w:lang w:eastAsia="ko-KR"/>
              </w:rPr>
            </w:pPr>
            <w:r>
              <w:rPr>
                <w:rFonts w:eastAsia="Malgun Gothic"/>
                <w:lang w:eastAsia="ko-KR"/>
              </w:rPr>
              <w:t xml:space="preserve">For Rel-15/Rel-16 UEs already implemented descrambling over </w:t>
            </w:r>
            <w:proofErr w:type="spellStart"/>
            <w:r>
              <w:rPr>
                <w:rFonts w:eastAsia="Malgun Gothic"/>
                <w:lang w:eastAsia="ko-KR"/>
              </w:rPr>
              <w:t>neighbor</w:t>
            </w:r>
            <w:proofErr w:type="spellEnd"/>
            <w:r>
              <w:rPr>
                <w:rFonts w:eastAsia="Malgun Gothic"/>
                <w:lang w:eastAsia="ko-KR"/>
              </w:rPr>
              <w:t xml:space="preserve"> cell interference, they will not be able to support this Rel-17 TEI without low-level CSI-RS channel estimation change. Therefore, gNB still needs to separate CSI-RS configuration into two groups: one with newly adding per-port scrambling and the other with regular pre-Rel-17 setup. This introduces extra CSI-RS overheads per cell and defeats the purpose of simplifying network planning from avoiding CSI-RS reuse.</w:t>
            </w:r>
          </w:p>
          <w:p w14:paraId="02546A2E" w14:textId="77777777" w:rsidR="00D4281F" w:rsidRDefault="00D4281F" w:rsidP="00D4281F">
            <w:pPr>
              <w:rPr>
                <w:rFonts w:eastAsia="Malgun Gothic"/>
                <w:lang w:eastAsia="ko-KR"/>
              </w:rPr>
            </w:pPr>
            <w:r>
              <w:rPr>
                <w:rFonts w:eastAsia="Malgun Gothic"/>
                <w:lang w:eastAsia="ko-KR"/>
              </w:rPr>
              <w:t>We note that CSI-RS sequences are typically used for multiple functionalities but not just for PMI reporting. A new CSI-RS sequence design should take all related functionalities into consideration instead of limiting to solving a particular issue. RAN1 had not studied potential impacts of the new proposed sequences; we think it is not proper to handle sequence design in Rel-17 TEI.</w:t>
            </w:r>
            <w:r>
              <w:rPr>
                <w:rFonts w:ascii="PMingLiU" w:eastAsia="PMingLiU" w:hAnsi="PMingLiU" w:hint="eastAsia"/>
                <w:lang w:eastAsia="zh-TW"/>
              </w:rPr>
              <w:t xml:space="preserve"> </w:t>
            </w:r>
          </w:p>
          <w:p w14:paraId="2B2AB11E" w14:textId="59F1628A" w:rsidR="00D4281F" w:rsidRPr="00D4281F" w:rsidRDefault="00D4281F" w:rsidP="00D4281F">
            <w:pPr>
              <w:jc w:val="both"/>
              <w:rPr>
                <w:rFonts w:eastAsia="宋体"/>
                <w:lang w:eastAsia="en-US"/>
              </w:rPr>
            </w:pPr>
            <w:r>
              <w:rPr>
                <w:b/>
              </w:rPr>
              <w:t>Proposal:</w:t>
            </w:r>
            <w:r>
              <w:t xml:space="preserve"> Study on CSI-RS enhancement is not needed in Rel-17 TEI. </w:t>
            </w:r>
          </w:p>
        </w:tc>
      </w:tr>
    </w:tbl>
    <w:p w14:paraId="5E19D933" w14:textId="77777777" w:rsidR="00DA3A05" w:rsidRDefault="00DA3A05" w:rsidP="00DA3A05">
      <w:pPr>
        <w:rPr>
          <w:b/>
        </w:rPr>
      </w:pPr>
    </w:p>
    <w:p w14:paraId="20AE6666" w14:textId="70F919F3" w:rsidR="00DA3A05" w:rsidRDefault="00DA3A05" w:rsidP="00DA3A05">
      <w:pPr>
        <w:rPr>
          <w:rFonts w:eastAsia="MS Mincho" w:cs="Batang"/>
          <w:sz w:val="22"/>
          <w:szCs w:val="22"/>
        </w:rPr>
      </w:pPr>
      <w:r>
        <w:rPr>
          <w:rFonts w:eastAsia="MS Mincho" w:cs="Batang"/>
          <w:sz w:val="22"/>
          <w:szCs w:val="22"/>
        </w:rPr>
        <w:t>Based on the above contribution</w:t>
      </w:r>
      <w:r w:rsidR="00D4281F">
        <w:rPr>
          <w:rFonts w:eastAsia="MS Mincho" w:cs="Batang"/>
          <w:sz w:val="22"/>
          <w:szCs w:val="22"/>
        </w:rPr>
        <w:t>s</w:t>
      </w:r>
      <w:r>
        <w:rPr>
          <w:rFonts w:eastAsia="MS Mincho" w:cs="Batang"/>
          <w:sz w:val="22"/>
          <w:szCs w:val="22"/>
        </w:rPr>
        <w:t>, following TEI proposal can be discussed in RAN1#10</w:t>
      </w:r>
      <w:r w:rsidR="00D4281F">
        <w:rPr>
          <w:rFonts w:eastAsia="MS Mincho" w:cs="Batang"/>
          <w:sz w:val="22"/>
          <w:szCs w:val="22"/>
        </w:rPr>
        <w:t>5</w:t>
      </w:r>
      <w:r>
        <w:rPr>
          <w:rFonts w:eastAsia="MS Mincho" w:cs="Batang"/>
          <w:sz w:val="22"/>
          <w:szCs w:val="22"/>
        </w:rPr>
        <w:t>-e meeting.</w:t>
      </w:r>
    </w:p>
    <w:p w14:paraId="5D9B2DF8" w14:textId="77777777" w:rsidR="00DA3A05" w:rsidRDefault="00DA3A05" w:rsidP="00DA3A05">
      <w:pPr>
        <w:rPr>
          <w:rFonts w:ascii="Arial" w:eastAsia="MS Mincho" w:hAnsi="Arial"/>
          <w:sz w:val="32"/>
          <w:szCs w:val="32"/>
        </w:rPr>
      </w:pPr>
    </w:p>
    <w:p w14:paraId="253F77E9" w14:textId="5434BAD3"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4</w:t>
      </w:r>
    </w:p>
    <w:p w14:paraId="0EE7DFF1" w14:textId="3F64F361" w:rsidR="00DA3A05" w:rsidRPr="00E209FD" w:rsidRDefault="008223DB" w:rsidP="00DA3A05">
      <w:pPr>
        <w:pStyle w:val="ListParagraph"/>
        <w:numPr>
          <w:ilvl w:val="0"/>
          <w:numId w:val="13"/>
        </w:numPr>
        <w:ind w:leftChars="0"/>
        <w:rPr>
          <w:rFonts w:eastAsia="MS Mincho" w:cs="Batang"/>
          <w:sz w:val="22"/>
          <w:szCs w:val="22"/>
        </w:rPr>
      </w:pPr>
      <w:r>
        <w:rPr>
          <w:rFonts w:eastAsia="MS Mincho" w:cs="Batang"/>
          <w:b/>
          <w:bCs/>
          <w:sz w:val="22"/>
          <w:szCs w:val="22"/>
        </w:rPr>
        <w:t xml:space="preserve">Correct </w:t>
      </w:r>
      <w:r w:rsidRPr="008223DB">
        <w:rPr>
          <w:rFonts w:eastAsia="MS Mincho" w:cs="Batang"/>
          <w:b/>
          <w:bCs/>
          <w:sz w:val="22"/>
          <w:szCs w:val="22"/>
        </w:rPr>
        <w:t xml:space="preserve">the CSI-RS design as </w:t>
      </w:r>
      <w:r>
        <w:rPr>
          <w:rFonts w:eastAsia="MS Mincho" w:cs="Batang"/>
          <w:b/>
          <w:bCs/>
          <w:sz w:val="22"/>
          <w:szCs w:val="22"/>
        </w:rPr>
        <w:t>below</w:t>
      </w:r>
      <w:r w:rsidRPr="008223DB">
        <w:rPr>
          <w:rFonts w:eastAsia="MS Mincho" w:cs="Batang"/>
          <w:b/>
          <w:bCs/>
          <w:sz w:val="22"/>
          <w:szCs w:val="22"/>
        </w:rPr>
        <w:t xml:space="preserve"> to remove the false PMI reporting problem</w:t>
      </w:r>
    </w:p>
    <w:p w14:paraId="570233A8" w14:textId="5C391D6D" w:rsidR="00DA3A05" w:rsidRPr="00E209FD" w:rsidRDefault="008223DB" w:rsidP="00DA3A05">
      <w:pPr>
        <w:pStyle w:val="ListParagraph"/>
        <w:numPr>
          <w:ilvl w:val="1"/>
          <w:numId w:val="13"/>
        </w:numPr>
        <w:ind w:leftChars="0"/>
        <w:rPr>
          <w:rFonts w:eastAsia="MS Mincho" w:cs="Batang"/>
          <w:sz w:val="22"/>
          <w:szCs w:val="22"/>
        </w:rPr>
      </w:pPr>
      <w:r>
        <w:rPr>
          <w:rFonts w:eastAsia="MS Mincho" w:cs="Batang"/>
          <w:b/>
          <w:bCs/>
          <w:sz w:val="22"/>
          <w:szCs w:val="22"/>
        </w:rPr>
        <w:t>S</w:t>
      </w:r>
      <w:r w:rsidRPr="008223DB">
        <w:rPr>
          <w:rFonts w:eastAsia="MS Mincho" w:cs="Batang"/>
          <w:b/>
          <w:bCs/>
          <w:sz w:val="22"/>
          <w:szCs w:val="22"/>
        </w:rPr>
        <w:t>upport a port specific multiplier sequence y</w:t>
      </w:r>
      <w:proofErr w:type="gramStart"/>
      <w:r w:rsidRPr="008223DB">
        <w:rPr>
          <w:rFonts w:eastAsia="MS Mincho" w:cs="Batang"/>
          <w:b/>
          <w:bCs/>
          <w:sz w:val="22"/>
          <w:szCs w:val="22"/>
        </w:rPr>
        <w:t>^(</w:t>
      </w:r>
      <w:proofErr w:type="gramEnd"/>
      <w:r w:rsidRPr="008223DB">
        <w:rPr>
          <w:rFonts w:eastAsia="MS Mincho" w:cs="Batang"/>
          <w:b/>
          <w:bCs/>
          <w:sz w:val="22"/>
          <w:szCs w:val="22"/>
        </w:rPr>
        <w:t>p^' ) (n)  to the CSI-RS resource sequence</w:t>
      </w:r>
    </w:p>
    <w:p w14:paraId="0A849897" w14:textId="77777777" w:rsidR="00DA3A05" w:rsidRPr="00E209FD" w:rsidRDefault="00DA3A05" w:rsidP="00DA3A05">
      <w:pPr>
        <w:rPr>
          <w:b/>
        </w:rPr>
      </w:pPr>
    </w:p>
    <w:p w14:paraId="71D588E6" w14:textId="45C7FAB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rPr>
        <w:t>Ericsson, NTT DOCOMO, Softbank, Verizon and T-Mobile USA</w:t>
      </w:r>
      <w:r>
        <w:rPr>
          <w:rFonts w:eastAsia="MS Mincho" w:cs="Batang"/>
          <w:sz w:val="22"/>
          <w:szCs w:val="22"/>
        </w:rPr>
        <w:t>.</w:t>
      </w:r>
    </w:p>
    <w:p w14:paraId="23EB2FCE" w14:textId="14D4B431" w:rsidR="00D4281F" w:rsidRDefault="00D4281F"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concerned by MediaTek.</w:t>
      </w:r>
    </w:p>
    <w:p w14:paraId="1BDE8EA8"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4B75178C" w14:textId="77777777" w:rsidTr="002A60E6">
        <w:tc>
          <w:tcPr>
            <w:tcW w:w="1945" w:type="dxa"/>
            <w:shd w:val="clear" w:color="auto" w:fill="F2F2F2" w:themeFill="background1" w:themeFillShade="F2"/>
          </w:tcPr>
          <w:p w14:paraId="4413868B"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C1D4F39"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42401156" w14:textId="77777777" w:rsidTr="002A60E6">
        <w:tc>
          <w:tcPr>
            <w:tcW w:w="1945" w:type="dxa"/>
          </w:tcPr>
          <w:p w14:paraId="66152787" w14:textId="351506C2" w:rsidR="00DA3A05" w:rsidRDefault="00C64F5D" w:rsidP="002A60E6">
            <w:pPr>
              <w:spacing w:afterLines="50" w:after="120"/>
              <w:jc w:val="both"/>
              <w:rPr>
                <w:sz w:val="22"/>
                <w:lang w:val="en-US"/>
              </w:rPr>
            </w:pPr>
            <w:r>
              <w:rPr>
                <w:sz w:val="22"/>
                <w:lang w:val="en-US"/>
              </w:rPr>
              <w:t>vivo</w:t>
            </w:r>
          </w:p>
        </w:tc>
        <w:tc>
          <w:tcPr>
            <w:tcW w:w="7683" w:type="dxa"/>
          </w:tcPr>
          <w:p w14:paraId="549A65CB" w14:textId="3573240A" w:rsidR="00DA3A05" w:rsidRDefault="00C64F5D" w:rsidP="002A60E6">
            <w:pPr>
              <w:spacing w:afterLines="50" w:after="120"/>
              <w:jc w:val="both"/>
              <w:rPr>
                <w:sz w:val="22"/>
                <w:lang w:val="en-US"/>
              </w:rPr>
            </w:pPr>
            <w:r w:rsidRPr="00390A19">
              <w:rPr>
                <w:rFonts w:eastAsia="宋体"/>
                <w:sz w:val="22"/>
                <w:lang w:val="en-US" w:eastAsia="zh-CN"/>
              </w:rPr>
              <w:t>W</w:t>
            </w:r>
            <w:r w:rsidRPr="00390A19">
              <w:rPr>
                <w:rFonts w:eastAsia="宋体" w:hint="eastAsia"/>
                <w:sz w:val="22"/>
                <w:lang w:val="en-US" w:eastAsia="zh-CN"/>
              </w:rPr>
              <w:t xml:space="preserve">e </w:t>
            </w:r>
            <w:r w:rsidRPr="00390A19">
              <w:rPr>
                <w:rFonts w:eastAsia="宋体"/>
                <w:sz w:val="22"/>
                <w:lang w:val="en-US" w:eastAsia="zh-CN"/>
              </w:rPr>
              <w:t xml:space="preserve">are open for </w:t>
            </w:r>
            <w:proofErr w:type="gramStart"/>
            <w:r w:rsidRPr="00390A19">
              <w:rPr>
                <w:rFonts w:eastAsia="宋体"/>
                <w:sz w:val="22"/>
                <w:lang w:val="en-US" w:eastAsia="zh-CN"/>
              </w:rPr>
              <w:t>discussion,</w:t>
            </w:r>
            <w:proofErr w:type="gramEnd"/>
            <w:r w:rsidRPr="00390A19">
              <w:rPr>
                <w:rFonts w:eastAsia="宋体"/>
                <w:sz w:val="22"/>
                <w:lang w:val="en-US" w:eastAsia="zh-CN"/>
              </w:rPr>
              <w:t xml:space="preserve"> however smart UE implementation can avoid the problem.</w:t>
            </w:r>
          </w:p>
        </w:tc>
      </w:tr>
      <w:tr w:rsidR="00DA3A05" w14:paraId="792014EA" w14:textId="77777777" w:rsidTr="002A60E6">
        <w:tc>
          <w:tcPr>
            <w:tcW w:w="1945" w:type="dxa"/>
          </w:tcPr>
          <w:p w14:paraId="2EE5DBFF" w14:textId="77777777" w:rsidR="00DA3A05" w:rsidRDefault="00DA3A05" w:rsidP="002A60E6">
            <w:pPr>
              <w:spacing w:afterLines="50" w:after="120"/>
              <w:jc w:val="both"/>
              <w:rPr>
                <w:sz w:val="22"/>
                <w:lang w:val="en-US"/>
              </w:rPr>
            </w:pPr>
          </w:p>
        </w:tc>
        <w:tc>
          <w:tcPr>
            <w:tcW w:w="7683" w:type="dxa"/>
          </w:tcPr>
          <w:p w14:paraId="4335919D" w14:textId="77777777" w:rsidR="00DA3A05" w:rsidRPr="00F740AD" w:rsidRDefault="00DA3A05" w:rsidP="002A60E6">
            <w:pPr>
              <w:spacing w:afterLines="50" w:after="120"/>
              <w:jc w:val="both"/>
              <w:rPr>
                <w:sz w:val="22"/>
                <w:lang w:val="en-US"/>
              </w:rPr>
            </w:pPr>
          </w:p>
        </w:tc>
      </w:tr>
      <w:tr w:rsidR="00DA3A05" w14:paraId="6449F409" w14:textId="77777777" w:rsidTr="002A60E6">
        <w:tc>
          <w:tcPr>
            <w:tcW w:w="1945" w:type="dxa"/>
          </w:tcPr>
          <w:p w14:paraId="5ECF4FE3" w14:textId="77777777" w:rsidR="00DA3A05" w:rsidRDefault="00DA3A05" w:rsidP="002A60E6">
            <w:pPr>
              <w:spacing w:afterLines="50" w:after="120"/>
              <w:jc w:val="both"/>
              <w:rPr>
                <w:sz w:val="22"/>
                <w:lang w:val="en-US"/>
              </w:rPr>
            </w:pPr>
          </w:p>
        </w:tc>
        <w:tc>
          <w:tcPr>
            <w:tcW w:w="7683" w:type="dxa"/>
          </w:tcPr>
          <w:p w14:paraId="5238B378" w14:textId="77777777" w:rsidR="00DA3A05" w:rsidRPr="00F740AD" w:rsidRDefault="00DA3A05" w:rsidP="002A60E6">
            <w:pPr>
              <w:spacing w:afterLines="50" w:after="120"/>
              <w:jc w:val="both"/>
              <w:rPr>
                <w:sz w:val="22"/>
                <w:lang w:val="en-US"/>
              </w:rPr>
            </w:pPr>
          </w:p>
        </w:tc>
      </w:tr>
    </w:tbl>
    <w:p w14:paraId="0423D743" w14:textId="77777777" w:rsidR="00DA3A05" w:rsidRPr="00802399" w:rsidRDefault="00DA3A05" w:rsidP="00DA3A05">
      <w:pPr>
        <w:rPr>
          <w:b/>
        </w:rPr>
      </w:pPr>
    </w:p>
    <w:p w14:paraId="6378808B" w14:textId="3808BD9A" w:rsidR="00DA3A05" w:rsidRDefault="00DA3A05" w:rsidP="002753B9">
      <w:pPr>
        <w:rPr>
          <w:b/>
        </w:rPr>
      </w:pPr>
    </w:p>
    <w:p w14:paraId="425E8D91" w14:textId="4069DE99" w:rsidR="00DA3A05" w:rsidRDefault="00DA3A05" w:rsidP="002753B9">
      <w:pPr>
        <w:rPr>
          <w:b/>
        </w:rPr>
      </w:pPr>
    </w:p>
    <w:p w14:paraId="25D3AC96" w14:textId="2F886144" w:rsidR="00DA3A05" w:rsidRPr="005953A0" w:rsidRDefault="008223DB"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NR Positioning support for TA-based positioning in E-CID</w:t>
      </w:r>
    </w:p>
    <w:p w14:paraId="4490CD69"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DA3A05" w14:paraId="01327D5C" w14:textId="77777777" w:rsidTr="002A60E6">
        <w:tc>
          <w:tcPr>
            <w:tcW w:w="562" w:type="dxa"/>
          </w:tcPr>
          <w:p w14:paraId="02250399" w14:textId="739CE871"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D4281F">
              <w:rPr>
                <w:rFonts w:ascii="Arial" w:eastAsia="MS Mincho" w:hAnsi="Arial"/>
                <w:sz w:val="22"/>
                <w:szCs w:val="22"/>
                <w:lang w:val="en-US"/>
              </w:rPr>
              <w:t>8</w:t>
            </w:r>
            <w:r>
              <w:rPr>
                <w:rFonts w:ascii="Arial" w:eastAsia="MS Mincho" w:hAnsi="Arial"/>
                <w:sz w:val="22"/>
                <w:szCs w:val="22"/>
                <w:lang w:val="en-US"/>
              </w:rPr>
              <w:t>]</w:t>
            </w:r>
          </w:p>
        </w:tc>
        <w:tc>
          <w:tcPr>
            <w:tcW w:w="9066" w:type="dxa"/>
          </w:tcPr>
          <w:p w14:paraId="0710D5BF" w14:textId="77777777" w:rsidR="00D4281F" w:rsidRDefault="00D4281F" w:rsidP="00D4281F">
            <w:pPr>
              <w:rPr>
                <w:rFonts w:ascii="Arial" w:eastAsiaTheme="minorEastAsia" w:hAnsi="Arial" w:cs="Arial"/>
                <w:sz w:val="20"/>
                <w:lang w:val="en-US"/>
              </w:rPr>
            </w:pPr>
            <w:r>
              <w:rPr>
                <w:rFonts w:ascii="Arial" w:hAnsi="Arial" w:cs="Arial"/>
                <w:sz w:val="20"/>
              </w:rPr>
              <w:t xml:space="preserve">TA-based methods were already available in LTE for E-CID positioning, which were mainly used for meeting important regulatory requirements (e.g., localization during emergency calls). It is essential that when operators deploy NR Network and migrate from the LTE-based TA solutions, NR positioning should also be capable of providing this same important functionality, instead of a downgrading, which we have today. </w:t>
            </w:r>
          </w:p>
          <w:p w14:paraId="2BE4B98F" w14:textId="77777777" w:rsidR="00D4281F" w:rsidRDefault="00D4281F" w:rsidP="00D4281F">
            <w:pPr>
              <w:rPr>
                <w:rFonts w:ascii="Arial" w:hAnsi="Arial" w:cs="Arial"/>
                <w:sz w:val="20"/>
              </w:rPr>
            </w:pPr>
            <w:r>
              <w:rPr>
                <w:rFonts w:ascii="Arial" w:hAnsi="Arial" w:cs="Arial"/>
                <w:sz w:val="20"/>
              </w:rPr>
              <w:t>Specifically, not every network element (gNBs, LMFs) or UEs may support Rel-16 UL SRS or DL-PRS based positioning – this is especially true in multi-vendor scenario environments, where network elements are coming from different vendors, and hence the possibility of interoperability issues which may lead to longer deployment period. Therefore, solutions similar to LTE which are based upon simple basic communication procedure such as TA should be made available to address such migration issue in a timely manner, and meet the same requirement for 5GS on providing UE location information during emergency calls.</w:t>
            </w:r>
          </w:p>
          <w:p w14:paraId="00AF6D22" w14:textId="77777777" w:rsidR="00D4281F" w:rsidRDefault="00D4281F" w:rsidP="00D4281F">
            <w:pPr>
              <w:rPr>
                <w:rFonts w:asciiTheme="minorHAnsi" w:hAnsiTheme="minorHAnsi" w:cstheme="minorBidi"/>
                <w:sz w:val="21"/>
              </w:rPr>
            </w:pPr>
          </w:p>
          <w:p w14:paraId="64FA5E15" w14:textId="77777777" w:rsidR="00D4281F" w:rsidRDefault="00D4281F" w:rsidP="00B650B3">
            <w:pPr>
              <w:pStyle w:val="Observation"/>
              <w:numPr>
                <w:ilvl w:val="0"/>
                <w:numId w:val="27"/>
              </w:numPr>
            </w:pPr>
            <w:bookmarkStart w:id="26" w:name="_Toc71039788"/>
            <w:r>
              <w:t>Measurements and reporting similar to LTE TA Type2 are also needed in NR to provide positioning solutions to meet regulatory requirements and to ensure seamless positioning solutions when migrating from LTE to NR.</w:t>
            </w:r>
            <w:bookmarkEnd w:id="26"/>
            <w:r>
              <w:t xml:space="preserve"> </w:t>
            </w:r>
          </w:p>
          <w:p w14:paraId="73F83653" w14:textId="77777777" w:rsidR="00D4281F" w:rsidRDefault="00D4281F" w:rsidP="00D4281F"/>
          <w:p w14:paraId="14490CA2" w14:textId="77777777" w:rsidR="00D4281F" w:rsidRDefault="00D4281F" w:rsidP="00D4281F">
            <w:pPr>
              <w:rPr>
                <w:rFonts w:ascii="Arial" w:hAnsi="Arial" w:cs="Arial"/>
                <w:sz w:val="20"/>
              </w:rPr>
            </w:pPr>
            <w:r>
              <w:rPr>
                <w:rFonts w:ascii="Arial" w:hAnsi="Arial" w:cs="Arial"/>
                <w:sz w:val="20"/>
              </w:rPr>
              <w:t xml:space="preserve">Besides helping to comply with regulatory requirements, TA measurements could also improve latency. Release 17 NR positioning use cases have considerably lower latency requirements compared to Release 16 and in [1] it was indeed observed that the latency could be greatly reduced if the network can report existing measurements based on timing advance, instead of using the PRS-based gNB Rx-Tx time difference measurement.  Moreover, re-using already available measurement such as TA could help complementing the other measurement reports (such as PRS/SRS based reports) without introducing more RS overhead. </w:t>
            </w:r>
          </w:p>
          <w:p w14:paraId="51766DB4" w14:textId="77777777" w:rsidR="00D4281F" w:rsidRDefault="00D4281F" w:rsidP="00D4281F">
            <w:pPr>
              <w:rPr>
                <w:rFonts w:asciiTheme="minorHAnsi" w:hAnsiTheme="minorHAnsi" w:cstheme="minorBidi"/>
                <w:sz w:val="21"/>
              </w:rPr>
            </w:pPr>
          </w:p>
          <w:p w14:paraId="475B7DD6" w14:textId="77777777" w:rsidR="00D4281F" w:rsidRDefault="00D4281F" w:rsidP="00D4281F">
            <w:pPr>
              <w:pStyle w:val="Observation"/>
            </w:pPr>
            <w:bookmarkStart w:id="27" w:name="_Toc71039789"/>
            <w:r>
              <w:t xml:space="preserve">The network can report TA-based gNB </w:t>
            </w:r>
            <w:proofErr w:type="spellStart"/>
            <w:r>
              <w:t>RxTx</w:t>
            </w:r>
            <w:proofErr w:type="spellEnd"/>
            <w:r>
              <w:t xml:space="preserve"> time difference measurement without additional RS overhead cost or additional LPP signaling.</w:t>
            </w:r>
            <w:bookmarkEnd w:id="27"/>
            <w:r>
              <w:t xml:space="preserve"> </w:t>
            </w:r>
          </w:p>
          <w:p w14:paraId="555FEC24" w14:textId="77777777" w:rsidR="00DA3A05" w:rsidRDefault="00DA3A05" w:rsidP="002A60E6">
            <w:pPr>
              <w:adjustRightInd/>
              <w:rPr>
                <w:rFonts w:eastAsia="宋体"/>
                <w:color w:val="000000"/>
                <w:lang w:eastAsia="en-US"/>
              </w:rPr>
            </w:pPr>
          </w:p>
          <w:p w14:paraId="4266D8A6" w14:textId="77777777" w:rsidR="00D4281F" w:rsidRDefault="00D4281F" w:rsidP="00D4281F">
            <w:pPr>
              <w:rPr>
                <w:rFonts w:ascii="Arial" w:eastAsiaTheme="minorEastAsia" w:hAnsi="Arial" w:cs="Arial"/>
                <w:sz w:val="20"/>
                <w:lang w:val="en-US"/>
              </w:rPr>
            </w:pPr>
            <w:r>
              <w:rPr>
                <w:rFonts w:ascii="Arial" w:hAnsi="Arial" w:cs="Arial"/>
                <w:sz w:val="20"/>
              </w:rPr>
              <w:t xml:space="preserve">When looking at the </w:t>
            </w:r>
            <w:proofErr w:type="spellStart"/>
            <w:r>
              <w:rPr>
                <w:rFonts w:ascii="Arial" w:hAnsi="Arial" w:cs="Arial"/>
                <w:sz w:val="20"/>
              </w:rPr>
              <w:t>LPPa</w:t>
            </w:r>
            <w:proofErr w:type="spellEnd"/>
            <w:r>
              <w:rPr>
                <w:rFonts w:ascii="Arial" w:hAnsi="Arial" w:cs="Arial"/>
                <w:sz w:val="20"/>
              </w:rPr>
              <w:t>/</w:t>
            </w:r>
            <w:proofErr w:type="spellStart"/>
            <w:r>
              <w:rPr>
                <w:rFonts w:ascii="Arial" w:hAnsi="Arial" w:cs="Arial"/>
                <w:sz w:val="20"/>
              </w:rPr>
              <w:t>NRPPa</w:t>
            </w:r>
            <w:proofErr w:type="spellEnd"/>
            <w:r>
              <w:rPr>
                <w:rFonts w:ascii="Arial" w:hAnsi="Arial" w:cs="Arial"/>
                <w:sz w:val="20"/>
              </w:rPr>
              <w:t xml:space="preserve"> specifications, in E-UTRA RAT the </w:t>
            </w:r>
            <w:proofErr w:type="spellStart"/>
            <w:r>
              <w:rPr>
                <w:rFonts w:ascii="Arial" w:hAnsi="Arial" w:cs="Arial"/>
                <w:sz w:val="20"/>
              </w:rPr>
              <w:t>eNBs</w:t>
            </w:r>
            <w:proofErr w:type="spellEnd"/>
            <w:r>
              <w:rPr>
                <w:rFonts w:ascii="Arial" w:hAnsi="Arial" w:cs="Arial"/>
                <w:sz w:val="20"/>
              </w:rPr>
              <w:t>/ng-</w:t>
            </w:r>
            <w:proofErr w:type="spellStart"/>
            <w:r>
              <w:rPr>
                <w:rFonts w:ascii="Arial" w:hAnsi="Arial" w:cs="Arial"/>
                <w:sz w:val="20"/>
              </w:rPr>
              <w:t>eNBs</w:t>
            </w:r>
            <w:proofErr w:type="spellEnd"/>
            <w:r>
              <w:rPr>
                <w:rFonts w:ascii="Arial" w:hAnsi="Arial" w:cs="Arial"/>
                <w:sz w:val="20"/>
              </w:rPr>
              <w:t xml:space="preserve"> are able to report E-UTRA Angle of Arrival and Timing Advance Type 1/Type 2 in E-CID to the location server. Timing Advance Type 2, which is </w:t>
            </w:r>
            <w:proofErr w:type="spellStart"/>
            <w:r>
              <w:rPr>
                <w:rFonts w:ascii="Arial" w:hAnsi="Arial" w:cs="Arial"/>
                <w:sz w:val="20"/>
              </w:rPr>
              <w:t>eNB</w:t>
            </w:r>
            <w:proofErr w:type="spellEnd"/>
            <w:r>
              <w:rPr>
                <w:rFonts w:ascii="Arial" w:hAnsi="Arial" w:cs="Arial"/>
                <w:sz w:val="20"/>
              </w:rPr>
              <w:t xml:space="preserve"> Rx-Tx time difference measurement, is based upon PRACH (as seen in TS 36.214 extract below), which is considered a usual and required measurement to be signalled by UE to gNB in order to perform communication. Thus, it should already be supported by all networks.</w:t>
            </w:r>
          </w:p>
          <w:p w14:paraId="7E9234FD" w14:textId="77777777" w:rsidR="00D4281F" w:rsidRDefault="00D4281F" w:rsidP="00D4281F">
            <w:pPr>
              <w:pStyle w:val="Proposal"/>
              <w:numPr>
                <w:ilvl w:val="0"/>
                <w:numId w:val="0"/>
              </w:numPr>
              <w:ind w:left="1701" w:hanging="1701"/>
              <w:rPr>
                <w:rFonts w:asciiTheme="minorHAnsi" w:hAnsiTheme="minorHAnsi" w:cstheme="minorBidi"/>
                <w:b w:val="0"/>
                <w:sz w:val="21"/>
                <w:lang w:eastAsia="ja-JP"/>
              </w:rPr>
            </w:pPr>
          </w:p>
          <w:tbl>
            <w:tblPr>
              <w:tblStyle w:val="TableGrid"/>
              <w:tblW w:w="0" w:type="auto"/>
              <w:jc w:val="center"/>
              <w:tblLook w:val="04A0" w:firstRow="1" w:lastRow="0" w:firstColumn="1" w:lastColumn="0" w:noHBand="0" w:noVBand="1"/>
            </w:tblPr>
            <w:tblGrid>
              <w:gridCol w:w="8840"/>
            </w:tblGrid>
            <w:tr w:rsidR="00D4281F" w14:paraId="35DEACCA" w14:textId="77777777" w:rsidTr="00D4281F">
              <w:trPr>
                <w:jc w:val="center"/>
              </w:trPr>
              <w:tc>
                <w:tcPr>
                  <w:tcW w:w="9629" w:type="dxa"/>
                  <w:tcBorders>
                    <w:top w:val="single" w:sz="4" w:space="0" w:color="auto"/>
                    <w:left w:val="single" w:sz="4" w:space="0" w:color="auto"/>
                    <w:bottom w:val="single" w:sz="4" w:space="0" w:color="auto"/>
                    <w:right w:val="single" w:sz="4" w:space="0" w:color="auto"/>
                  </w:tcBorders>
                </w:tcPr>
                <w:p w14:paraId="4A07C233" w14:textId="77777777" w:rsidR="00D4281F" w:rsidRDefault="00D4281F" w:rsidP="00D4281F">
                  <w:pPr>
                    <w:pStyle w:val="Heading3"/>
                    <w:tabs>
                      <w:tab w:val="left" w:pos="840"/>
                    </w:tabs>
                    <w:ind w:left="851"/>
                    <w:outlineLvl w:val="2"/>
                    <w:rPr>
                      <w:rFonts w:eastAsia="Calibri"/>
                      <w:lang w:val="en-US" w:eastAsia="en-US"/>
                    </w:rPr>
                  </w:pPr>
                  <w:r>
                    <w:rPr>
                      <w:rFonts w:eastAsia="Calibri"/>
                      <w:lang w:val="en-US" w:eastAsia="en-US"/>
                    </w:rPr>
                    <w:t>5.2.4 Timing advance (T</w:t>
                  </w:r>
                  <w:r>
                    <w:rPr>
                      <w:rFonts w:eastAsia="Calibri"/>
                      <w:vertAlign w:val="subscript"/>
                      <w:lang w:val="en-US" w:eastAsia="en-US"/>
                    </w:rPr>
                    <w:t>ADV</w:t>
                  </w:r>
                  <w:r>
                    <w:rPr>
                      <w:rFonts w:eastAsia="Calibri"/>
                      <w:lang w:val="en-US" w:eastAsia="en-US"/>
                    </w:rPr>
                    <w:t>)</w:t>
                  </w:r>
                </w:p>
                <w:p w14:paraId="26B1F4C6" w14:textId="77777777" w:rsidR="00D4281F" w:rsidRDefault="00D4281F" w:rsidP="00D4281F">
                  <w:pPr>
                    <w:pStyle w:val="TH"/>
                    <w:rPr>
                      <w:rFonts w:eastAsia="Calibri"/>
                      <w:lang w:val="en-US"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1"/>
                    <w:gridCol w:w="7243"/>
                  </w:tblGrid>
                  <w:tr w:rsidR="00D4281F" w14:paraId="58CE8D17" w14:textId="77777777" w:rsidTr="00D4281F">
                    <w:trPr>
                      <w:cantSplit/>
                      <w:jc w:val="center"/>
                    </w:trPr>
                    <w:tc>
                      <w:tcPr>
                        <w:tcW w:w="796" w:type="pct"/>
                        <w:tcBorders>
                          <w:top w:val="single" w:sz="4" w:space="0" w:color="auto"/>
                          <w:left w:val="single" w:sz="4" w:space="0" w:color="auto"/>
                          <w:bottom w:val="single" w:sz="4" w:space="0" w:color="auto"/>
                          <w:right w:val="single" w:sz="4" w:space="0" w:color="auto"/>
                        </w:tcBorders>
                        <w:hideMark/>
                      </w:tcPr>
                      <w:p w14:paraId="14080608" w14:textId="77777777" w:rsidR="00D4281F" w:rsidRDefault="00D4281F" w:rsidP="00D4281F">
                        <w:pPr>
                          <w:pStyle w:val="TAL"/>
                          <w:rPr>
                            <w:b/>
                            <w:lang w:val="en-US"/>
                          </w:rPr>
                        </w:pPr>
                        <w:r>
                          <w:rPr>
                            <w:b/>
                            <w:lang w:val="en-US"/>
                          </w:rPr>
                          <w:t>Definition</w:t>
                        </w:r>
                      </w:p>
                    </w:tc>
                    <w:tc>
                      <w:tcPr>
                        <w:tcW w:w="4204" w:type="pct"/>
                        <w:tcBorders>
                          <w:top w:val="single" w:sz="4" w:space="0" w:color="auto"/>
                          <w:left w:val="single" w:sz="4" w:space="0" w:color="auto"/>
                          <w:bottom w:val="single" w:sz="4" w:space="0" w:color="auto"/>
                          <w:right w:val="single" w:sz="4" w:space="0" w:color="auto"/>
                        </w:tcBorders>
                      </w:tcPr>
                      <w:p w14:paraId="12DC19EE" w14:textId="77777777" w:rsidR="00D4281F" w:rsidRDefault="00D4281F" w:rsidP="00D4281F">
                        <w:pPr>
                          <w:pStyle w:val="TAL"/>
                          <w:rPr>
                            <w:u w:val="single"/>
                            <w:lang w:val="en-US"/>
                          </w:rPr>
                        </w:pPr>
                        <w:r>
                          <w:rPr>
                            <w:u w:val="single"/>
                            <w:lang w:val="en-US"/>
                          </w:rPr>
                          <w:t>Type1:</w:t>
                        </w:r>
                      </w:p>
                      <w:p w14:paraId="20DB7BB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1 is defined as the time difference </w:t>
                        </w:r>
                      </w:p>
                      <w:p w14:paraId="1F2583BB" w14:textId="77777777" w:rsidR="00D4281F" w:rsidRDefault="00D4281F" w:rsidP="00D4281F">
                        <w:pPr>
                          <w:pStyle w:val="TAL"/>
                          <w:rPr>
                            <w:lang w:val="en-US"/>
                          </w:rPr>
                        </w:pPr>
                      </w:p>
                      <w:p w14:paraId="7D3B6084"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 + (UE Rx – Tx time difference),</w:t>
                        </w:r>
                      </w:p>
                      <w:p w14:paraId="69F2A202" w14:textId="77777777" w:rsidR="00D4281F" w:rsidRDefault="00D4281F" w:rsidP="00D4281F">
                        <w:pPr>
                          <w:pStyle w:val="TAL"/>
                          <w:rPr>
                            <w:lang w:val="en-US"/>
                          </w:rPr>
                        </w:pPr>
                        <w:r>
                          <w:rPr>
                            <w:lang w:val="en-US"/>
                          </w:rPr>
                          <w:t xml:space="preserve">where the </w:t>
                        </w:r>
                        <w:proofErr w:type="spellStart"/>
                        <w:r>
                          <w:rPr>
                            <w:lang w:val="en-US"/>
                          </w:rPr>
                          <w:t>eNB</w:t>
                        </w:r>
                        <w:proofErr w:type="spellEnd"/>
                        <w:r>
                          <w:rPr>
                            <w:lang w:val="en-US"/>
                          </w:rPr>
                          <w:t xml:space="preserve"> Rx – Tx time difference corresponds to the same UE that reports the UE Rx – Tx time difference.</w:t>
                        </w:r>
                      </w:p>
                      <w:p w14:paraId="1C3E22E3" w14:textId="77777777" w:rsidR="00D4281F" w:rsidRDefault="00D4281F" w:rsidP="00D4281F">
                        <w:pPr>
                          <w:pStyle w:val="TAL"/>
                          <w:rPr>
                            <w:lang w:val="en-US"/>
                          </w:rPr>
                        </w:pPr>
                      </w:p>
                      <w:p w14:paraId="16CD111F" w14:textId="77777777" w:rsidR="00D4281F" w:rsidRDefault="00D4281F" w:rsidP="00D4281F">
                        <w:pPr>
                          <w:pStyle w:val="TAL"/>
                          <w:rPr>
                            <w:u w:val="single"/>
                            <w:lang w:val="en-US"/>
                          </w:rPr>
                        </w:pPr>
                        <w:r>
                          <w:rPr>
                            <w:u w:val="single"/>
                            <w:lang w:val="en-US"/>
                          </w:rPr>
                          <w:t>Type2:</w:t>
                        </w:r>
                      </w:p>
                      <w:p w14:paraId="54167DA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2 is defined as the time difference </w:t>
                        </w:r>
                      </w:p>
                      <w:p w14:paraId="7DDF034C" w14:textId="77777777" w:rsidR="00D4281F" w:rsidRDefault="00D4281F" w:rsidP="00D4281F">
                        <w:pPr>
                          <w:pStyle w:val="TAL"/>
                          <w:rPr>
                            <w:lang w:val="en-US"/>
                          </w:rPr>
                        </w:pPr>
                      </w:p>
                      <w:p w14:paraId="6F8E6B13"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w:t>
                        </w:r>
                      </w:p>
                      <w:p w14:paraId="45AEAA78" w14:textId="77777777" w:rsidR="00D4281F" w:rsidRDefault="00D4281F" w:rsidP="00D4281F">
                        <w:pPr>
                          <w:pStyle w:val="TAL"/>
                          <w:rPr>
                            <w:lang w:val="en-US"/>
                          </w:rPr>
                        </w:pPr>
                        <w:r>
                          <w:rPr>
                            <w:highlight w:val="cyan"/>
                            <w:lang w:val="en-US"/>
                          </w:rPr>
                          <w:t xml:space="preserve">where the </w:t>
                        </w:r>
                        <w:proofErr w:type="spellStart"/>
                        <w:r>
                          <w:rPr>
                            <w:highlight w:val="cyan"/>
                            <w:lang w:val="en-US"/>
                          </w:rPr>
                          <w:t>eNB</w:t>
                        </w:r>
                        <w:proofErr w:type="spellEnd"/>
                        <w:r>
                          <w:rPr>
                            <w:highlight w:val="cyan"/>
                            <w:lang w:val="en-US"/>
                          </w:rPr>
                          <w:t xml:space="preserve"> Rx – Tx time difference corresponds to a received uplink radio frame containing PRACH from the respective UE or similarly NPRACH from the respective NB-IoT </w:t>
                        </w:r>
                        <w:proofErr w:type="gramStart"/>
                        <w:r>
                          <w:rPr>
                            <w:highlight w:val="cyan"/>
                            <w:lang w:val="en-US"/>
                          </w:rPr>
                          <w:t>UE</w:t>
                        </w:r>
                        <w:r>
                          <w:rPr>
                            <w:lang w:val="en-US"/>
                          </w:rPr>
                          <w:t>.</w:t>
                        </w:r>
                        <w:r>
                          <w:rPr>
                            <w:vertAlign w:val="subscript"/>
                            <w:lang w:val="en-US"/>
                          </w:rPr>
                          <w:t>.</w:t>
                        </w:r>
                        <w:proofErr w:type="gramEnd"/>
                      </w:p>
                    </w:tc>
                  </w:tr>
                </w:tbl>
                <w:p w14:paraId="0707A0D9" w14:textId="77777777" w:rsidR="00D4281F" w:rsidRDefault="00D4281F" w:rsidP="00D4281F">
                  <w:pPr>
                    <w:rPr>
                      <w:rFonts w:asciiTheme="minorHAnsi" w:eastAsia="Calibri" w:hAnsiTheme="minorHAnsi" w:cstheme="minorBidi"/>
                      <w:kern w:val="2"/>
                      <w:sz w:val="21"/>
                      <w:lang w:val="en-US" w:eastAsia="en-US"/>
                    </w:rPr>
                  </w:pPr>
                </w:p>
                <w:p w14:paraId="4AB2511D" w14:textId="77777777" w:rsidR="00D4281F" w:rsidRDefault="00D4281F" w:rsidP="00D4281F">
                  <w:pPr>
                    <w:pStyle w:val="Proposal"/>
                    <w:numPr>
                      <w:ilvl w:val="0"/>
                      <w:numId w:val="0"/>
                    </w:numPr>
                    <w:rPr>
                      <w:rFonts w:asciiTheme="minorHAnsi" w:hAnsiTheme="minorHAnsi"/>
                      <w:b w:val="0"/>
                      <w:bCs w:val="0"/>
                      <w:lang w:eastAsia="ja-JP"/>
                    </w:rPr>
                  </w:pPr>
                </w:p>
              </w:tc>
            </w:tr>
          </w:tbl>
          <w:p w14:paraId="3A978066" w14:textId="77777777" w:rsidR="00D4281F" w:rsidRDefault="00D4281F" w:rsidP="00D4281F">
            <w:pPr>
              <w:pStyle w:val="Proposal"/>
              <w:numPr>
                <w:ilvl w:val="0"/>
                <w:numId w:val="0"/>
              </w:numPr>
              <w:ind w:left="1701" w:hanging="1701"/>
              <w:rPr>
                <w:rFonts w:asciiTheme="minorHAnsi" w:eastAsiaTheme="minorEastAsia" w:hAnsiTheme="minorHAnsi" w:cstheme="minorBidi"/>
                <w:b w:val="0"/>
                <w:kern w:val="2"/>
                <w:sz w:val="21"/>
                <w:lang w:eastAsia="ja-JP"/>
              </w:rPr>
            </w:pPr>
          </w:p>
          <w:p w14:paraId="612599AD" w14:textId="77777777" w:rsidR="00D4281F" w:rsidRDefault="00D4281F" w:rsidP="00D4281F">
            <w:pPr>
              <w:rPr>
                <w:rFonts w:ascii="Arial" w:hAnsi="Arial" w:cs="Arial"/>
                <w:sz w:val="20"/>
              </w:rPr>
            </w:pPr>
            <w:r>
              <w:rPr>
                <w:rFonts w:ascii="Arial" w:hAnsi="Arial" w:cs="Arial"/>
                <w:sz w:val="20"/>
              </w:rPr>
              <w:t xml:space="preserve">In this respect, Type 2 TA is only dependent on the gNB reporting and does not introduce any new measurement or reporting from the UE side, or any big system level impact. Therefore, the specification impact to support TA type 2 would be very limited, and it would not impact the UE. </w:t>
            </w:r>
          </w:p>
          <w:p w14:paraId="7A856CC4" w14:textId="77777777" w:rsidR="00D4281F" w:rsidRDefault="00D4281F" w:rsidP="00D4281F">
            <w:pPr>
              <w:rPr>
                <w:rFonts w:ascii="Arial" w:hAnsi="Arial" w:cs="Arial"/>
                <w:sz w:val="20"/>
              </w:rPr>
            </w:pPr>
          </w:p>
          <w:p w14:paraId="6BAAA31F" w14:textId="77777777" w:rsidR="00D4281F" w:rsidRDefault="00D4281F" w:rsidP="00D4281F">
            <w:pPr>
              <w:pStyle w:val="Observation"/>
            </w:pPr>
            <w:bookmarkStart w:id="28" w:name="_Toc71039790"/>
            <w:r>
              <w:t>TA type 2 does not impact the UE</w:t>
            </w:r>
            <w:bookmarkEnd w:id="28"/>
            <w:r>
              <w:t xml:space="preserve"> </w:t>
            </w:r>
          </w:p>
          <w:p w14:paraId="0C40C949" w14:textId="77777777" w:rsidR="00D4281F" w:rsidRDefault="00D4281F" w:rsidP="00D4281F"/>
          <w:p w14:paraId="2C76B416" w14:textId="77777777" w:rsidR="00D4281F" w:rsidRDefault="00D4281F" w:rsidP="00D4281F">
            <w:pPr>
              <w:rPr>
                <w:rFonts w:ascii="Arial" w:hAnsi="Arial" w:cs="Arial"/>
                <w:sz w:val="20"/>
              </w:rPr>
            </w:pPr>
            <w:r>
              <w:rPr>
                <w:rFonts w:ascii="Arial" w:hAnsi="Arial" w:cs="Arial"/>
                <w:sz w:val="20"/>
              </w:rPr>
              <w:t xml:space="preserve">Considering the important issues of interoperability and RAT migration, as well as the difficult contexts of 2020 and 2021 years - making positioning a crucial technology - we propose to focus this TEI on addressing the gap between LTE and NR by introducing the NR type-2 TA, similar to LTE definition. The specifications changes will be the timing advance definition in TS 38.215, and support of </w:t>
            </w:r>
            <w:proofErr w:type="spellStart"/>
            <w:r>
              <w:rPr>
                <w:rFonts w:ascii="Arial" w:hAnsi="Arial" w:cs="Arial"/>
                <w:sz w:val="20"/>
              </w:rPr>
              <w:t>NRPPa</w:t>
            </w:r>
            <w:proofErr w:type="spellEnd"/>
            <w:r>
              <w:rPr>
                <w:rFonts w:ascii="Arial" w:hAnsi="Arial" w:cs="Arial"/>
                <w:sz w:val="20"/>
              </w:rPr>
              <w:t xml:space="preserve"> reporting of NR TA as part of NR E-CID. For the </w:t>
            </w:r>
            <w:proofErr w:type="spellStart"/>
            <w:r>
              <w:rPr>
                <w:rFonts w:ascii="Arial" w:hAnsi="Arial" w:cs="Arial"/>
                <w:sz w:val="20"/>
              </w:rPr>
              <w:t>NRPPa</w:t>
            </w:r>
            <w:proofErr w:type="spellEnd"/>
            <w:r>
              <w:rPr>
                <w:rFonts w:ascii="Arial" w:hAnsi="Arial" w:cs="Arial"/>
                <w:sz w:val="20"/>
              </w:rPr>
              <w:t xml:space="preserve"> change, the reader can find an example in the Annex section of this paper. For the 38.215 changes, a draft CR can be found in [2].</w:t>
            </w:r>
          </w:p>
          <w:p w14:paraId="60E77D2B" w14:textId="77777777" w:rsidR="00D4281F" w:rsidRDefault="00D4281F" w:rsidP="00D4281F">
            <w:pPr>
              <w:pStyle w:val="Proposal"/>
              <w:numPr>
                <w:ilvl w:val="0"/>
                <w:numId w:val="0"/>
              </w:numPr>
              <w:rPr>
                <w:rFonts w:asciiTheme="minorHAnsi" w:hAnsiTheme="minorHAnsi" w:cstheme="minorBidi"/>
                <w:b w:val="0"/>
                <w:bCs w:val="0"/>
                <w:sz w:val="21"/>
                <w:lang w:eastAsia="ja-JP"/>
              </w:rPr>
            </w:pPr>
          </w:p>
          <w:p w14:paraId="2BB9B7E9" w14:textId="77777777" w:rsidR="00D4281F" w:rsidRDefault="00D4281F" w:rsidP="00B650B3">
            <w:pPr>
              <w:pStyle w:val="Proposal"/>
              <w:widowControl w:val="0"/>
              <w:numPr>
                <w:ilvl w:val="0"/>
                <w:numId w:val="28"/>
              </w:numPr>
              <w:tabs>
                <w:tab w:val="clear" w:pos="936"/>
              </w:tabs>
              <w:spacing w:line="240" w:lineRule="auto"/>
              <w:ind w:left="1701" w:hanging="1701"/>
            </w:pPr>
            <w:bookmarkStart w:id="29" w:name="_Toc71039792"/>
            <w:r>
              <w:t>Define the timing advance measurement for NR as follow:</w:t>
            </w:r>
            <w:bookmarkEnd w:id="29"/>
          </w:p>
          <w:p w14:paraId="0ED11E98" w14:textId="77777777" w:rsidR="00D4281F" w:rsidRDefault="00D4281F" w:rsidP="00D4281F">
            <w:pPr>
              <w:pStyle w:val="Proposal"/>
              <w:numPr>
                <w:ilvl w:val="0"/>
                <w:numId w:val="0"/>
              </w:numPr>
              <w:ind w:left="360"/>
            </w:pPr>
            <w:bookmarkStart w:id="30" w:name="_Toc71039793"/>
            <w:r>
              <w:t>Type2:</w:t>
            </w:r>
            <w:bookmarkEnd w:id="30"/>
          </w:p>
          <w:p w14:paraId="078F627F" w14:textId="77777777" w:rsidR="00D4281F" w:rsidRDefault="00D4281F" w:rsidP="00D4281F">
            <w:pPr>
              <w:pStyle w:val="Proposal"/>
              <w:numPr>
                <w:ilvl w:val="0"/>
                <w:numId w:val="0"/>
              </w:numPr>
              <w:ind w:left="360"/>
            </w:pPr>
            <w:bookmarkStart w:id="31" w:name="_Toc71039794"/>
            <w:r>
              <w:t>Timing advance (T</w:t>
            </w:r>
            <w:r>
              <w:rPr>
                <w:vertAlign w:val="subscript"/>
              </w:rPr>
              <w:t>ADV</w:t>
            </w:r>
            <w:r>
              <w:t>) type 2 is defined as the time difference</w:t>
            </w:r>
            <w:bookmarkEnd w:id="31"/>
            <w:r>
              <w:t xml:space="preserve"> </w:t>
            </w:r>
          </w:p>
          <w:p w14:paraId="22C25B3C" w14:textId="77777777" w:rsidR="00D4281F" w:rsidRDefault="00D4281F" w:rsidP="00D4281F">
            <w:pPr>
              <w:pStyle w:val="Proposal"/>
              <w:numPr>
                <w:ilvl w:val="0"/>
                <w:numId w:val="0"/>
              </w:numPr>
              <w:ind w:left="360"/>
            </w:pPr>
          </w:p>
          <w:p w14:paraId="1532D003" w14:textId="77777777" w:rsidR="00D4281F" w:rsidRDefault="00D4281F" w:rsidP="00D4281F">
            <w:pPr>
              <w:pStyle w:val="Proposal"/>
              <w:numPr>
                <w:ilvl w:val="0"/>
                <w:numId w:val="0"/>
              </w:numPr>
              <w:ind w:left="360"/>
            </w:pPr>
            <w:r>
              <w:tab/>
            </w:r>
            <w:bookmarkStart w:id="32" w:name="_Toc71039795"/>
            <w:r>
              <w:t>T</w:t>
            </w:r>
            <w:r>
              <w:rPr>
                <w:vertAlign w:val="subscript"/>
              </w:rPr>
              <w:t>ADV</w:t>
            </w:r>
            <w:r>
              <w:t xml:space="preserve"> = (gNB Rx – Tx time difference),</w:t>
            </w:r>
            <w:bookmarkEnd w:id="32"/>
          </w:p>
          <w:p w14:paraId="5962B3F1" w14:textId="77777777" w:rsidR="00D4281F" w:rsidRDefault="00D4281F" w:rsidP="00D4281F">
            <w:pPr>
              <w:pStyle w:val="Proposal"/>
              <w:numPr>
                <w:ilvl w:val="0"/>
                <w:numId w:val="0"/>
              </w:numPr>
              <w:ind w:left="360"/>
              <w:rPr>
                <w:lang w:eastAsia="ja-JP"/>
              </w:rPr>
            </w:pPr>
            <w:bookmarkStart w:id="33" w:name="_Toc71039796"/>
            <w:r>
              <w:t xml:space="preserve">where the gNB Rx – Tx time difference corresponds to a received uplink radio frame containing PRACH from the respective </w:t>
            </w:r>
            <w:proofErr w:type="gramStart"/>
            <w:r>
              <w:t>UE.</w:t>
            </w:r>
            <w:r>
              <w:rPr>
                <w:vertAlign w:val="subscript"/>
              </w:rPr>
              <w:t>.</w:t>
            </w:r>
            <w:bookmarkEnd w:id="33"/>
            <w:proofErr w:type="gramEnd"/>
          </w:p>
          <w:p w14:paraId="3A9E0EE0" w14:textId="77777777" w:rsidR="00D4281F" w:rsidRDefault="00D4281F" w:rsidP="00D4281F">
            <w:pPr>
              <w:pStyle w:val="Proposal"/>
              <w:numPr>
                <w:ilvl w:val="0"/>
                <w:numId w:val="0"/>
              </w:numPr>
              <w:ind w:left="1701" w:hanging="1701"/>
              <w:rPr>
                <w:rFonts w:asciiTheme="minorHAnsi" w:hAnsiTheme="minorHAnsi"/>
                <w:b w:val="0"/>
                <w:lang w:eastAsia="ja-JP"/>
              </w:rPr>
            </w:pPr>
          </w:p>
          <w:p w14:paraId="5CAD778C" w14:textId="77777777" w:rsidR="00D4281F" w:rsidRDefault="00D4281F" w:rsidP="00B650B3">
            <w:pPr>
              <w:pStyle w:val="Proposal"/>
              <w:widowControl w:val="0"/>
              <w:numPr>
                <w:ilvl w:val="0"/>
                <w:numId w:val="28"/>
              </w:numPr>
              <w:tabs>
                <w:tab w:val="clear" w:pos="936"/>
              </w:tabs>
              <w:spacing w:line="240" w:lineRule="auto"/>
              <w:ind w:left="1701" w:hanging="1701"/>
            </w:pPr>
            <w:bookmarkStart w:id="34" w:name="_Toc71039797"/>
            <w:r>
              <w:t xml:space="preserve">Extend the </w:t>
            </w:r>
            <w:proofErr w:type="spellStart"/>
            <w:r>
              <w:t>gnodeB</w:t>
            </w:r>
            <w:proofErr w:type="spellEnd"/>
            <w:r>
              <w:t xml:space="preserve"> Rx-Tx definition to include the PRACH based measurement:</w:t>
            </w:r>
            <w:bookmarkEnd w:id="34"/>
          </w:p>
          <w:p w14:paraId="05D01D57" w14:textId="77777777" w:rsidR="00D4281F" w:rsidRDefault="00D4281F" w:rsidP="00B650B3">
            <w:pPr>
              <w:pStyle w:val="Proposal"/>
              <w:widowControl w:val="0"/>
              <w:numPr>
                <w:ilvl w:val="0"/>
                <w:numId w:val="29"/>
              </w:numPr>
              <w:tabs>
                <w:tab w:val="clear" w:pos="936"/>
              </w:tabs>
              <w:spacing w:line="240" w:lineRule="auto"/>
            </w:pPr>
            <w:bookmarkStart w:id="35" w:name="_Toc71039798"/>
            <w:proofErr w:type="spellStart"/>
            <w:r>
              <w:t>T</w:t>
            </w:r>
            <w:r>
              <w:rPr>
                <w:vertAlign w:val="subscript"/>
              </w:rPr>
              <w:t>gNB</w:t>
            </w:r>
            <w:proofErr w:type="spellEnd"/>
            <w:r>
              <w:rPr>
                <w:vertAlign w:val="subscript"/>
              </w:rPr>
              <w:t>-RX</w:t>
            </w:r>
            <w:r>
              <w:t xml:space="preserve"> is the Transmission and Reception Point (TRP) [18</w:t>
            </w:r>
            <w:proofErr w:type="gramStart"/>
            <w:r>
              <w:t>]  received</w:t>
            </w:r>
            <w:proofErr w:type="gramEnd"/>
            <w:r>
              <w:t xml:space="preserve"> timing of uplink subframe #</w:t>
            </w:r>
            <w:r>
              <w:rPr>
                <w:i/>
              </w:rPr>
              <w:t>i</w:t>
            </w:r>
            <w:r>
              <w:t xml:space="preserve"> containing SRS </w:t>
            </w:r>
            <w:r>
              <w:rPr>
                <w:color w:val="FF0000"/>
              </w:rPr>
              <w:t>or PRACH</w:t>
            </w:r>
            <w:r>
              <w:t xml:space="preserve"> associated with UE, defined by the first detected path in time.</w:t>
            </w:r>
            <w:bookmarkEnd w:id="35"/>
          </w:p>
          <w:p w14:paraId="1C02402A" w14:textId="77777777" w:rsidR="00D4281F" w:rsidRDefault="00D4281F" w:rsidP="00B650B3">
            <w:pPr>
              <w:pStyle w:val="Proposal"/>
              <w:widowControl w:val="0"/>
              <w:numPr>
                <w:ilvl w:val="0"/>
                <w:numId w:val="29"/>
              </w:numPr>
              <w:tabs>
                <w:tab w:val="clear" w:pos="936"/>
              </w:tabs>
              <w:spacing w:line="240" w:lineRule="auto"/>
            </w:pPr>
            <w:bookmarkStart w:id="36" w:name="_Toc71039799"/>
            <w:proofErr w:type="spellStart"/>
            <w:r>
              <w:t>T</w:t>
            </w:r>
            <w:r>
              <w:rPr>
                <w:vertAlign w:val="subscript"/>
              </w:rPr>
              <w:t>gNB</w:t>
            </w:r>
            <w:proofErr w:type="spellEnd"/>
            <w:r>
              <w:rPr>
                <w:vertAlign w:val="subscript"/>
              </w:rPr>
              <w:t>-TX</w:t>
            </w:r>
            <w:r>
              <w:t xml:space="preserve"> is the TRP transmit timing of downlink subframe #</w:t>
            </w:r>
            <w:r>
              <w:rPr>
                <w:i/>
              </w:rPr>
              <w:t>j</w:t>
            </w:r>
            <w:r>
              <w:t xml:space="preserve"> that is closest in time to the subframe #</w:t>
            </w:r>
            <w:r>
              <w:rPr>
                <w:i/>
              </w:rPr>
              <w:t>i</w:t>
            </w:r>
            <w:r>
              <w:t xml:space="preserve"> received from the UE.</w:t>
            </w:r>
            <w:bookmarkEnd w:id="36"/>
          </w:p>
          <w:p w14:paraId="1D644F85" w14:textId="77777777" w:rsidR="00D4281F" w:rsidRDefault="00D4281F" w:rsidP="00D4281F">
            <w:pPr>
              <w:pStyle w:val="Proposal"/>
              <w:numPr>
                <w:ilvl w:val="0"/>
                <w:numId w:val="0"/>
              </w:numPr>
              <w:ind w:left="426"/>
            </w:pPr>
          </w:p>
          <w:p w14:paraId="2C4B6700" w14:textId="77777777" w:rsidR="00D4281F" w:rsidRDefault="00D4281F" w:rsidP="00B650B3">
            <w:pPr>
              <w:pStyle w:val="Proposal"/>
              <w:widowControl w:val="0"/>
              <w:numPr>
                <w:ilvl w:val="0"/>
                <w:numId w:val="29"/>
              </w:numPr>
              <w:tabs>
                <w:tab w:val="clear" w:pos="936"/>
              </w:tabs>
              <w:spacing w:line="240" w:lineRule="auto"/>
            </w:pPr>
            <w:bookmarkStart w:id="37" w:name="_Toc71039800"/>
            <w:r>
              <w:t>Multiple SRS resources for positioning can be used to determine the start of one subframe containing SRS.</w:t>
            </w:r>
            <w:bookmarkEnd w:id="37"/>
          </w:p>
          <w:p w14:paraId="63BB41FD" w14:textId="77777777" w:rsidR="00D4281F" w:rsidRDefault="00D4281F" w:rsidP="00B650B3">
            <w:pPr>
              <w:pStyle w:val="Proposal"/>
              <w:widowControl w:val="0"/>
              <w:numPr>
                <w:ilvl w:val="0"/>
                <w:numId w:val="29"/>
              </w:numPr>
              <w:tabs>
                <w:tab w:val="clear" w:pos="936"/>
              </w:tabs>
              <w:spacing w:line="240" w:lineRule="auto"/>
              <w:rPr>
                <w:color w:val="FF0000"/>
              </w:rPr>
            </w:pPr>
            <w:bookmarkStart w:id="38" w:name="_Toc71039801"/>
            <w:r>
              <w:rPr>
                <w:color w:val="FF0000"/>
              </w:rPr>
              <w:t>PRACH is used to determine the start of one subframe containing PRACH.</w:t>
            </w:r>
            <w:bookmarkEnd w:id="38"/>
            <w:r>
              <w:rPr>
                <w:color w:val="FF0000"/>
              </w:rPr>
              <w:t xml:space="preserve"> </w:t>
            </w:r>
          </w:p>
          <w:p w14:paraId="21DF82B2" w14:textId="77777777" w:rsidR="00D4281F" w:rsidRDefault="00D4281F" w:rsidP="00D4281F">
            <w:pPr>
              <w:pStyle w:val="Proposal"/>
              <w:numPr>
                <w:ilvl w:val="0"/>
                <w:numId w:val="0"/>
              </w:numPr>
              <w:rPr>
                <w:rFonts w:asciiTheme="minorHAnsi" w:hAnsiTheme="minorHAnsi"/>
                <w:b w:val="0"/>
                <w:bCs w:val="0"/>
                <w:lang w:eastAsia="ja-JP"/>
              </w:rPr>
            </w:pPr>
          </w:p>
          <w:p w14:paraId="6107BEE0" w14:textId="1B4E51F4" w:rsidR="008223DB" w:rsidRPr="008223DB" w:rsidRDefault="00D4281F" w:rsidP="00B650B3">
            <w:pPr>
              <w:pStyle w:val="Proposal"/>
              <w:widowControl w:val="0"/>
              <w:numPr>
                <w:ilvl w:val="0"/>
                <w:numId w:val="28"/>
              </w:numPr>
              <w:tabs>
                <w:tab w:val="clear" w:pos="936"/>
              </w:tabs>
              <w:spacing w:line="240" w:lineRule="auto"/>
              <w:ind w:left="1701" w:hanging="1701"/>
              <w:rPr>
                <w:lang w:eastAsia="ja-JP"/>
              </w:rPr>
            </w:pPr>
            <w:bookmarkStart w:id="39" w:name="_Toc71039802"/>
            <w:r>
              <w:rPr>
                <w:lang w:eastAsia="ja-JP"/>
              </w:rPr>
              <w:t>Send an LS to RAN2 and RAN3 with the agreement to add Type 2 TA reporting for NR so that their corresponding specification changes can be updated.</w:t>
            </w:r>
            <w:bookmarkEnd w:id="39"/>
          </w:p>
        </w:tc>
      </w:tr>
    </w:tbl>
    <w:p w14:paraId="08FFDEB5" w14:textId="77777777" w:rsidR="00DA3A05" w:rsidRDefault="00DA3A05" w:rsidP="00DA3A05">
      <w:pPr>
        <w:rPr>
          <w:b/>
        </w:rPr>
      </w:pPr>
    </w:p>
    <w:p w14:paraId="5B0F86A4" w14:textId="2A65A0F9"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D4281F">
        <w:rPr>
          <w:rFonts w:eastAsia="MS Mincho" w:cs="Batang"/>
          <w:sz w:val="22"/>
          <w:szCs w:val="22"/>
        </w:rPr>
        <w:t>5</w:t>
      </w:r>
      <w:r>
        <w:rPr>
          <w:rFonts w:eastAsia="MS Mincho" w:cs="Batang"/>
          <w:sz w:val="22"/>
          <w:szCs w:val="22"/>
        </w:rPr>
        <w:t>-e meeting.</w:t>
      </w:r>
    </w:p>
    <w:p w14:paraId="7DAD3274" w14:textId="77777777" w:rsidR="00DA3A05" w:rsidRDefault="00DA3A05" w:rsidP="00DA3A05">
      <w:pPr>
        <w:rPr>
          <w:rFonts w:ascii="Arial" w:eastAsia="MS Mincho" w:hAnsi="Arial"/>
          <w:sz w:val="32"/>
          <w:szCs w:val="32"/>
        </w:rPr>
      </w:pPr>
    </w:p>
    <w:p w14:paraId="787591CF" w14:textId="1D4AB2C1"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5</w:t>
      </w:r>
    </w:p>
    <w:p w14:paraId="5167B433" w14:textId="1E93FFB0" w:rsidR="00DA3A05" w:rsidRPr="00E209FD" w:rsidRDefault="002A60E6" w:rsidP="00DA3A05">
      <w:pPr>
        <w:pStyle w:val="ListParagraph"/>
        <w:numPr>
          <w:ilvl w:val="0"/>
          <w:numId w:val="13"/>
        </w:numPr>
        <w:ind w:leftChars="0"/>
        <w:rPr>
          <w:rFonts w:eastAsia="MS Mincho" w:cs="Batang"/>
          <w:sz w:val="22"/>
          <w:szCs w:val="22"/>
        </w:rPr>
      </w:pPr>
      <w:r w:rsidRPr="002A60E6">
        <w:rPr>
          <w:rFonts w:eastAsia="MS Mincho" w:cs="Batang"/>
          <w:b/>
          <w:bCs/>
          <w:sz w:val="22"/>
          <w:szCs w:val="22"/>
        </w:rPr>
        <w:t>Define the timing advance measurement for NR</w:t>
      </w:r>
      <w:r>
        <w:rPr>
          <w:rFonts w:eastAsia="MS Mincho" w:cs="Batang" w:hint="eastAsia"/>
          <w:b/>
          <w:bCs/>
          <w:sz w:val="22"/>
          <w:szCs w:val="22"/>
        </w:rPr>
        <w:t xml:space="preserve"> </w:t>
      </w:r>
      <w:r>
        <w:rPr>
          <w:rFonts w:eastAsia="MS Mincho" w:cs="Batang"/>
          <w:b/>
          <w:bCs/>
          <w:sz w:val="22"/>
          <w:szCs w:val="22"/>
        </w:rPr>
        <w:t>as below</w:t>
      </w:r>
    </w:p>
    <w:p w14:paraId="1984E6D9" w14:textId="049470E1" w:rsidR="00DA3A05" w:rsidRPr="002A60E6" w:rsidRDefault="002A60E6" w:rsidP="002A60E6">
      <w:pPr>
        <w:pStyle w:val="ListParagraph"/>
        <w:numPr>
          <w:ilvl w:val="1"/>
          <w:numId w:val="13"/>
        </w:numPr>
        <w:ind w:leftChars="0"/>
        <w:rPr>
          <w:b/>
        </w:rPr>
      </w:pPr>
      <w:r w:rsidRPr="002A60E6">
        <w:rPr>
          <w:rFonts w:eastAsia="MS Mincho" w:cs="Batang"/>
          <w:b/>
          <w:bCs/>
          <w:sz w:val="22"/>
          <w:szCs w:val="22"/>
        </w:rPr>
        <w:t>Timing advance (TADV) type 2 is defined as the time difference T</w:t>
      </w:r>
      <w:r w:rsidRPr="002A60E6">
        <w:rPr>
          <w:rFonts w:eastAsia="MS Mincho" w:cs="Batang"/>
          <w:b/>
          <w:bCs/>
          <w:sz w:val="22"/>
          <w:szCs w:val="22"/>
          <w:vertAlign w:val="subscript"/>
        </w:rPr>
        <w:t>ADV</w:t>
      </w:r>
      <w:r w:rsidRPr="002A60E6">
        <w:rPr>
          <w:rFonts w:eastAsia="MS Mincho" w:cs="Batang"/>
          <w:b/>
          <w:bCs/>
          <w:sz w:val="22"/>
          <w:szCs w:val="22"/>
        </w:rPr>
        <w:t xml:space="preserve"> = (gNB Rx – Tx time difference), where the gNB Rx – Tx time difference corresponds to a received uplink radio frame containing PRACH from the respective UE</w:t>
      </w:r>
    </w:p>
    <w:p w14:paraId="4DBB22EE" w14:textId="574A0C1E" w:rsidR="002A60E6" w:rsidRDefault="002A60E6" w:rsidP="002A60E6">
      <w:pPr>
        <w:pStyle w:val="ListParagraph"/>
        <w:numPr>
          <w:ilvl w:val="0"/>
          <w:numId w:val="13"/>
        </w:numPr>
        <w:ind w:leftChars="0"/>
        <w:rPr>
          <w:b/>
        </w:rPr>
      </w:pPr>
      <w:r>
        <w:rPr>
          <w:b/>
        </w:rPr>
        <w:t>E</w:t>
      </w:r>
      <w:r w:rsidRPr="002A60E6">
        <w:rPr>
          <w:b/>
        </w:rPr>
        <w:t xml:space="preserve">xtend the </w:t>
      </w:r>
      <w:proofErr w:type="spellStart"/>
      <w:r w:rsidRPr="002A60E6">
        <w:rPr>
          <w:b/>
        </w:rPr>
        <w:t>gnodeB</w:t>
      </w:r>
      <w:proofErr w:type="spellEnd"/>
      <w:r w:rsidRPr="002A60E6">
        <w:rPr>
          <w:b/>
        </w:rPr>
        <w:t xml:space="preserve"> Rx-Tx definition to include the PRACH based measurement</w:t>
      </w:r>
    </w:p>
    <w:p w14:paraId="4EBFBABB" w14:textId="3160B61E" w:rsidR="002A60E6" w:rsidRDefault="002A60E6" w:rsidP="002A60E6">
      <w:pPr>
        <w:pStyle w:val="ListParagraph"/>
        <w:numPr>
          <w:ilvl w:val="0"/>
          <w:numId w:val="13"/>
        </w:numPr>
        <w:ind w:leftChars="0"/>
        <w:rPr>
          <w:b/>
        </w:rPr>
      </w:pPr>
      <w:r>
        <w:rPr>
          <w:b/>
        </w:rPr>
        <w:t>D</w:t>
      </w:r>
      <w:r w:rsidRPr="002A60E6">
        <w:rPr>
          <w:b/>
        </w:rPr>
        <w:t xml:space="preserve">iscuss whether to include type 1 TA measurement and reporting as well, or </w:t>
      </w:r>
      <w:proofErr w:type="gramStart"/>
      <w:r w:rsidRPr="002A60E6">
        <w:rPr>
          <w:b/>
        </w:rPr>
        <w:t>leaving  it</w:t>
      </w:r>
      <w:proofErr w:type="gramEnd"/>
      <w:r w:rsidRPr="002A60E6">
        <w:rPr>
          <w:b/>
        </w:rPr>
        <w:t xml:space="preserve"> for further study for RAN1 during rel17 positioning enhancements</w:t>
      </w:r>
    </w:p>
    <w:p w14:paraId="66376E6B" w14:textId="30BFF227" w:rsidR="002A60E6" w:rsidRDefault="002A60E6" w:rsidP="002A60E6">
      <w:pPr>
        <w:pStyle w:val="ListParagraph"/>
        <w:numPr>
          <w:ilvl w:val="0"/>
          <w:numId w:val="13"/>
        </w:numPr>
        <w:ind w:leftChars="0"/>
        <w:rPr>
          <w:b/>
        </w:rPr>
      </w:pPr>
      <w:r w:rsidRPr="002A60E6">
        <w:rPr>
          <w:b/>
        </w:rPr>
        <w:t>Send an LS to RAN2 and RAN3 with the agreement to add Type 2 TA reporting for NR so that their corresponding specification changes can be updated</w:t>
      </w:r>
    </w:p>
    <w:p w14:paraId="4EB97D70" w14:textId="77777777" w:rsidR="002A60E6" w:rsidRPr="002A60E6" w:rsidRDefault="002A60E6" w:rsidP="002A60E6">
      <w:pPr>
        <w:rPr>
          <w:b/>
        </w:rPr>
      </w:pPr>
    </w:p>
    <w:p w14:paraId="60484BE6" w14:textId="474BE61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4281F" w:rsidRPr="006D27B7">
        <w:rPr>
          <w:bCs/>
          <w:sz w:val="22"/>
          <w:szCs w:val="18"/>
        </w:rPr>
        <w:t>NTT DOCOMO INC., Ericsson, Polaris Wireless, Verizon, China Telecom, FirstNet, Deutsche Telekom, Intel Corporation</w:t>
      </w:r>
      <w:r w:rsidR="00D4281F">
        <w:rPr>
          <w:bCs/>
          <w:sz w:val="22"/>
          <w:szCs w:val="18"/>
        </w:rPr>
        <w:t xml:space="preserve"> and</w:t>
      </w:r>
      <w:r w:rsidR="00D4281F" w:rsidRPr="006D27B7">
        <w:rPr>
          <w:bCs/>
          <w:sz w:val="22"/>
          <w:szCs w:val="18"/>
        </w:rPr>
        <w:t xml:space="preserve"> CATT</w:t>
      </w:r>
      <w:r>
        <w:rPr>
          <w:sz w:val="22"/>
          <w:lang w:val="en-US"/>
        </w:rPr>
        <w:t>.</w:t>
      </w:r>
    </w:p>
    <w:p w14:paraId="1A98DF7C"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315D1759" w14:textId="77777777" w:rsidTr="002A60E6">
        <w:tc>
          <w:tcPr>
            <w:tcW w:w="1945" w:type="dxa"/>
            <w:shd w:val="clear" w:color="auto" w:fill="F2F2F2" w:themeFill="background1" w:themeFillShade="F2"/>
          </w:tcPr>
          <w:p w14:paraId="75C26AEA"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E8C8F2A"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6F721A0F" w14:textId="77777777" w:rsidTr="002A60E6">
        <w:tc>
          <w:tcPr>
            <w:tcW w:w="1945" w:type="dxa"/>
          </w:tcPr>
          <w:p w14:paraId="5B558A0C" w14:textId="77777777" w:rsidR="00DA3A05" w:rsidRDefault="00DA3A05" w:rsidP="002A60E6">
            <w:pPr>
              <w:spacing w:afterLines="50" w:after="120"/>
              <w:jc w:val="both"/>
              <w:rPr>
                <w:sz w:val="22"/>
                <w:lang w:val="en-US"/>
              </w:rPr>
            </w:pPr>
          </w:p>
        </w:tc>
        <w:tc>
          <w:tcPr>
            <w:tcW w:w="7683" w:type="dxa"/>
          </w:tcPr>
          <w:p w14:paraId="7B9DCA98" w14:textId="05634320" w:rsidR="00DA3A05" w:rsidRDefault="00C64F5D" w:rsidP="002A60E6">
            <w:pPr>
              <w:spacing w:afterLines="50" w:after="120"/>
              <w:jc w:val="both"/>
              <w:rPr>
                <w:sz w:val="22"/>
                <w:lang w:val="en-US"/>
              </w:rPr>
            </w:pPr>
            <w:r w:rsidRPr="00695A0A">
              <w:rPr>
                <w:rFonts w:eastAsiaTheme="minorEastAsia"/>
                <w:sz w:val="22"/>
                <w:lang w:val="en-US" w:eastAsia="zh-CN"/>
              </w:rPr>
              <w:t xml:space="preserve">We are </w:t>
            </w:r>
            <w:r>
              <w:rPr>
                <w:rFonts w:eastAsiaTheme="minorEastAsia"/>
                <w:sz w:val="22"/>
                <w:lang w:val="en-US" w:eastAsia="zh-CN"/>
              </w:rPr>
              <w:t>fine with the proposal</w:t>
            </w:r>
            <w:r w:rsidRPr="00695A0A">
              <w:t xml:space="preserve"> assuming it has no impact to UE.</w:t>
            </w:r>
          </w:p>
        </w:tc>
      </w:tr>
      <w:tr w:rsidR="00DA3A05" w14:paraId="203BE4CC" w14:textId="77777777" w:rsidTr="002A60E6">
        <w:tc>
          <w:tcPr>
            <w:tcW w:w="1945" w:type="dxa"/>
          </w:tcPr>
          <w:p w14:paraId="075EA092" w14:textId="77777777" w:rsidR="00DA3A05" w:rsidRDefault="00DA3A05" w:rsidP="002A60E6">
            <w:pPr>
              <w:spacing w:afterLines="50" w:after="120"/>
              <w:jc w:val="both"/>
              <w:rPr>
                <w:sz w:val="22"/>
                <w:lang w:val="en-US"/>
              </w:rPr>
            </w:pPr>
          </w:p>
        </w:tc>
        <w:tc>
          <w:tcPr>
            <w:tcW w:w="7683" w:type="dxa"/>
          </w:tcPr>
          <w:p w14:paraId="5442C2E6" w14:textId="77777777" w:rsidR="00DA3A05" w:rsidRPr="00F740AD" w:rsidRDefault="00DA3A05" w:rsidP="002A60E6">
            <w:pPr>
              <w:spacing w:afterLines="50" w:after="120"/>
              <w:jc w:val="both"/>
              <w:rPr>
                <w:sz w:val="22"/>
                <w:lang w:val="en-US"/>
              </w:rPr>
            </w:pPr>
          </w:p>
        </w:tc>
      </w:tr>
      <w:tr w:rsidR="00DA3A05" w14:paraId="6C8C514F" w14:textId="77777777" w:rsidTr="002A60E6">
        <w:tc>
          <w:tcPr>
            <w:tcW w:w="1945" w:type="dxa"/>
          </w:tcPr>
          <w:p w14:paraId="34C52786" w14:textId="77777777" w:rsidR="00DA3A05" w:rsidRDefault="00DA3A05" w:rsidP="002A60E6">
            <w:pPr>
              <w:spacing w:afterLines="50" w:after="120"/>
              <w:jc w:val="both"/>
              <w:rPr>
                <w:sz w:val="22"/>
                <w:lang w:val="en-US"/>
              </w:rPr>
            </w:pPr>
          </w:p>
        </w:tc>
        <w:tc>
          <w:tcPr>
            <w:tcW w:w="7683" w:type="dxa"/>
          </w:tcPr>
          <w:p w14:paraId="0A8A091D" w14:textId="77777777" w:rsidR="00DA3A05" w:rsidRPr="00F740AD" w:rsidRDefault="00DA3A05" w:rsidP="002A60E6">
            <w:pPr>
              <w:spacing w:afterLines="50" w:after="120"/>
              <w:jc w:val="both"/>
              <w:rPr>
                <w:sz w:val="22"/>
                <w:lang w:val="en-US"/>
              </w:rPr>
            </w:pPr>
          </w:p>
        </w:tc>
      </w:tr>
    </w:tbl>
    <w:p w14:paraId="388D7524" w14:textId="77777777" w:rsidR="00DA3A05" w:rsidRDefault="00DA3A05" w:rsidP="002753B9">
      <w:pPr>
        <w:rPr>
          <w:b/>
        </w:rPr>
      </w:pPr>
    </w:p>
    <w:p w14:paraId="0948C842" w14:textId="6C2F1A92" w:rsidR="00DA3A05" w:rsidRDefault="00DA3A05" w:rsidP="002753B9">
      <w:pPr>
        <w:rPr>
          <w:b/>
        </w:rPr>
      </w:pPr>
    </w:p>
    <w:p w14:paraId="661B51AA" w14:textId="4118E610" w:rsidR="00DA3A05" w:rsidRDefault="00DA3A05" w:rsidP="002753B9">
      <w:pPr>
        <w:rPr>
          <w:b/>
        </w:rPr>
      </w:pPr>
    </w:p>
    <w:p w14:paraId="64CE9EF9" w14:textId="4B776485" w:rsidR="00DA3A05" w:rsidRPr="005953A0" w:rsidRDefault="002A60E6"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2A60E6">
        <w:rPr>
          <w:rFonts w:ascii="Arial" w:eastAsia="Batang" w:hAnsi="Arial"/>
          <w:sz w:val="28"/>
          <w:szCs w:val="32"/>
          <w:lang w:val="en-US" w:eastAsia="ko-KR"/>
        </w:rPr>
        <w:t>Enhancements on the scheduling of PUSCH over multiple slots</w:t>
      </w:r>
    </w:p>
    <w:p w14:paraId="65B5B5C2"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TableGrid"/>
        <w:tblW w:w="5000" w:type="pct"/>
        <w:tblLook w:val="04A0" w:firstRow="1" w:lastRow="0" w:firstColumn="1" w:lastColumn="0" w:noHBand="0" w:noVBand="1"/>
      </w:tblPr>
      <w:tblGrid>
        <w:gridCol w:w="451"/>
        <w:gridCol w:w="9177"/>
      </w:tblGrid>
      <w:tr w:rsidR="00DA3A05" w14:paraId="1B251278" w14:textId="77777777" w:rsidTr="000D6221">
        <w:tc>
          <w:tcPr>
            <w:tcW w:w="234" w:type="pct"/>
          </w:tcPr>
          <w:p w14:paraId="070AC49F" w14:textId="65F9B10F"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0D6221">
              <w:rPr>
                <w:rFonts w:ascii="Arial" w:eastAsia="MS Mincho" w:hAnsi="Arial"/>
                <w:sz w:val="22"/>
                <w:szCs w:val="22"/>
                <w:lang w:val="en-US"/>
              </w:rPr>
              <w:t>5</w:t>
            </w:r>
            <w:r>
              <w:rPr>
                <w:rFonts w:ascii="Arial" w:eastAsia="MS Mincho" w:hAnsi="Arial"/>
                <w:sz w:val="22"/>
                <w:szCs w:val="22"/>
                <w:lang w:val="en-US"/>
              </w:rPr>
              <w:t>]</w:t>
            </w:r>
          </w:p>
        </w:tc>
        <w:tc>
          <w:tcPr>
            <w:tcW w:w="4766" w:type="pct"/>
          </w:tcPr>
          <w:p w14:paraId="10ECFE66" w14:textId="77777777" w:rsidR="000D6221" w:rsidRDefault="000D6221" w:rsidP="000D6221">
            <w:pPr>
              <w:rPr>
                <w:rFonts w:eastAsia="宋体"/>
                <w:sz w:val="22"/>
                <w:lang w:val="en-US"/>
              </w:rPr>
            </w:pPr>
            <w:r>
              <w:t xml:space="preserve">Following the timing order of DL/UL DCI formats, as shown in </w:t>
            </w:r>
            <w:r>
              <w:fldChar w:fldCharType="begin"/>
            </w:r>
            <w:r>
              <w:instrText xml:space="preserve"> REF _Ref67305234 \h </w:instrText>
            </w:r>
            <w:r>
              <w:fldChar w:fldCharType="separate"/>
            </w:r>
            <w:r>
              <w:t xml:space="preserve">Figure </w:t>
            </w:r>
            <w:r>
              <w:rPr>
                <w:noProof/>
              </w:rPr>
              <w:t>1</w:t>
            </w:r>
            <w:r>
              <w:fldChar w:fldCharType="end"/>
            </w:r>
            <w:r>
              <w:t xml:space="preserve">, UL DCI format transmitted in slot n+1 schedules a PUSCH transmission in slot </w:t>
            </w:r>
            <w:proofErr w:type="spellStart"/>
            <w:r>
              <w:t>n+k</w:t>
            </w:r>
            <w:proofErr w:type="spellEnd"/>
            <w:r>
              <w:t xml:space="preserve">, so the second DCI format in slot n+2 is not allowed to indicate a PUCCH carrying the HARQ feedback corresponding to the PDSCH and the PUCCH is overlap with the PUSCH in slot </w:t>
            </w:r>
            <w:proofErr w:type="spellStart"/>
            <w:r>
              <w:t>n+k</w:t>
            </w:r>
            <w:proofErr w:type="spellEnd"/>
            <w:r>
              <w:t xml:space="preserve">. </w:t>
            </w:r>
          </w:p>
          <w:p w14:paraId="6EE85A21" w14:textId="5AF13EFB" w:rsidR="000D6221" w:rsidRDefault="000D6221" w:rsidP="000D6221">
            <w:pPr>
              <w:keepNext/>
              <w:jc w:val="center"/>
            </w:pPr>
            <w:r>
              <w:rPr>
                <w:noProof/>
                <w:lang w:eastAsia="zh-CN"/>
              </w:rPr>
              <w:drawing>
                <wp:inline distT="0" distB="0" distL="0" distR="0" wp14:anchorId="35200566" wp14:editId="2EA3BF5E">
                  <wp:extent cx="4229100" cy="1971675"/>
                  <wp:effectExtent l="0" t="0" r="0" b="952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29100" cy="1971675"/>
                          </a:xfrm>
                          <a:prstGeom prst="rect">
                            <a:avLst/>
                          </a:prstGeom>
                          <a:noFill/>
                          <a:ln>
                            <a:noFill/>
                          </a:ln>
                        </pic:spPr>
                      </pic:pic>
                    </a:graphicData>
                  </a:graphic>
                </wp:inline>
              </w:drawing>
            </w:r>
          </w:p>
          <w:p w14:paraId="62D6A457" w14:textId="77777777" w:rsidR="000D6221" w:rsidRDefault="000D6221" w:rsidP="000D6221">
            <w:pPr>
              <w:pStyle w:val="Caption"/>
            </w:pPr>
            <w:bookmarkStart w:id="40" w:name="_Ref67305234"/>
            <w:r>
              <w:t xml:space="preserve">Figure </w:t>
            </w:r>
            <w:r>
              <w:fldChar w:fldCharType="begin"/>
            </w:r>
            <w:r>
              <w:rPr>
                <w:noProof/>
              </w:rPr>
              <w:instrText xml:space="preserve"> SEQ Figure \* ARABIC </w:instrText>
            </w:r>
            <w:r>
              <w:fldChar w:fldCharType="separate"/>
            </w:r>
            <w:r>
              <w:rPr>
                <w:noProof/>
              </w:rPr>
              <w:t>1</w:t>
            </w:r>
            <w:r>
              <w:fldChar w:fldCharType="end"/>
            </w:r>
            <w:bookmarkEnd w:id="40"/>
            <w:r>
              <w:t>. Timing restriction on UL/DL scheduling for HARQ information multiplexed on PUSCH</w:t>
            </w:r>
          </w:p>
          <w:p w14:paraId="5F6B7D4A" w14:textId="77777777" w:rsidR="000D6221" w:rsidRDefault="000D6221" w:rsidP="000D6221">
            <w:r>
              <w:t xml:space="preserve">The same scheduling restriction, although not described explicitly in the spec, is also applied to the PUSCH with repetitions. However, due to the length of PUSCH transmissions in time, the restriction introduces </w:t>
            </w:r>
            <w:proofErr w:type="gramStart"/>
            <w:r>
              <w:t>more strict</w:t>
            </w:r>
            <w:proofErr w:type="gramEnd"/>
            <w:r>
              <w:t xml:space="preserve"> constrains on gNB scheduling for the case of PUSCH repetition.</w:t>
            </w:r>
          </w:p>
          <w:p w14:paraId="39B25800" w14:textId="77777777" w:rsidR="000D6221" w:rsidRDefault="000D6221" w:rsidP="000D6221">
            <w:r>
              <w:t xml:space="preserve">To achieve higher throughput and/or achieve better coverage, gNB has to allocate more symbols for UL transmission, e.g. 14 symbols in each slot are assigned for PUSCH transmission, and therefore, it is difficult to avoid overlapping of PUCCH and PUSCH in the slots of PUSCH repetitions. For the case aiming to have less latency, PUSCH repetition type B is configured with less than 14 symbols, however, type-B PUSCH repetition will span contiguous UL symbols which leaves no spare time resources for PUCCH between repetitions and it is also difficult to avoid overlapping between PUSCH and PUCCH. Hence, it seems hard to always allocate PUSCH and PUCCH </w:t>
            </w:r>
            <w:proofErr w:type="spellStart"/>
            <w:r>
              <w:t>TDMed</w:t>
            </w:r>
            <w:proofErr w:type="spellEnd"/>
            <w:r>
              <w:t xml:space="preserve"> in each PUSCH repetition slots and to comply with the scheduling restriction, gNB might have to indicate the HARQ feedback after all PUSCH repetitions. </w:t>
            </w:r>
          </w:p>
          <w:p w14:paraId="09E6C2DB" w14:textId="77777777" w:rsidR="000D6221" w:rsidRDefault="000D6221" w:rsidP="000D6221">
            <w:r>
              <w:t xml:space="preserve">Take an example for FDD system as shown in </w:t>
            </w:r>
            <w:r>
              <w:fldChar w:fldCharType="begin"/>
            </w:r>
            <w:r>
              <w:instrText xml:space="preserve"> REF _Ref67337676 \h </w:instrText>
            </w:r>
            <w:r>
              <w:fldChar w:fldCharType="separate"/>
            </w:r>
            <w:r>
              <w:t xml:space="preserve">Figure </w:t>
            </w:r>
            <w:r>
              <w:rPr>
                <w:noProof/>
              </w:rPr>
              <w:t>2</w:t>
            </w:r>
            <w:r>
              <w:fldChar w:fldCharType="end"/>
            </w:r>
            <w:r>
              <w:t xml:space="preserve">, UL DCI in slot n schedules a PUSCH transmission over slots from n+2 to n+5 and the number of symbols for each PUSCH repetition is 14. PUCCH conveying the HARQ feedback corresponding to PDSCH in slot n+1 is not allowed to transmit in the slots of PUSCH repetition, i.e. slot n+2 ~ n+5. </w:t>
            </w:r>
            <w:proofErr w:type="gramStart"/>
            <w:r>
              <w:t>So</w:t>
            </w:r>
            <w:proofErr w:type="gramEnd"/>
            <w:r>
              <w:t xml:space="preserve"> the earliest opportunity for HARQ reporting is in slot n+6, which results in a large k1 value and delay for HARQ feedback. The delay would become larger if more repetition times are assigned for PUSCH, and the k1 value could be as high as (K2 + number of PUSCH repetition) slots.</w:t>
            </w:r>
          </w:p>
          <w:p w14:paraId="74CE10A4" w14:textId="1BB223BB" w:rsidR="000D6221" w:rsidRDefault="000D6221" w:rsidP="000D6221">
            <w:pPr>
              <w:keepNext/>
              <w:jc w:val="center"/>
            </w:pPr>
            <w:r>
              <w:rPr>
                <w:noProof/>
                <w:lang w:eastAsia="zh-CN"/>
              </w:rPr>
              <w:drawing>
                <wp:inline distT="0" distB="0" distL="0" distR="0" wp14:anchorId="287BFAF0" wp14:editId="0F431610">
                  <wp:extent cx="5019675" cy="1476375"/>
                  <wp:effectExtent l="0" t="0" r="9525" b="952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19675" cy="1476375"/>
                          </a:xfrm>
                          <a:prstGeom prst="rect">
                            <a:avLst/>
                          </a:prstGeom>
                          <a:noFill/>
                          <a:ln>
                            <a:noFill/>
                          </a:ln>
                        </pic:spPr>
                      </pic:pic>
                    </a:graphicData>
                  </a:graphic>
                </wp:inline>
              </w:drawing>
            </w:r>
          </w:p>
          <w:p w14:paraId="20614F8D" w14:textId="77777777" w:rsidR="000D6221" w:rsidRDefault="000D6221" w:rsidP="000D6221">
            <w:pPr>
              <w:pStyle w:val="Caption"/>
            </w:pPr>
            <w:bookmarkStart w:id="41" w:name="_Ref67337676"/>
            <w:r>
              <w:t xml:space="preserve">Figure </w:t>
            </w:r>
            <w:r>
              <w:fldChar w:fldCharType="begin"/>
            </w:r>
            <w:r>
              <w:rPr>
                <w:noProof/>
              </w:rPr>
              <w:instrText xml:space="preserve"> SEQ Figure \* ARABIC </w:instrText>
            </w:r>
            <w:r>
              <w:fldChar w:fldCharType="separate"/>
            </w:r>
            <w:r>
              <w:rPr>
                <w:noProof/>
              </w:rPr>
              <w:t>2</w:t>
            </w:r>
            <w:r>
              <w:fldChar w:fldCharType="end"/>
            </w:r>
            <w:bookmarkEnd w:id="41"/>
            <w:r>
              <w:t>. Scheduling of HARQ feedback with timing restriction in FDD system</w:t>
            </w:r>
          </w:p>
          <w:p w14:paraId="5035A452" w14:textId="77777777" w:rsidR="000D6221" w:rsidRDefault="000D6221" w:rsidP="000D6221">
            <w:pPr>
              <w:rPr>
                <w:b/>
                <w:i/>
              </w:rPr>
            </w:pPr>
            <w:r>
              <w:rPr>
                <w:b/>
                <w:i/>
              </w:rPr>
              <w:t>Observation 1: If PUSCH repetition is configured, the timing restriction on scheduling HARQ after UL grant introduces large delay for HARQ feedback, which could be as high as (k2 + number of PUSCH repetition) slots.</w:t>
            </w:r>
          </w:p>
          <w:p w14:paraId="34EDBE4C" w14:textId="77777777" w:rsidR="000D6221" w:rsidRDefault="000D6221" w:rsidP="000D6221">
            <w:r>
              <w:t xml:space="preserve">In Rel-16, the number of PUSCH repetitions are counted by configured transmissions, the </w:t>
            </w:r>
            <w:proofErr w:type="spellStart"/>
            <w:r>
              <w:t>canceled</w:t>
            </w:r>
            <w:proofErr w:type="spellEnd"/>
            <w:r>
              <w:t xml:space="preserve"> repetitions caused by DL/UL collision will not be deferred. However, in Rel-17, the repetitions of PUSCH would be enhanced to transmit in available UL slots only, PUSCH repetitions may keep occupying a series of contiguous UL slots and leave no opportunity to transmit PUCCH for a long period, especially for TDD system. Illustrated in </w:t>
            </w:r>
            <w:r>
              <w:fldChar w:fldCharType="begin"/>
            </w:r>
            <w:r>
              <w:instrText xml:space="preserve"> REF _Ref67401465 \h </w:instrText>
            </w:r>
            <w:r>
              <w:fldChar w:fldCharType="separate"/>
            </w:r>
            <w:r>
              <w:t xml:space="preserve">Figure </w:t>
            </w:r>
            <w:r>
              <w:rPr>
                <w:noProof/>
              </w:rPr>
              <w:t>3</w:t>
            </w:r>
            <w:r>
              <w:fldChar w:fldCharType="end"/>
            </w:r>
            <w:r>
              <w:t>, a DL domain frame is configured as DDDSU. In the slot 0 of frame N, UL DCI triggers PUSCH to repeat 4 times and each repetition occupies 14 symbols like the example in FDD system. Consequently, for the consecutive UL slots for frame N and N+1, gNB cannot schedule PUCCH to transmit the HARQ information associate with the PDSCHs scheduled in the DL slots of both frames. In other word, due to the PUCCH scheduling restriction, the DL data transportation are blocked for dedicated k1 values. For example, if the value of k1 is set as 7&gt;k1&gt;1, PDSCHs cannot be scheduled within any slots of frame N and frame N+1.</w:t>
            </w:r>
          </w:p>
          <w:p w14:paraId="1FAA41A7" w14:textId="77777777" w:rsidR="000D6221" w:rsidRDefault="000D6221" w:rsidP="000D6221">
            <w:pPr>
              <w:keepNext/>
            </w:pPr>
            <w:r>
              <w:rPr>
                <w:rFonts w:eastAsia="宋体"/>
                <w:sz w:val="22"/>
                <w:szCs w:val="22"/>
                <w:lang w:val="en-US" w:eastAsia="en-US"/>
              </w:rPr>
              <w:object w:dxaOrig="9315" w:dyaOrig="1095" w14:anchorId="37569D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75pt;height:54.65pt" o:ole="">
                  <v:imagedata r:id="rId27" o:title=""/>
                </v:shape>
                <o:OLEObject Type="Embed" ProgID="Visio.Drawing.15" ShapeID="_x0000_i1025" DrawAspect="Content" ObjectID="_1682948403" r:id="rId28"/>
              </w:object>
            </w:r>
            <w:r>
              <w:rPr>
                <w:noProof/>
                <w:lang w:eastAsia="zh-CN"/>
              </w:rPr>
              <w:t xml:space="preserve"> </w:t>
            </w:r>
          </w:p>
          <w:p w14:paraId="61A5678D" w14:textId="77777777" w:rsidR="000D6221" w:rsidRDefault="000D6221" w:rsidP="000D6221">
            <w:pPr>
              <w:pStyle w:val="Caption"/>
            </w:pPr>
            <w:bookmarkStart w:id="42" w:name="_Ref67401465"/>
            <w:r>
              <w:t xml:space="preserve">Figure </w:t>
            </w:r>
            <w:r>
              <w:fldChar w:fldCharType="begin"/>
            </w:r>
            <w:r>
              <w:rPr>
                <w:noProof/>
              </w:rPr>
              <w:instrText xml:space="preserve"> SEQ Figure \* ARABIC </w:instrText>
            </w:r>
            <w:r>
              <w:fldChar w:fldCharType="separate"/>
            </w:r>
            <w:r>
              <w:rPr>
                <w:noProof/>
              </w:rPr>
              <w:t>3</w:t>
            </w:r>
            <w:r>
              <w:fldChar w:fldCharType="end"/>
            </w:r>
            <w:bookmarkEnd w:id="42"/>
            <w:r>
              <w:t>. Scheduling of HARQ feedback with timing restriction in FDD system</w:t>
            </w:r>
          </w:p>
          <w:p w14:paraId="21827BCB" w14:textId="77777777" w:rsidR="000D6221" w:rsidRDefault="000D6221" w:rsidP="000D6221">
            <w:pPr>
              <w:rPr>
                <w:b/>
                <w:i/>
              </w:rPr>
            </w:pPr>
            <w:r>
              <w:rPr>
                <w:b/>
                <w:i/>
              </w:rPr>
              <w:t>Observation 2: If PUSCH repetition is configured, the timing restriction on scheduling HARQ after UL grant causes PDSCH blockage for dedicated small k1 values.</w:t>
            </w:r>
          </w:p>
          <w:p w14:paraId="25D3DFFB" w14:textId="77777777" w:rsidR="000D6221" w:rsidRDefault="000D6221" w:rsidP="000D6221">
            <w:r>
              <w:t>As the analysis above, if repetition is enabled for PUSCH, the scheduling restriction for HARQ feedback after UL grant will introduce a large delay for HARQ reporting. The PDSCH scheduling is also blocked due to lack of PUCCH resource and the DL data rate is also slowed down in the meanwhile. Therefore, optimizations for PUSCH repetitions on the scheduling restriction should be studied to overcome the performance loss caused by the restriction.</w:t>
            </w:r>
          </w:p>
          <w:p w14:paraId="4C4473BA" w14:textId="77777777" w:rsidR="000D6221" w:rsidRDefault="000D6221" w:rsidP="000D6221">
            <w:pPr>
              <w:rPr>
                <w:b/>
                <w:i/>
              </w:rPr>
            </w:pPr>
            <w:r>
              <w:rPr>
                <w:b/>
                <w:i/>
              </w:rPr>
              <w:t xml:space="preserve">Proposal 1: </w:t>
            </w:r>
            <w:bookmarkStart w:id="43" w:name="_Hlk71825488"/>
            <w:r>
              <w:rPr>
                <w:b/>
                <w:i/>
              </w:rPr>
              <w:t>Optimization of timing restriction on scheduling HARQ after UL grant should be supported for the case of PUSCH repetition</w:t>
            </w:r>
            <w:bookmarkEnd w:id="43"/>
            <w:r>
              <w:rPr>
                <w:b/>
                <w:i/>
              </w:rPr>
              <w:t>.</w:t>
            </w:r>
          </w:p>
          <w:p w14:paraId="76F5BB12" w14:textId="77777777" w:rsidR="00DA3A05" w:rsidRPr="000D6221" w:rsidRDefault="00DA3A05" w:rsidP="002A60E6">
            <w:pPr>
              <w:adjustRightInd/>
              <w:rPr>
                <w:rFonts w:eastAsia="宋体"/>
                <w:color w:val="000000"/>
                <w:lang w:eastAsia="en-US"/>
              </w:rPr>
            </w:pPr>
          </w:p>
          <w:p w14:paraId="61D30310" w14:textId="77777777" w:rsidR="000D6221" w:rsidRDefault="000D6221" w:rsidP="000D6221">
            <w:pPr>
              <w:rPr>
                <w:rFonts w:eastAsia="宋体"/>
                <w:sz w:val="22"/>
                <w:lang w:val="en-US"/>
              </w:rPr>
            </w:pPr>
            <w:r>
              <w:t xml:space="preserve">Two alternatives can be considered for the optimization of the scheduling restriction. One alternative is to only apply the timing restriction to initial PUSCH repetition. That is, it is allowed to schedule PDSCH after UL grant with the corresponding HARQ-ACK multiplexed on non-initial PUSCH repetition(s) to avoid additional latency for HARQ feedback and blockage of DL data, as shown in </w:t>
            </w:r>
            <w:r>
              <w:fldChar w:fldCharType="begin"/>
            </w:r>
            <w:r>
              <w:instrText xml:space="preserve"> REF _Ref67409807 \h </w:instrText>
            </w:r>
            <w:r>
              <w:fldChar w:fldCharType="separate"/>
            </w:r>
            <w:r>
              <w:t xml:space="preserve">Figure </w:t>
            </w:r>
            <w:r>
              <w:rPr>
                <w:noProof/>
              </w:rPr>
              <w:t>4</w:t>
            </w:r>
            <w:r>
              <w:fldChar w:fldCharType="end"/>
            </w:r>
            <w:r>
              <w:t>. For this alternative, the scheduling of first transmission is similar as that of the single PUSCH transmission, thus a uniform design could be applied for both cases which has less standards impact.</w:t>
            </w:r>
          </w:p>
          <w:p w14:paraId="7729760B" w14:textId="77777777" w:rsidR="000D6221" w:rsidRDefault="000D6221" w:rsidP="000D6221">
            <w:r>
              <w:t xml:space="preserve">Another alternative is to release the restrictions for all the PUSCH repetitions. No matter initial or non-initial PUSCH repetitions, all of them can convey the HARQ bits for PDSCHs indicated after the UL DCI. This will bring a higher level of flexibility for gNB scheduling, but gNB has to treat single slot and multiple slots PUSCH separately. On the other hand, the removal of scheduling restriction will cause invalidation of total DAI in the UL DCI. More investigation on DAI mechanism and impact analysis on DCI design are needed, which means lots of standard efforts are required as well. </w:t>
            </w:r>
            <w:proofErr w:type="gramStart"/>
            <w:r>
              <w:t>So</w:t>
            </w:r>
            <w:proofErr w:type="gramEnd"/>
            <w:r>
              <w:t xml:space="preserve"> considering the limited time for TEI discussion, the first alternative is more preferable due to less standards impact.</w:t>
            </w:r>
          </w:p>
          <w:p w14:paraId="0CA28028" w14:textId="77777777" w:rsidR="000D6221" w:rsidRDefault="000D6221" w:rsidP="000D6221">
            <w:pPr>
              <w:rPr>
                <w:b/>
                <w:i/>
              </w:rPr>
            </w:pPr>
            <w:r>
              <w:rPr>
                <w:b/>
                <w:i/>
              </w:rPr>
              <w:t>Proposal 2: 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511B3142" w14:textId="77777777" w:rsidR="000D6221" w:rsidRDefault="000D6221" w:rsidP="000D6221"/>
          <w:p w14:paraId="1B3D89B2" w14:textId="211CB2A4" w:rsidR="000D6221" w:rsidRDefault="000D6221" w:rsidP="000D6221">
            <w:pPr>
              <w:keepNext/>
            </w:pPr>
            <w:r>
              <w:rPr>
                <w:noProof/>
                <w:lang w:eastAsia="zh-CN"/>
              </w:rPr>
              <w:drawing>
                <wp:inline distT="0" distB="0" distL="0" distR="0" wp14:anchorId="09D59573" wp14:editId="0F67EDDB">
                  <wp:extent cx="5915025" cy="2047875"/>
                  <wp:effectExtent l="0" t="0" r="9525" b="952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15025" cy="2047875"/>
                          </a:xfrm>
                          <a:prstGeom prst="rect">
                            <a:avLst/>
                          </a:prstGeom>
                          <a:noFill/>
                          <a:ln>
                            <a:noFill/>
                          </a:ln>
                        </pic:spPr>
                      </pic:pic>
                    </a:graphicData>
                  </a:graphic>
                </wp:inline>
              </w:drawing>
            </w:r>
          </w:p>
          <w:p w14:paraId="22D8278A" w14:textId="77777777" w:rsidR="000D6221" w:rsidRDefault="000D6221" w:rsidP="000D6221">
            <w:pPr>
              <w:pStyle w:val="Caption"/>
            </w:pPr>
            <w:bookmarkStart w:id="44" w:name="_Ref67409807"/>
            <w:r>
              <w:t xml:space="preserve">Figure </w:t>
            </w:r>
            <w:r>
              <w:fldChar w:fldCharType="begin"/>
            </w:r>
            <w:r>
              <w:rPr>
                <w:noProof/>
              </w:rPr>
              <w:instrText xml:space="preserve"> SEQ Figure \* ARABIC </w:instrText>
            </w:r>
            <w:r>
              <w:fldChar w:fldCharType="separate"/>
            </w:r>
            <w:r>
              <w:rPr>
                <w:noProof/>
              </w:rPr>
              <w:t>4</w:t>
            </w:r>
            <w:r>
              <w:fldChar w:fldCharType="end"/>
            </w:r>
            <w:bookmarkEnd w:id="44"/>
            <w:r>
              <w:t>. Apply the timing restriction to the initial PUSCH repetition only</w:t>
            </w:r>
          </w:p>
          <w:p w14:paraId="3A61085D" w14:textId="77777777" w:rsidR="002A60E6" w:rsidRPr="000D6221" w:rsidRDefault="002A60E6" w:rsidP="002A60E6">
            <w:pPr>
              <w:adjustRightInd/>
              <w:rPr>
                <w:rFonts w:eastAsia="宋体"/>
                <w:color w:val="000000"/>
                <w:lang w:eastAsia="en-US"/>
              </w:rPr>
            </w:pPr>
          </w:p>
          <w:p w14:paraId="79872CE8" w14:textId="77777777" w:rsidR="000D6221" w:rsidRDefault="000D6221" w:rsidP="000D6221">
            <w:pPr>
              <w:rPr>
                <w:rFonts w:eastAsia="宋体"/>
                <w:sz w:val="22"/>
                <w:lang w:val="en-US"/>
              </w:rPr>
            </w:pPr>
            <w:r>
              <w:t xml:space="preserve">The optimization of timing restriction in section 2.1 relaxes the scheduling of PUCCH and makes it possible to piggyback the HARQ information corresponding to PDSCHs scheduled later than the instance of UL DCI received. However, in this case the total DAI in UL grant cannot reflect the number of scheduled PDSCH(s) after the UL grant, which would have impact on the HARQ-ACK codebook size determination. Therefore, some enhancements are needed here. </w:t>
            </w:r>
          </w:p>
          <w:p w14:paraId="51D2B6E4" w14:textId="77777777" w:rsidR="000D6221" w:rsidRDefault="000D6221" w:rsidP="000D6221">
            <w:r>
              <w:t xml:space="preserve">As shown in </w:t>
            </w:r>
            <w:r>
              <w:fldChar w:fldCharType="begin"/>
            </w:r>
            <w:r>
              <w:instrText xml:space="preserve"> REF _Ref71316524 \h </w:instrText>
            </w:r>
            <w:r>
              <w:fldChar w:fldCharType="separate"/>
            </w:r>
            <w:r>
              <w:t xml:space="preserve">Figure </w:t>
            </w:r>
            <w:r>
              <w:rPr>
                <w:noProof/>
              </w:rPr>
              <w:t>5</w:t>
            </w:r>
            <w:r>
              <w:fldChar w:fldCharType="end"/>
            </w:r>
            <w:r>
              <w:t xml:space="preserve">, if the scheduling restriction is maintained for initial repetition but relaxed for non-initial ones, i.e. the first alternative in Section 2.1, the total DAI in the UL DCI format can be still applied to the first PUSCH repetition. For the non-initial PUSCH repetitions, one simple way is to use the DAI in the last DL DCI instead to count the quantity of PDCCH monitoring occasion and calculate the number of HARQ bits, </w:t>
            </w:r>
            <w:r>
              <w:rPr>
                <w:lang w:eastAsia="zh-CN"/>
              </w:rPr>
              <w:t xml:space="preserve">which is same as the HARQ feedback on PUCCH. One potential problem raised by some companies in RAN1#104b-e meeting is the impact due to last DCI missing. Considering the reliability requirement of PDCCH decoding, the probability of DCI missing is </w:t>
            </w:r>
            <w:proofErr w:type="gramStart"/>
            <w:r>
              <w:rPr>
                <w:lang w:eastAsia="zh-CN"/>
              </w:rPr>
              <w:t>relative</w:t>
            </w:r>
            <w:proofErr w:type="gramEnd"/>
            <w:r>
              <w:rPr>
                <w:lang w:eastAsia="zh-CN"/>
              </w:rPr>
              <w:t xml:space="preserve"> low and thus the impact might not be a very serious issue. </w:t>
            </w:r>
          </w:p>
          <w:p w14:paraId="1BBF375A" w14:textId="1B831452" w:rsidR="000D6221" w:rsidRDefault="000D6221" w:rsidP="000D6221">
            <w:pPr>
              <w:keepNext/>
              <w:jc w:val="center"/>
            </w:pPr>
            <w:r>
              <w:rPr>
                <w:noProof/>
                <w:lang w:eastAsia="zh-CN"/>
              </w:rPr>
              <w:drawing>
                <wp:inline distT="0" distB="0" distL="0" distR="0" wp14:anchorId="58A56D53" wp14:editId="3ABA635F">
                  <wp:extent cx="5915025" cy="1981200"/>
                  <wp:effectExtent l="0" t="0" r="9525"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15025" cy="1981200"/>
                          </a:xfrm>
                          <a:prstGeom prst="rect">
                            <a:avLst/>
                          </a:prstGeom>
                          <a:noFill/>
                          <a:ln>
                            <a:noFill/>
                          </a:ln>
                        </pic:spPr>
                      </pic:pic>
                    </a:graphicData>
                  </a:graphic>
                </wp:inline>
              </w:drawing>
            </w:r>
          </w:p>
          <w:p w14:paraId="11BB281A" w14:textId="77777777" w:rsidR="000D6221" w:rsidRDefault="000D6221" w:rsidP="000D6221">
            <w:pPr>
              <w:pStyle w:val="Caption"/>
            </w:pPr>
            <w:bookmarkStart w:id="45" w:name="_Ref71316524"/>
            <w:r>
              <w:t xml:space="preserve">Figure </w:t>
            </w:r>
            <w:r>
              <w:fldChar w:fldCharType="begin"/>
            </w:r>
            <w:r>
              <w:rPr>
                <w:noProof/>
              </w:rPr>
              <w:instrText xml:space="preserve"> SEQ Figure \* ARABIC </w:instrText>
            </w:r>
            <w:r>
              <w:fldChar w:fldCharType="separate"/>
            </w:r>
            <w:r>
              <w:rPr>
                <w:noProof/>
              </w:rPr>
              <w:t>5</w:t>
            </w:r>
            <w:r>
              <w:fldChar w:fldCharType="end"/>
            </w:r>
            <w:bookmarkEnd w:id="45"/>
            <w:r>
              <w:t xml:space="preserve">. Update total DAI in UL DCI by the DAI in DL DCI </w:t>
            </w:r>
          </w:p>
          <w:p w14:paraId="53FE2DF5" w14:textId="77777777" w:rsidR="000D6221" w:rsidRDefault="000D6221" w:rsidP="000D6221">
            <w:r>
              <w:t xml:space="preserve">One alternative to address the impact from DCI missing is to still use the total DAI in the UL DCI format scheduling PUSCH repetition to calculate the HARQ information bits on each PUSCH repetition, assuming that the total DAI covers both the number of PDCCHs sent before the UL DCI and the ones delivered after the UL grant. Although, in the PHY layer, gNB cannot anticipate how many PDSCHs will be scheduled in the next slots, , gNB may set an upper bound of HARQ bits as the total DAI in UL grant to cover all the possible PDSCH(s) receptions, as shown in </w:t>
            </w:r>
            <w:r>
              <w:fldChar w:fldCharType="begin"/>
            </w:r>
            <w:r>
              <w:instrText xml:space="preserve"> REF _Ref71316683 \h </w:instrText>
            </w:r>
            <w:r>
              <w:fldChar w:fldCharType="separate"/>
            </w:r>
            <w:r>
              <w:t xml:space="preserve">Figure </w:t>
            </w:r>
            <w:r>
              <w:rPr>
                <w:noProof/>
              </w:rPr>
              <w:t>6</w:t>
            </w:r>
            <w:r>
              <w:fldChar w:fldCharType="end"/>
            </w:r>
            <w:r>
              <w:t>. The challenge of this solution is the uncertainty for the future scheduling from gNB side. If the total DAI is set too large, additional resources are wasted.  If the DAI is set too small, it will also limit the potential PDSCH receptions so that to degrade the downlink data rate.</w:t>
            </w:r>
          </w:p>
          <w:p w14:paraId="5935F8E7" w14:textId="747B3D12" w:rsidR="000D6221" w:rsidRDefault="000D6221" w:rsidP="000D6221">
            <w:pPr>
              <w:keepNext/>
              <w:jc w:val="center"/>
            </w:pPr>
            <w:r>
              <w:rPr>
                <w:noProof/>
                <w:lang w:eastAsia="zh-CN"/>
              </w:rPr>
              <w:drawing>
                <wp:inline distT="0" distB="0" distL="0" distR="0" wp14:anchorId="5D5FDBB9" wp14:editId="51C1021F">
                  <wp:extent cx="5019675" cy="1971675"/>
                  <wp:effectExtent l="0" t="0" r="9525" b="952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19675" cy="1971675"/>
                          </a:xfrm>
                          <a:prstGeom prst="rect">
                            <a:avLst/>
                          </a:prstGeom>
                          <a:noFill/>
                          <a:ln>
                            <a:noFill/>
                          </a:ln>
                        </pic:spPr>
                      </pic:pic>
                    </a:graphicData>
                  </a:graphic>
                </wp:inline>
              </w:drawing>
            </w:r>
          </w:p>
          <w:p w14:paraId="069A9B26" w14:textId="77777777" w:rsidR="000D6221" w:rsidRDefault="000D6221" w:rsidP="000D6221">
            <w:pPr>
              <w:pStyle w:val="Caption"/>
            </w:pPr>
            <w:bookmarkStart w:id="46" w:name="_Ref71316683"/>
            <w:r>
              <w:t xml:space="preserve">Figure </w:t>
            </w:r>
            <w:r>
              <w:fldChar w:fldCharType="begin"/>
            </w:r>
            <w:r>
              <w:rPr>
                <w:noProof/>
              </w:rPr>
              <w:instrText xml:space="preserve"> SEQ Figure \* ARABIC </w:instrText>
            </w:r>
            <w:r>
              <w:fldChar w:fldCharType="separate"/>
            </w:r>
            <w:r>
              <w:rPr>
                <w:noProof/>
              </w:rPr>
              <w:t>6</w:t>
            </w:r>
            <w:r>
              <w:fldChar w:fldCharType="end"/>
            </w:r>
            <w:bookmarkEnd w:id="46"/>
            <w:r>
              <w:t>. Total DAI in UL DCI cover all past and future DL grants</w:t>
            </w:r>
          </w:p>
          <w:p w14:paraId="743EC37D" w14:textId="77777777" w:rsidR="000D6221" w:rsidRDefault="000D6221" w:rsidP="000D6221">
            <w:r>
              <w:t xml:space="preserve">Another method is to update the total DAI by other </w:t>
            </w:r>
            <w:proofErr w:type="spellStart"/>
            <w:r>
              <w:t>signaling</w:t>
            </w:r>
            <w:proofErr w:type="spellEnd"/>
            <w:r>
              <w:t xml:space="preserve">. For example, a new DCI can be sent to UE to update the DAI value just before the PUSCH transmission subject to the timeline conditions, similar operation as DCI format 2_4 which used to cancel the PUSCH transmission scheduled previously. As shown in </w:t>
            </w:r>
            <w:r>
              <w:fldChar w:fldCharType="begin"/>
            </w:r>
            <w:r>
              <w:instrText xml:space="preserve"> REF _Ref67429225 \h </w:instrText>
            </w:r>
            <w:r>
              <w:fldChar w:fldCharType="separate"/>
            </w:r>
            <w:r>
              <w:t xml:space="preserve">Figure </w:t>
            </w:r>
            <w:r>
              <w:rPr>
                <w:noProof/>
              </w:rPr>
              <w:t>7</w:t>
            </w:r>
            <w:r>
              <w:fldChar w:fldCharType="end"/>
            </w:r>
            <w:r>
              <w:t xml:space="preserve">, UL DCI_2 is transmitted to UE to update the total DAI value which is notified by UL DCI_1 in slot n+1, to incorporate the HARQ information corresponding to the PDSCH_2 scheduled in slot n+2. The shortage of this method is also obvious, additional DAI update </w:t>
            </w:r>
            <w:proofErr w:type="spellStart"/>
            <w:r>
              <w:t>signaling</w:t>
            </w:r>
            <w:proofErr w:type="spellEnd"/>
            <w:r>
              <w:t xml:space="preserve"> will bring more scheduling complexity and resources waste. </w:t>
            </w:r>
          </w:p>
          <w:p w14:paraId="26DE8594" w14:textId="77777777" w:rsidR="000D6221" w:rsidRDefault="000D6221" w:rsidP="000D6221">
            <w:r>
              <w:t xml:space="preserve">Considering above three methods to determine the HARQ information bits on PUSCH comprehensively, it seems the first option (i.e. rely on the DAI in last DL DCI) is more appropriate for TEI from the specification impact perspective. Note similar operation is also applied for multiplexing HARQ on CG PUSCH (without UL DCI scheduling or UL DAI). Therefore, following proposal is made. </w:t>
            </w:r>
          </w:p>
          <w:p w14:paraId="41B73949" w14:textId="40500E6A" w:rsidR="000D6221" w:rsidRDefault="000D6221" w:rsidP="000D6221">
            <w:pPr>
              <w:keepNext/>
              <w:jc w:val="center"/>
            </w:pPr>
            <w:r>
              <w:rPr>
                <w:noProof/>
                <w:lang w:eastAsia="zh-CN"/>
              </w:rPr>
              <w:drawing>
                <wp:inline distT="0" distB="0" distL="0" distR="0" wp14:anchorId="417D287D" wp14:editId="6339ED43">
                  <wp:extent cx="5924550" cy="1971675"/>
                  <wp:effectExtent l="0" t="0" r="0" b="952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24550" cy="1971675"/>
                          </a:xfrm>
                          <a:prstGeom prst="rect">
                            <a:avLst/>
                          </a:prstGeom>
                          <a:noFill/>
                          <a:ln>
                            <a:noFill/>
                          </a:ln>
                        </pic:spPr>
                      </pic:pic>
                    </a:graphicData>
                  </a:graphic>
                </wp:inline>
              </w:drawing>
            </w:r>
          </w:p>
          <w:p w14:paraId="2D1D7A0A" w14:textId="77777777" w:rsidR="000D6221" w:rsidRDefault="000D6221" w:rsidP="000D6221">
            <w:pPr>
              <w:pStyle w:val="Caption"/>
            </w:pPr>
            <w:bookmarkStart w:id="47" w:name="_Ref67429225"/>
            <w:r>
              <w:t xml:space="preserve">Figure </w:t>
            </w:r>
            <w:r>
              <w:fldChar w:fldCharType="begin"/>
            </w:r>
            <w:r>
              <w:rPr>
                <w:noProof/>
              </w:rPr>
              <w:instrText xml:space="preserve"> SEQ Figure \* ARABIC </w:instrText>
            </w:r>
            <w:r>
              <w:fldChar w:fldCharType="separate"/>
            </w:r>
            <w:r>
              <w:rPr>
                <w:noProof/>
              </w:rPr>
              <w:t>7</w:t>
            </w:r>
            <w:r>
              <w:fldChar w:fldCharType="end"/>
            </w:r>
            <w:bookmarkEnd w:id="47"/>
            <w:r>
              <w:t>. New UL DCI delivered to update DAI value</w:t>
            </w:r>
          </w:p>
          <w:p w14:paraId="5A252579" w14:textId="77777777" w:rsidR="000D6221" w:rsidRDefault="000D6221" w:rsidP="000D6221">
            <w:pPr>
              <w:rPr>
                <w:rFonts w:eastAsia="宋体"/>
                <w:b/>
                <w:i/>
                <w:sz w:val="22"/>
                <w:lang w:val="en-US"/>
              </w:rPr>
            </w:pPr>
            <w:r>
              <w:rPr>
                <w:b/>
                <w:i/>
              </w:rPr>
              <w:t>Proposal 3: When the timing restriction on scheduling HARQ after UL grant is released for the non-initial PUSCH repetitions, DAI in the last DCI is applied to determine the number of HARQ information bits multiplexed on the non-initial PUSCH repetitions.</w:t>
            </w:r>
          </w:p>
          <w:p w14:paraId="4325C5E1" w14:textId="489368B8" w:rsidR="002A60E6" w:rsidRPr="002A60E6" w:rsidRDefault="002A60E6" w:rsidP="002A60E6">
            <w:pPr>
              <w:rPr>
                <w:b/>
                <w:i/>
                <w:lang w:eastAsia="en-US"/>
              </w:rPr>
            </w:pPr>
          </w:p>
        </w:tc>
      </w:tr>
    </w:tbl>
    <w:p w14:paraId="25FFF4EF" w14:textId="77777777" w:rsidR="00DA3A05" w:rsidRDefault="00DA3A05" w:rsidP="00DA3A05">
      <w:pPr>
        <w:rPr>
          <w:b/>
        </w:rPr>
      </w:pPr>
    </w:p>
    <w:p w14:paraId="67644AEA" w14:textId="60157391"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0D6221">
        <w:rPr>
          <w:rFonts w:eastAsia="MS Mincho" w:cs="Batang"/>
          <w:sz w:val="22"/>
          <w:szCs w:val="22"/>
        </w:rPr>
        <w:t>5</w:t>
      </w:r>
      <w:r>
        <w:rPr>
          <w:rFonts w:eastAsia="MS Mincho" w:cs="Batang"/>
          <w:sz w:val="22"/>
          <w:szCs w:val="22"/>
        </w:rPr>
        <w:t>-e meeting.</w:t>
      </w:r>
    </w:p>
    <w:p w14:paraId="0D9AE7E6" w14:textId="77777777" w:rsidR="00DA3A05" w:rsidRDefault="00DA3A05" w:rsidP="00DA3A05">
      <w:pPr>
        <w:rPr>
          <w:rFonts w:ascii="Arial" w:eastAsia="MS Mincho" w:hAnsi="Arial"/>
          <w:sz w:val="32"/>
          <w:szCs w:val="32"/>
        </w:rPr>
      </w:pPr>
    </w:p>
    <w:p w14:paraId="0ABF23D2" w14:textId="182C9B03"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6</w:t>
      </w:r>
    </w:p>
    <w:p w14:paraId="61CDEAC8" w14:textId="5ED8C37B" w:rsidR="00DA3A05" w:rsidRPr="00E209FD" w:rsidRDefault="00DA3A05" w:rsidP="00DA3A05">
      <w:pPr>
        <w:pStyle w:val="ListParagraph"/>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sidR="00695F74">
        <w:rPr>
          <w:rFonts w:eastAsia="MS Mincho" w:cs="Batang"/>
          <w:b/>
          <w:bCs/>
          <w:sz w:val="22"/>
          <w:szCs w:val="22"/>
        </w:rPr>
        <w:t>the o</w:t>
      </w:r>
      <w:r w:rsidR="000D6221" w:rsidRPr="000D6221">
        <w:rPr>
          <w:rFonts w:eastAsia="MS Mincho" w:cs="Batang"/>
          <w:b/>
          <w:bCs/>
          <w:sz w:val="22"/>
          <w:szCs w:val="22"/>
        </w:rPr>
        <w:t>ptimization of timing restriction on scheduling HARQ after UL grant for the case of PUSCH repetition</w:t>
      </w:r>
    </w:p>
    <w:p w14:paraId="2F615133" w14:textId="416C7FF7" w:rsidR="00DA3A05" w:rsidRPr="00695F74" w:rsidRDefault="000D6221" w:rsidP="00695F74">
      <w:pPr>
        <w:pStyle w:val="ListParagraph"/>
        <w:numPr>
          <w:ilvl w:val="1"/>
          <w:numId w:val="13"/>
        </w:numPr>
        <w:ind w:leftChars="0"/>
        <w:rPr>
          <w:b/>
        </w:rPr>
      </w:pPr>
      <w:r w:rsidRPr="000D6221">
        <w:rPr>
          <w:rFonts w:eastAsia="MS Mincho" w:cs="Batang"/>
          <w:b/>
          <w:bCs/>
          <w:sz w:val="22"/>
          <w:szCs w:val="22"/>
        </w:rPr>
        <w:t>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7C3F3C68" w14:textId="4C7ABD32" w:rsidR="00695F74" w:rsidRPr="000D6221" w:rsidRDefault="000D6221" w:rsidP="00695F74">
      <w:pPr>
        <w:pStyle w:val="ListParagraph"/>
        <w:numPr>
          <w:ilvl w:val="1"/>
          <w:numId w:val="13"/>
        </w:numPr>
        <w:ind w:leftChars="0"/>
        <w:rPr>
          <w:b/>
          <w:sz w:val="22"/>
          <w:szCs w:val="18"/>
        </w:rPr>
      </w:pPr>
      <w:r w:rsidRPr="000D6221">
        <w:rPr>
          <w:b/>
          <w:sz w:val="22"/>
          <w:szCs w:val="18"/>
        </w:rPr>
        <w:t>When the timing restriction on scheduling HARQ after UL grant is released for the non-initial PUSCH repetitions, DAI in the last DCI is applied to determine the number of HARQ information bits multiplexed on the non-initial PUSCH repetitions</w:t>
      </w:r>
    </w:p>
    <w:p w14:paraId="7EE4FDAE" w14:textId="77777777" w:rsidR="00695F74" w:rsidRPr="000D6221" w:rsidRDefault="00695F74" w:rsidP="00695F74">
      <w:pPr>
        <w:rPr>
          <w:b/>
          <w:lang w:val="en-US"/>
        </w:rPr>
      </w:pPr>
    </w:p>
    <w:p w14:paraId="2257F171" w14:textId="58E4999E" w:rsidR="006E230A" w:rsidRDefault="006E230A" w:rsidP="00DA3A05">
      <w:pPr>
        <w:spacing w:afterLines="50" w:after="120"/>
        <w:jc w:val="both"/>
        <w:rPr>
          <w:sz w:val="22"/>
          <w:lang w:val="en-US"/>
        </w:rPr>
      </w:pPr>
      <w:r>
        <w:rPr>
          <w:rFonts w:eastAsia="MS Mincho" w:cs="Batang" w:hint="eastAsia"/>
          <w:sz w:val="22"/>
          <w:szCs w:val="22"/>
        </w:rPr>
        <w:t>T</w:t>
      </w:r>
      <w:r>
        <w:rPr>
          <w:rFonts w:eastAsia="MS Mincho" w:cs="Batang"/>
          <w:sz w:val="22"/>
          <w:szCs w:val="22"/>
        </w:rPr>
        <w:t>his proposal is already supported by</w:t>
      </w:r>
      <w:r>
        <w:rPr>
          <w:rFonts w:hint="eastAsia"/>
          <w:sz w:val="22"/>
          <w:lang w:val="en-US"/>
        </w:rPr>
        <w:t xml:space="preserve"> </w:t>
      </w:r>
      <w:r>
        <w:rPr>
          <w:sz w:val="22"/>
          <w:lang w:val="en-US"/>
        </w:rPr>
        <w:t>Huawei</w:t>
      </w:r>
      <w:r w:rsidR="000D6221">
        <w:rPr>
          <w:sz w:val="22"/>
          <w:lang w:val="en-US"/>
        </w:rPr>
        <w:t>,</w:t>
      </w:r>
      <w:r>
        <w:rPr>
          <w:sz w:val="22"/>
          <w:lang w:val="en-US"/>
        </w:rPr>
        <w:t xml:space="preserve"> HiSilicon</w:t>
      </w:r>
      <w:r w:rsidR="000D6221">
        <w:rPr>
          <w:sz w:val="22"/>
          <w:lang w:val="en-US"/>
        </w:rPr>
        <w:t xml:space="preserve"> and China Unicom</w:t>
      </w:r>
      <w:r>
        <w:rPr>
          <w:sz w:val="22"/>
          <w:lang w:val="en-US"/>
        </w:rPr>
        <w:t>.</w:t>
      </w:r>
    </w:p>
    <w:p w14:paraId="4374CB72" w14:textId="35B6012D"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68D3CE21" w14:textId="77777777" w:rsidTr="002A60E6">
        <w:tc>
          <w:tcPr>
            <w:tcW w:w="1945" w:type="dxa"/>
            <w:shd w:val="clear" w:color="auto" w:fill="F2F2F2" w:themeFill="background1" w:themeFillShade="F2"/>
          </w:tcPr>
          <w:p w14:paraId="72ADBDE9"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E5B8A42"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2414F2D5" w14:textId="77777777" w:rsidTr="002A60E6">
        <w:tc>
          <w:tcPr>
            <w:tcW w:w="1945" w:type="dxa"/>
          </w:tcPr>
          <w:p w14:paraId="2097C51F" w14:textId="2F2CC8F1" w:rsidR="00DA3A05" w:rsidRDefault="00C64F5D" w:rsidP="002A60E6">
            <w:pPr>
              <w:spacing w:afterLines="50" w:after="120"/>
              <w:jc w:val="both"/>
              <w:rPr>
                <w:sz w:val="22"/>
                <w:lang w:val="en-US"/>
              </w:rPr>
            </w:pPr>
            <w:r>
              <w:rPr>
                <w:sz w:val="22"/>
                <w:lang w:val="en-US"/>
              </w:rPr>
              <w:t>vivo</w:t>
            </w:r>
          </w:p>
        </w:tc>
        <w:tc>
          <w:tcPr>
            <w:tcW w:w="7683" w:type="dxa"/>
          </w:tcPr>
          <w:p w14:paraId="7971F6C6" w14:textId="62A1C8BA" w:rsidR="00DA3A05" w:rsidRDefault="00C64F5D" w:rsidP="002A60E6">
            <w:pPr>
              <w:spacing w:afterLines="50" w:after="120"/>
              <w:jc w:val="both"/>
              <w:rPr>
                <w:sz w:val="22"/>
                <w:lang w:val="en-US"/>
              </w:rPr>
            </w:pPr>
            <w:r>
              <w:rPr>
                <w:sz w:val="22"/>
                <w:lang w:val="en-US"/>
              </w:rPr>
              <w:t>It is one of the open issues being discussed in coverage enhancement AI 8.8.1.1, better discuss in currentl</w:t>
            </w:r>
            <w:r w:rsidR="009F6792">
              <w:rPr>
                <w:sz w:val="22"/>
                <w:lang w:val="en-US"/>
              </w:rPr>
              <w:t>y</w:t>
            </w:r>
            <w:r>
              <w:rPr>
                <w:sz w:val="22"/>
                <w:lang w:val="en-US"/>
              </w:rPr>
              <w:t xml:space="preserve"> open WI</w:t>
            </w:r>
          </w:p>
        </w:tc>
      </w:tr>
      <w:tr w:rsidR="00DA3A05" w14:paraId="6AD18F34" w14:textId="77777777" w:rsidTr="002A60E6">
        <w:tc>
          <w:tcPr>
            <w:tcW w:w="1945" w:type="dxa"/>
          </w:tcPr>
          <w:p w14:paraId="52B4943E" w14:textId="77777777" w:rsidR="00DA3A05" w:rsidRDefault="00DA3A05" w:rsidP="002A60E6">
            <w:pPr>
              <w:spacing w:afterLines="50" w:after="120"/>
              <w:jc w:val="both"/>
              <w:rPr>
                <w:sz w:val="22"/>
                <w:lang w:val="en-US"/>
              </w:rPr>
            </w:pPr>
          </w:p>
        </w:tc>
        <w:tc>
          <w:tcPr>
            <w:tcW w:w="7683" w:type="dxa"/>
          </w:tcPr>
          <w:p w14:paraId="74A7F792" w14:textId="77777777" w:rsidR="00DA3A05" w:rsidRPr="00F740AD" w:rsidRDefault="00DA3A05" w:rsidP="002A60E6">
            <w:pPr>
              <w:spacing w:afterLines="50" w:after="120"/>
              <w:jc w:val="both"/>
              <w:rPr>
                <w:sz w:val="22"/>
                <w:lang w:val="en-US"/>
              </w:rPr>
            </w:pPr>
          </w:p>
        </w:tc>
      </w:tr>
      <w:tr w:rsidR="00DA3A05" w14:paraId="0DDA7F4B" w14:textId="77777777" w:rsidTr="002A60E6">
        <w:tc>
          <w:tcPr>
            <w:tcW w:w="1945" w:type="dxa"/>
          </w:tcPr>
          <w:p w14:paraId="046F9EC7" w14:textId="77777777" w:rsidR="00DA3A05" w:rsidRDefault="00DA3A05" w:rsidP="002A60E6">
            <w:pPr>
              <w:spacing w:afterLines="50" w:after="120"/>
              <w:jc w:val="both"/>
              <w:rPr>
                <w:sz w:val="22"/>
                <w:lang w:val="en-US"/>
              </w:rPr>
            </w:pPr>
          </w:p>
        </w:tc>
        <w:tc>
          <w:tcPr>
            <w:tcW w:w="7683" w:type="dxa"/>
          </w:tcPr>
          <w:p w14:paraId="492AE686" w14:textId="77777777" w:rsidR="00DA3A05" w:rsidRPr="00F740AD" w:rsidRDefault="00DA3A05" w:rsidP="002A60E6">
            <w:pPr>
              <w:spacing w:afterLines="50" w:after="120"/>
              <w:jc w:val="both"/>
              <w:rPr>
                <w:sz w:val="22"/>
                <w:lang w:val="en-US"/>
              </w:rPr>
            </w:pPr>
          </w:p>
        </w:tc>
      </w:tr>
    </w:tbl>
    <w:p w14:paraId="733EBE97" w14:textId="49228B56" w:rsidR="00DA3A05" w:rsidRDefault="00DA3A05" w:rsidP="002753B9">
      <w:pPr>
        <w:rPr>
          <w:b/>
        </w:rPr>
      </w:pPr>
    </w:p>
    <w:p w14:paraId="4D482C0C" w14:textId="78BF3E2B" w:rsidR="00DA3A05" w:rsidRDefault="00DA3A05" w:rsidP="002753B9">
      <w:pPr>
        <w:rPr>
          <w:b/>
        </w:rPr>
      </w:pPr>
    </w:p>
    <w:p w14:paraId="42FDBC17" w14:textId="2C8E20DA" w:rsidR="006D27B7" w:rsidRPr="005953A0" w:rsidRDefault="006D27B7" w:rsidP="006D27B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w:t>
      </w:r>
      <w:r w:rsidR="00181838">
        <w:rPr>
          <w:rFonts w:ascii="Arial" w:eastAsia="MS Mincho" w:hAnsi="Arial"/>
          <w:sz w:val="28"/>
          <w:szCs w:val="32"/>
          <w:lang w:val="en-US"/>
        </w:rPr>
        <w:t>n</w:t>
      </w:r>
      <w:r>
        <w:rPr>
          <w:rFonts w:ascii="Arial" w:eastAsia="MS Mincho" w:hAnsi="Arial"/>
          <w:sz w:val="28"/>
          <w:szCs w:val="32"/>
          <w:lang w:val="en-US"/>
        </w:rPr>
        <w:t xml:space="preserve"> SSB resources for RLM</w:t>
      </w:r>
    </w:p>
    <w:p w14:paraId="1B258517" w14:textId="77777777" w:rsidR="006D27B7" w:rsidRDefault="006D27B7" w:rsidP="006D27B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6D27B7" w14:paraId="4EED49D6" w14:textId="77777777" w:rsidTr="00C64F5D">
        <w:tc>
          <w:tcPr>
            <w:tcW w:w="562" w:type="dxa"/>
          </w:tcPr>
          <w:p w14:paraId="096F88D1" w14:textId="34DE4874" w:rsidR="006D27B7" w:rsidRPr="0016792D" w:rsidRDefault="002801C1"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7B746567" w14:textId="77777777" w:rsidR="002801C1" w:rsidRDefault="002801C1" w:rsidP="002801C1">
            <w:pPr>
              <w:pStyle w:val="3GPPText"/>
              <w:rPr>
                <w:sz w:val="20"/>
              </w:rPr>
            </w:pPr>
            <w:r>
              <w:t xml:space="preserve">A UE is required to monitor the downlink radio link quality of the primary cell to indicate out-of-sync/in-sync status to higher layers. The reference signals for radio link monitoring (RLM) can be SSB or CSI-RS, which are configured by </w:t>
            </w:r>
            <w:proofErr w:type="spellStart"/>
            <w:r>
              <w:rPr>
                <w:i/>
                <w:iCs/>
              </w:rPr>
              <w:t>RadioLinkMonitoringRS</w:t>
            </w:r>
            <w:proofErr w:type="spellEnd"/>
            <w:r>
              <w:rPr>
                <w:i/>
                <w:iCs/>
              </w:rPr>
              <w:t xml:space="preserve">. </w:t>
            </w:r>
            <w:r>
              <w:t xml:space="preserve">Each </w:t>
            </w:r>
            <w:proofErr w:type="spellStart"/>
            <w:r>
              <w:rPr>
                <w:i/>
                <w:iCs/>
              </w:rPr>
              <w:t>RadioLinkMonitoringRS</w:t>
            </w:r>
            <w:proofErr w:type="spellEnd"/>
            <w:r>
              <w:t xml:space="preserve"> corresponds to a resource, either SSB or CSI-RS, for the radio link failure detection. </w:t>
            </w:r>
          </w:p>
          <w:p w14:paraId="3B6312FC" w14:textId="77777777" w:rsidR="002801C1" w:rsidRDefault="002801C1" w:rsidP="002801C1">
            <w:pPr>
              <w:pStyle w:val="3GPPText"/>
            </w:pPr>
            <w:r>
              <w:t xml:space="preserve">For a UE that supports the use of CSI-RS for RLM, if the UE is not provided with </w:t>
            </w:r>
            <w:proofErr w:type="spellStart"/>
            <w:r>
              <w:rPr>
                <w:i/>
                <w:iCs/>
              </w:rPr>
              <w:t>RadioLinkMonitoringRS</w:t>
            </w:r>
            <w:proofErr w:type="spellEnd"/>
            <w:r>
              <w:t xml:space="preserve">, the UE can use the CSI-RS provided for the active TCI state for PDCCH receptions as the RLM resources. However, not all UEs have the capability to support the use of CSI-RS for RLM. For a UE that does not </w:t>
            </w:r>
            <w:r>
              <w:rPr>
                <w:lang w:eastAsia="zh-CN"/>
              </w:rPr>
              <w:t>have</w:t>
            </w:r>
            <w:r>
              <w:t xml:space="preserve"> the capability, the UE can only use the SSBs explicitly configured through </w:t>
            </w:r>
            <w:proofErr w:type="spellStart"/>
            <w:r>
              <w:rPr>
                <w:i/>
                <w:iCs/>
              </w:rPr>
              <w:t>RadioLinkMonitoringRS</w:t>
            </w:r>
            <w:proofErr w:type="spellEnd"/>
            <w:r>
              <w:rPr>
                <w:i/>
                <w:iCs/>
              </w:rPr>
              <w:t xml:space="preserve"> </w:t>
            </w:r>
            <w:r>
              <w:t>as the RLM resources.</w:t>
            </w:r>
          </w:p>
          <w:p w14:paraId="62DC1D0B" w14:textId="4F23D182" w:rsidR="002801C1" w:rsidRDefault="002801C1" w:rsidP="002801C1">
            <w:pPr>
              <w:pStyle w:val="3GPPText"/>
              <w:rPr>
                <w:lang w:eastAsia="zh-CN"/>
              </w:rPr>
            </w:pPr>
            <w:r>
              <w:t xml:space="preserve">However, a UE can only be configured with up to </w:t>
            </w:r>
            <w:r>
              <w:rPr>
                <w:noProof/>
                <w:position w:val="-10"/>
                <w:lang w:eastAsia="zh-CN"/>
              </w:rPr>
              <w:drawing>
                <wp:inline distT="0" distB="0" distL="0" distR="0" wp14:anchorId="775A0789" wp14:editId="39A37748">
                  <wp:extent cx="276225" cy="18097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w:t>
            </w:r>
            <w:r>
              <w:rPr>
                <w:iCs/>
              </w:rPr>
              <w:t>SSB resources</w:t>
            </w:r>
            <w:r>
              <w:t xml:space="preserve"> for RLM as shown in Table 1, </w:t>
            </w:r>
            <w:r>
              <w:rPr>
                <w:lang w:eastAsia="zh-CN"/>
              </w:rPr>
              <w:t>where</w:t>
            </w:r>
            <w:r>
              <w:t xml:space="preserve"> </w:t>
            </w:r>
            <w:r>
              <w:rPr>
                <w:noProof/>
                <w:position w:val="-10"/>
                <w:lang w:eastAsia="zh-CN"/>
              </w:rPr>
              <w:drawing>
                <wp:inline distT="0" distB="0" distL="0" distR="0" wp14:anchorId="53E00B2E" wp14:editId="18898D57">
                  <wp:extent cx="276225" cy="180975"/>
                  <wp:effectExtent l="0" t="0" r="9525"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is much smaller than the ma</w:t>
            </w:r>
            <w:r>
              <w:rPr>
                <w:iCs/>
              </w:rPr>
              <w:t xml:space="preserve">ximum number of SSBs </w:t>
            </w:r>
            <w:r>
              <w:rPr>
                <w:noProof/>
                <w:position w:val="-10"/>
                <w:lang w:eastAsia="zh-CN"/>
              </w:rPr>
              <w:drawing>
                <wp:inline distT="0" distB="0" distL="0" distR="0" wp14:anchorId="5519B9A7" wp14:editId="032178B4">
                  <wp:extent cx="276225" cy="180975"/>
                  <wp:effectExtent l="0" t="0" r="952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from a serving cell</w:t>
            </w:r>
            <w:r>
              <w:rPr>
                <w:iCs/>
                <w:lang w:eastAsia="zh-CN"/>
              </w:rPr>
              <w:t>. In this case,</w:t>
            </w:r>
            <w:r>
              <w:t xml:space="preserve"> </w:t>
            </w:r>
            <w:r>
              <w:rPr>
                <w:lang w:eastAsia="zh-CN"/>
              </w:rPr>
              <w:t xml:space="preserve">a UE </w:t>
            </w:r>
            <w:r>
              <w:t xml:space="preserve">may undesirably declare the radio link failure (RLF), if it cannot detect the SSBs configured by </w:t>
            </w:r>
            <w:proofErr w:type="spellStart"/>
            <w:r>
              <w:rPr>
                <w:i/>
                <w:iCs/>
              </w:rPr>
              <w:t>RadioLinkMonitoringConfig</w:t>
            </w:r>
            <w:proofErr w:type="spellEnd"/>
            <w:r>
              <w:rPr>
                <w:i/>
                <w:iCs/>
              </w:rPr>
              <w:t xml:space="preserve">, </w:t>
            </w:r>
            <w:r>
              <w:rPr>
                <w:lang w:eastAsia="zh-CN"/>
              </w:rPr>
              <w:t xml:space="preserve">even if it can </w:t>
            </w:r>
            <w:r>
              <w:t>receive one or more other SSBs from the serving cell properly</w:t>
            </w:r>
            <w:r>
              <w:rPr>
                <w:lang w:eastAsia="zh-CN"/>
              </w:rPr>
              <w:t>.</w:t>
            </w:r>
          </w:p>
          <w:p w14:paraId="3153247C" w14:textId="77777777" w:rsidR="002801C1" w:rsidRDefault="002801C1" w:rsidP="002801C1">
            <w:pPr>
              <w:pStyle w:val="3GPPText"/>
            </w:pPr>
          </w:p>
          <w:p w14:paraId="5DAB7BB1" w14:textId="2E0C48BC" w:rsidR="002801C1" w:rsidRDefault="002801C1" w:rsidP="002801C1">
            <w:pPr>
              <w:pStyle w:val="TH"/>
            </w:pPr>
            <w:r>
              <w:t xml:space="preserve">Table 1: </w:t>
            </w:r>
            <w:r>
              <w:rPr>
                <w:noProof/>
                <w:position w:val="-10"/>
                <w:lang w:val="en-US" w:eastAsia="zh-CN"/>
              </w:rPr>
              <w:drawing>
                <wp:inline distT="0" distB="0" distL="0" distR="0" wp14:anchorId="56F4229E" wp14:editId="6FF53C04">
                  <wp:extent cx="276225" cy="180975"/>
                  <wp:effectExtent l="0" t="0" r="952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as a function of </w:t>
            </w:r>
            <w:r>
              <w:rPr>
                <w:iCs/>
              </w:rPr>
              <w:t xml:space="preserve">maximum number </w:t>
            </w:r>
            <w:r>
              <w:rPr>
                <w:noProof/>
                <w:position w:val="-10"/>
                <w:lang w:val="en-US" w:eastAsia="zh-CN"/>
              </w:rPr>
              <w:drawing>
                <wp:inline distT="0" distB="0" distL="0" distR="0" wp14:anchorId="6EE0F744" wp14:editId="0460D5BE">
                  <wp:extent cx="276225" cy="180975"/>
                  <wp:effectExtent l="0" t="0" r="952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(TS 38.213)</w:t>
            </w:r>
          </w:p>
          <w:tbl>
            <w:tblPr>
              <w:tblW w:w="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250"/>
            </w:tblGrid>
            <w:tr w:rsidR="002801C1" w14:paraId="71430E91" w14:textId="77777777" w:rsidTr="002801C1">
              <w:trPr>
                <w:trHeight w:val="289"/>
                <w:jc w:val="center"/>
              </w:trPr>
              <w:tc>
                <w:tcPr>
                  <w:tcW w:w="2705"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16B51C8E" w14:textId="42B58A56" w:rsidR="002801C1" w:rsidRDefault="002801C1" w:rsidP="002801C1">
                  <w:pPr>
                    <w:pStyle w:val="TAH"/>
                    <w:rPr>
                      <w:i/>
                    </w:rPr>
                  </w:pPr>
                  <w:r>
                    <w:rPr>
                      <w:noProof/>
                      <w:position w:val="-10"/>
                      <w:lang w:val="en-US" w:eastAsia="zh-CN"/>
                    </w:rPr>
                    <w:drawing>
                      <wp:inline distT="0" distB="0" distL="0" distR="0" wp14:anchorId="477ACCCF" wp14:editId="1693E499">
                        <wp:extent cx="276225" cy="18097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c>
                <w:tcPr>
                  <w:tcW w:w="2250" w:type="dxa"/>
                  <w:tcBorders>
                    <w:top w:val="single" w:sz="4" w:space="0" w:color="auto"/>
                    <w:left w:val="single" w:sz="4" w:space="0" w:color="auto"/>
                    <w:bottom w:val="single" w:sz="4" w:space="0" w:color="auto"/>
                    <w:right w:val="single" w:sz="4" w:space="0" w:color="auto"/>
                  </w:tcBorders>
                  <w:shd w:val="clear" w:color="auto" w:fill="E0E0E0"/>
                  <w:hideMark/>
                </w:tcPr>
                <w:p w14:paraId="3D15329A" w14:textId="6D704196" w:rsidR="002801C1" w:rsidRDefault="002801C1" w:rsidP="002801C1">
                  <w:pPr>
                    <w:pStyle w:val="TAH"/>
                    <w:rPr>
                      <w:i/>
                      <w:szCs w:val="18"/>
                    </w:rPr>
                  </w:pPr>
                  <w:r>
                    <w:rPr>
                      <w:noProof/>
                      <w:position w:val="-10"/>
                      <w:lang w:val="en-US" w:eastAsia="zh-CN"/>
                    </w:rPr>
                    <w:drawing>
                      <wp:inline distT="0" distB="0" distL="0" distR="0" wp14:anchorId="4D100A9F" wp14:editId="724F760A">
                        <wp:extent cx="276225" cy="18097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r>
            <w:tr w:rsidR="002801C1" w14:paraId="68151174"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3492BB99" w14:textId="77777777" w:rsidR="002801C1" w:rsidRDefault="002801C1" w:rsidP="002801C1">
                  <w:pPr>
                    <w:pStyle w:val="TAC"/>
                  </w:pPr>
                  <w:r>
                    <w:t>4</w:t>
                  </w:r>
                </w:p>
              </w:tc>
              <w:tc>
                <w:tcPr>
                  <w:tcW w:w="2250" w:type="dxa"/>
                  <w:tcBorders>
                    <w:top w:val="single" w:sz="4" w:space="0" w:color="auto"/>
                    <w:left w:val="single" w:sz="4" w:space="0" w:color="auto"/>
                    <w:bottom w:val="single" w:sz="4" w:space="0" w:color="auto"/>
                    <w:right w:val="single" w:sz="4" w:space="0" w:color="auto"/>
                  </w:tcBorders>
                  <w:hideMark/>
                </w:tcPr>
                <w:p w14:paraId="7C33BE36" w14:textId="77777777" w:rsidR="002801C1" w:rsidRDefault="002801C1" w:rsidP="002801C1">
                  <w:pPr>
                    <w:pStyle w:val="TAC"/>
                  </w:pPr>
                  <w:r>
                    <w:t>2</w:t>
                  </w:r>
                </w:p>
              </w:tc>
            </w:tr>
            <w:tr w:rsidR="002801C1" w14:paraId="0656030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0B4B8874" w14:textId="77777777" w:rsidR="002801C1" w:rsidRDefault="002801C1" w:rsidP="002801C1">
                  <w:pPr>
                    <w:pStyle w:val="TAC"/>
                  </w:pPr>
                  <w:r>
                    <w:t>8</w:t>
                  </w:r>
                </w:p>
              </w:tc>
              <w:tc>
                <w:tcPr>
                  <w:tcW w:w="2250" w:type="dxa"/>
                  <w:tcBorders>
                    <w:top w:val="single" w:sz="4" w:space="0" w:color="auto"/>
                    <w:left w:val="single" w:sz="4" w:space="0" w:color="auto"/>
                    <w:bottom w:val="single" w:sz="4" w:space="0" w:color="auto"/>
                    <w:right w:val="single" w:sz="4" w:space="0" w:color="auto"/>
                  </w:tcBorders>
                  <w:hideMark/>
                </w:tcPr>
                <w:p w14:paraId="6BBE8089" w14:textId="77777777" w:rsidR="002801C1" w:rsidRDefault="002801C1" w:rsidP="002801C1">
                  <w:pPr>
                    <w:pStyle w:val="TAC"/>
                  </w:pPr>
                  <w:r>
                    <w:t>4</w:t>
                  </w:r>
                </w:p>
              </w:tc>
            </w:tr>
            <w:tr w:rsidR="002801C1" w14:paraId="7EEAA7F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2CBEF5BE" w14:textId="77777777" w:rsidR="002801C1" w:rsidRDefault="002801C1" w:rsidP="002801C1">
                  <w:pPr>
                    <w:pStyle w:val="TAC"/>
                  </w:pPr>
                  <w:r>
                    <w:t>64</w:t>
                  </w:r>
                </w:p>
              </w:tc>
              <w:tc>
                <w:tcPr>
                  <w:tcW w:w="2250" w:type="dxa"/>
                  <w:tcBorders>
                    <w:top w:val="single" w:sz="4" w:space="0" w:color="auto"/>
                    <w:left w:val="single" w:sz="4" w:space="0" w:color="auto"/>
                    <w:bottom w:val="single" w:sz="4" w:space="0" w:color="auto"/>
                    <w:right w:val="single" w:sz="4" w:space="0" w:color="auto"/>
                  </w:tcBorders>
                  <w:hideMark/>
                </w:tcPr>
                <w:p w14:paraId="34E63777" w14:textId="77777777" w:rsidR="002801C1" w:rsidRDefault="002801C1" w:rsidP="002801C1">
                  <w:pPr>
                    <w:pStyle w:val="TAC"/>
                  </w:pPr>
                  <w:r>
                    <w:t>8</w:t>
                  </w:r>
                </w:p>
              </w:tc>
            </w:tr>
          </w:tbl>
          <w:p w14:paraId="0B3AC9D6" w14:textId="77777777" w:rsidR="002801C1" w:rsidRDefault="002801C1" w:rsidP="002801C1">
            <w:pPr>
              <w:pStyle w:val="3GPPText"/>
              <w:rPr>
                <w:sz w:val="20"/>
              </w:rPr>
            </w:pPr>
            <w:r>
              <w:t xml:space="preserve">                   </w:t>
            </w:r>
          </w:p>
          <w:p w14:paraId="695DCA37" w14:textId="77777777" w:rsidR="002801C1" w:rsidRDefault="002801C1" w:rsidP="002801C1">
            <w:pPr>
              <w:pStyle w:val="3GPPText"/>
            </w:pPr>
            <w:r>
              <w:t xml:space="preserve">A potential solution for the above issue could be that if a UE cannot receive the SSBs configured by  </w:t>
            </w:r>
            <w:proofErr w:type="spellStart"/>
            <w:r>
              <w:rPr>
                <w:i/>
                <w:iCs/>
              </w:rPr>
              <w:t>RadioLinkMonitoringConfig</w:t>
            </w:r>
            <w:proofErr w:type="spellEnd"/>
            <w:r>
              <w:rPr>
                <w:i/>
                <w:iCs/>
              </w:rPr>
              <w:t xml:space="preserve"> </w:t>
            </w:r>
            <w:r>
              <w:t xml:space="preserve">for radio link monitoring, but can detect the SSBs from the same serving cell, </w:t>
            </w:r>
            <w:r>
              <w:rPr>
                <w:lang w:eastAsia="zh-CN"/>
              </w:rPr>
              <w:t xml:space="preserve">the UE </w:t>
            </w:r>
            <w:r>
              <w:t xml:space="preserve">will use the detected SSBs with the maximum RSRP from the same serving cell for RLM instead of declaring the RLF. With this approach, it will provide the gNB enough time to re-configure the </w:t>
            </w:r>
            <w:proofErr w:type="spellStart"/>
            <w:r>
              <w:rPr>
                <w:i/>
                <w:iCs/>
              </w:rPr>
              <w:t>RadioLinkMonitoringConfig</w:t>
            </w:r>
            <w:proofErr w:type="spellEnd"/>
            <w:r>
              <w:rPr>
                <w:i/>
                <w:iCs/>
              </w:rPr>
              <w:t xml:space="preserve"> </w:t>
            </w:r>
            <w:r>
              <w:t xml:space="preserve">with the SSBs reported from the UE in RRM measurements, and reduce the probability of triggering the unnecessary RLF procedure. </w:t>
            </w:r>
          </w:p>
          <w:p w14:paraId="42DDB81F" w14:textId="51CF98B6" w:rsidR="002801C1" w:rsidRPr="000D6221" w:rsidRDefault="002801C1" w:rsidP="000D6221">
            <w:pPr>
              <w:pStyle w:val="3GPPText"/>
              <w:rPr>
                <w:b/>
                <w:bCs/>
                <w:i/>
                <w:iCs/>
              </w:rPr>
            </w:pPr>
            <w:r>
              <w:rPr>
                <w:b/>
                <w:bCs/>
                <w:i/>
                <w:iCs/>
              </w:rPr>
              <w:t xml:space="preserve">Proposal 1: </w:t>
            </w:r>
            <w:bookmarkStart w:id="48" w:name="_Hlk71787150"/>
            <w:r>
              <w:rPr>
                <w:b/>
                <w:bCs/>
                <w:i/>
                <w:iCs/>
              </w:rPr>
              <w:t xml:space="preserve">If a UE cannot detect the SSBs configured in </w:t>
            </w:r>
            <w:proofErr w:type="spellStart"/>
            <w:r>
              <w:rPr>
                <w:b/>
                <w:bCs/>
                <w:i/>
                <w:iCs/>
              </w:rPr>
              <w:t>RadioLinkMonitoringConfig</w:t>
            </w:r>
            <w:proofErr w:type="spellEnd"/>
            <w:r>
              <w:rPr>
                <w:b/>
                <w:bCs/>
                <w:i/>
                <w:iCs/>
              </w:rPr>
              <w:t xml:space="preserve"> for radio link monitoring for a serving cell, but it can detect other SSBs from the same serving cell, the UE should use the detected SSBs with the maximum RSRP as the RLM resource</w:t>
            </w:r>
            <w:bookmarkEnd w:id="48"/>
            <w:r>
              <w:rPr>
                <w:b/>
                <w:bCs/>
                <w:i/>
                <w:iCs/>
              </w:rPr>
              <w:t>.</w:t>
            </w:r>
          </w:p>
        </w:tc>
      </w:tr>
    </w:tbl>
    <w:p w14:paraId="5BC0FCD8" w14:textId="15B0C2D0" w:rsidR="006D27B7" w:rsidRPr="006D27B7" w:rsidRDefault="006D27B7" w:rsidP="002753B9">
      <w:pPr>
        <w:rPr>
          <w:b/>
        </w:rPr>
      </w:pPr>
    </w:p>
    <w:p w14:paraId="2814BB3F" w14:textId="5176EB26" w:rsidR="002801C1" w:rsidRDefault="002801C1" w:rsidP="002801C1">
      <w:pPr>
        <w:rPr>
          <w:rFonts w:eastAsia="MS Mincho" w:cs="Batang"/>
          <w:sz w:val="22"/>
          <w:szCs w:val="22"/>
        </w:rPr>
      </w:pPr>
      <w:r>
        <w:rPr>
          <w:rFonts w:eastAsia="MS Mincho" w:cs="Batang"/>
          <w:sz w:val="22"/>
          <w:szCs w:val="22"/>
        </w:rPr>
        <w:t>Based on the above contribution, following TEI proposal can be discussed in RAN1#105-e meeting.</w:t>
      </w:r>
    </w:p>
    <w:p w14:paraId="3E601FF3" w14:textId="77777777" w:rsidR="002801C1" w:rsidRDefault="002801C1" w:rsidP="002801C1">
      <w:pPr>
        <w:rPr>
          <w:rFonts w:ascii="Arial" w:eastAsia="MS Mincho" w:hAnsi="Arial"/>
          <w:sz w:val="32"/>
          <w:szCs w:val="32"/>
        </w:rPr>
      </w:pPr>
    </w:p>
    <w:p w14:paraId="08B692BC" w14:textId="1C201D11" w:rsidR="002801C1" w:rsidRPr="00AD5375" w:rsidRDefault="002801C1" w:rsidP="002801C1">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7</w:t>
      </w:r>
    </w:p>
    <w:p w14:paraId="5F27E786" w14:textId="58ACCD77" w:rsidR="002801C1" w:rsidRDefault="002801C1" w:rsidP="002801C1">
      <w:pPr>
        <w:pStyle w:val="ListParagraph"/>
        <w:numPr>
          <w:ilvl w:val="0"/>
          <w:numId w:val="13"/>
        </w:numPr>
        <w:ind w:leftChars="0"/>
        <w:rPr>
          <w:b/>
        </w:rPr>
      </w:pPr>
      <w:r w:rsidRPr="002801C1">
        <w:rPr>
          <w:rFonts w:eastAsia="MS Mincho" w:cs="Batang"/>
          <w:b/>
          <w:bCs/>
          <w:sz w:val="22"/>
          <w:szCs w:val="22"/>
        </w:rPr>
        <w:t xml:space="preserve">If a UE cannot detect the SSBs configured in </w:t>
      </w:r>
      <w:proofErr w:type="spellStart"/>
      <w:r w:rsidRPr="002801C1">
        <w:rPr>
          <w:rFonts w:eastAsia="MS Mincho" w:cs="Batang"/>
          <w:b/>
          <w:bCs/>
          <w:i/>
          <w:iCs/>
          <w:sz w:val="22"/>
          <w:szCs w:val="22"/>
        </w:rPr>
        <w:t>RadioLinkMonitoringConfig</w:t>
      </w:r>
      <w:proofErr w:type="spellEnd"/>
      <w:r w:rsidRPr="002801C1">
        <w:rPr>
          <w:rFonts w:eastAsia="MS Mincho" w:cs="Batang"/>
          <w:b/>
          <w:bCs/>
          <w:i/>
          <w:iCs/>
          <w:sz w:val="22"/>
          <w:szCs w:val="22"/>
        </w:rPr>
        <w:t xml:space="preserve"> </w:t>
      </w:r>
      <w:r w:rsidRPr="002801C1">
        <w:rPr>
          <w:rFonts w:eastAsia="MS Mincho" w:cs="Batang"/>
          <w:b/>
          <w:bCs/>
          <w:sz w:val="22"/>
          <w:szCs w:val="22"/>
        </w:rPr>
        <w:t>for radio link monitoring for a serving cell, but it can detect other SSBs from the same serving cell, the UE should use the detected SSBs with the maximum RSRP as the RLM resource</w:t>
      </w:r>
    </w:p>
    <w:p w14:paraId="18E9E67C" w14:textId="77777777" w:rsidR="002801C1" w:rsidRDefault="002801C1" w:rsidP="002801C1">
      <w:pPr>
        <w:rPr>
          <w:rFonts w:eastAsia="MS Mincho" w:cs="Batang"/>
          <w:sz w:val="22"/>
          <w:szCs w:val="22"/>
        </w:rPr>
      </w:pPr>
    </w:p>
    <w:p w14:paraId="603BDE9D" w14:textId="61F0D44E" w:rsidR="002801C1" w:rsidRDefault="002801C1" w:rsidP="002801C1">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73D81662" w14:textId="77777777" w:rsidR="002801C1" w:rsidRDefault="002801C1" w:rsidP="002801C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801C1" w14:paraId="341C17D2" w14:textId="77777777" w:rsidTr="000E5170">
        <w:tc>
          <w:tcPr>
            <w:tcW w:w="1945" w:type="dxa"/>
            <w:shd w:val="clear" w:color="auto" w:fill="F2F2F2" w:themeFill="background1" w:themeFillShade="F2"/>
          </w:tcPr>
          <w:p w14:paraId="43DF9647" w14:textId="77777777" w:rsidR="002801C1" w:rsidRDefault="002801C1"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94F230" w14:textId="77777777" w:rsidR="002801C1" w:rsidRDefault="002801C1" w:rsidP="00C64F5D">
            <w:pPr>
              <w:spacing w:afterLines="50" w:after="120"/>
              <w:jc w:val="both"/>
              <w:rPr>
                <w:sz w:val="22"/>
                <w:lang w:val="en-US"/>
              </w:rPr>
            </w:pPr>
            <w:r>
              <w:rPr>
                <w:rFonts w:hint="eastAsia"/>
                <w:sz w:val="22"/>
                <w:lang w:val="en-US"/>
              </w:rPr>
              <w:t>C</w:t>
            </w:r>
            <w:r>
              <w:rPr>
                <w:sz w:val="22"/>
                <w:lang w:val="en-US"/>
              </w:rPr>
              <w:t>omment</w:t>
            </w:r>
          </w:p>
        </w:tc>
      </w:tr>
      <w:tr w:rsidR="002801C1" w14:paraId="2049EB77" w14:textId="77777777" w:rsidTr="000E5170">
        <w:tc>
          <w:tcPr>
            <w:tcW w:w="1945" w:type="dxa"/>
          </w:tcPr>
          <w:p w14:paraId="34CA9AD9" w14:textId="5179EC20" w:rsidR="002801C1" w:rsidRDefault="00C64F5D" w:rsidP="00C64F5D">
            <w:pPr>
              <w:spacing w:afterLines="50" w:after="120"/>
              <w:jc w:val="both"/>
              <w:rPr>
                <w:sz w:val="22"/>
                <w:lang w:val="en-US"/>
              </w:rPr>
            </w:pPr>
            <w:r>
              <w:rPr>
                <w:sz w:val="22"/>
                <w:lang w:val="en-US"/>
              </w:rPr>
              <w:t>vivo</w:t>
            </w:r>
          </w:p>
        </w:tc>
        <w:tc>
          <w:tcPr>
            <w:tcW w:w="7683" w:type="dxa"/>
          </w:tcPr>
          <w:p w14:paraId="5BA33C37" w14:textId="75F80ADE" w:rsidR="002801C1" w:rsidRDefault="00C64F5D" w:rsidP="00C64F5D">
            <w:pPr>
              <w:spacing w:afterLines="50" w:after="120"/>
              <w:jc w:val="both"/>
              <w:rPr>
                <w:sz w:val="22"/>
                <w:lang w:val="en-US"/>
              </w:rPr>
            </w:pPr>
            <w:r w:rsidRPr="00C64F5D">
              <w:rPr>
                <w:sz w:val="22"/>
                <w:lang w:val="en-US"/>
              </w:rPr>
              <w:t xml:space="preserve">In case the configured SSB is not detectable by the UE, the usefulness to use other SSBs for RLM is not clear, since those SSBs not configured to the UE does not reflect the link quality for PDCCH reception for the UE most likely. It is more robust to allow UE to trigger PRACH procedure so that network can reconfigure the RLM SSBs.  </w:t>
            </w:r>
          </w:p>
        </w:tc>
      </w:tr>
      <w:tr w:rsidR="002801C1" w14:paraId="2018B363" w14:textId="77777777" w:rsidTr="000E5170">
        <w:tc>
          <w:tcPr>
            <w:tcW w:w="1945" w:type="dxa"/>
          </w:tcPr>
          <w:p w14:paraId="4EDAF3C5" w14:textId="0AD2389E" w:rsidR="002801C1" w:rsidRDefault="003740BF" w:rsidP="00C64F5D">
            <w:pPr>
              <w:spacing w:afterLines="50" w:after="120"/>
              <w:jc w:val="both"/>
              <w:rPr>
                <w:sz w:val="22"/>
                <w:lang w:val="en-US"/>
              </w:rPr>
            </w:pPr>
            <w:bookmarkStart w:id="49" w:name="_Hlk72335360"/>
            <w:r>
              <w:rPr>
                <w:sz w:val="22"/>
                <w:lang w:val="en-US"/>
              </w:rPr>
              <w:t>CATT</w:t>
            </w:r>
          </w:p>
        </w:tc>
        <w:tc>
          <w:tcPr>
            <w:tcW w:w="7683" w:type="dxa"/>
          </w:tcPr>
          <w:p w14:paraId="4400E478" w14:textId="77777777" w:rsidR="000E5170" w:rsidRDefault="000E5170" w:rsidP="000E5170">
            <w:pPr>
              <w:spacing w:afterLines="50" w:after="120"/>
              <w:rPr>
                <w:sz w:val="22"/>
                <w:lang w:val="en-US"/>
              </w:rPr>
            </w:pPr>
            <w:r>
              <w:rPr>
                <w:sz w:val="22"/>
                <w:lang w:val="en-US"/>
              </w:rPr>
              <w:t xml:space="preserve">Response to </w:t>
            </w:r>
            <w:proofErr w:type="spellStart"/>
            <w:r>
              <w:rPr>
                <w:sz w:val="22"/>
                <w:lang w:val="en-US"/>
              </w:rPr>
              <w:t>vivo’s</w:t>
            </w:r>
            <w:proofErr w:type="spellEnd"/>
            <w:r>
              <w:rPr>
                <w:sz w:val="22"/>
                <w:lang w:val="en-US"/>
              </w:rPr>
              <w:t xml:space="preserve"> comments:</w:t>
            </w:r>
          </w:p>
          <w:p w14:paraId="40C6A79B" w14:textId="471769CB" w:rsidR="003740BF" w:rsidRPr="000E5170" w:rsidRDefault="000E5170" w:rsidP="000E5170">
            <w:r>
              <w:rPr>
                <w:sz w:val="22"/>
                <w:lang w:val="en-US"/>
              </w:rPr>
              <w:t>The issue is caused by the limitation of the number of SSBs</w:t>
            </w:r>
            <w:r w:rsidR="00930D4D">
              <w:rPr>
                <w:sz w:val="22"/>
                <w:lang w:val="en-US"/>
              </w:rPr>
              <w:t xml:space="preserve"> that can be configured for RLM</w:t>
            </w:r>
            <w:r>
              <w:rPr>
                <w:sz w:val="22"/>
                <w:lang w:val="en-US"/>
              </w:rPr>
              <w:t xml:space="preserve">. For example, in FR2 a cell can have up to 64 SSBs, but only up to </w:t>
            </w:r>
            <w:r w:rsidR="00930D4D">
              <w:rPr>
                <w:sz w:val="22"/>
                <w:lang w:val="en-US"/>
              </w:rPr>
              <w:t xml:space="preserve">8 can </w:t>
            </w:r>
            <w:r>
              <w:rPr>
                <w:sz w:val="22"/>
                <w:lang w:val="en-US"/>
              </w:rPr>
              <w:t xml:space="preserve">be configured for RLM. Thus, the chance is </w:t>
            </w:r>
            <w:r w:rsidR="00D7116C">
              <w:rPr>
                <w:sz w:val="22"/>
                <w:lang w:val="en-US"/>
              </w:rPr>
              <w:t xml:space="preserve">very </w:t>
            </w:r>
            <w:r>
              <w:rPr>
                <w:sz w:val="22"/>
                <w:lang w:val="en-US"/>
              </w:rPr>
              <w:t xml:space="preserve">high that a UE </w:t>
            </w:r>
            <w:r w:rsidR="00D7116C">
              <w:rPr>
                <w:sz w:val="22"/>
                <w:lang w:val="en-US"/>
              </w:rPr>
              <w:t xml:space="preserve">can </w:t>
            </w:r>
            <w:r>
              <w:rPr>
                <w:sz w:val="22"/>
                <w:lang w:val="en-US"/>
              </w:rPr>
              <w:t>measure</w:t>
            </w:r>
            <w:r w:rsidR="00D7116C">
              <w:rPr>
                <w:sz w:val="22"/>
                <w:lang w:val="en-US"/>
              </w:rPr>
              <w:t xml:space="preserve"> the </w:t>
            </w:r>
            <w:r>
              <w:rPr>
                <w:sz w:val="22"/>
                <w:lang w:val="en-US"/>
              </w:rPr>
              <w:t xml:space="preserve">strong RSRP from non-RLM SSBs, but not RLM SSBs. In this case, the link quality for </w:t>
            </w:r>
            <w:r w:rsidRPr="00C64F5D">
              <w:rPr>
                <w:sz w:val="22"/>
                <w:lang w:val="en-US"/>
              </w:rPr>
              <w:t xml:space="preserve">PDCCH reception </w:t>
            </w:r>
            <w:r>
              <w:rPr>
                <w:sz w:val="22"/>
                <w:lang w:val="en-US"/>
              </w:rPr>
              <w:t>is still good. Allow</w:t>
            </w:r>
            <w:r w:rsidR="00D7116C">
              <w:rPr>
                <w:sz w:val="22"/>
                <w:lang w:val="en-US"/>
              </w:rPr>
              <w:t>ing</w:t>
            </w:r>
            <w:r>
              <w:rPr>
                <w:sz w:val="22"/>
                <w:lang w:val="en-US"/>
              </w:rPr>
              <w:t xml:space="preserve"> UE to </w:t>
            </w:r>
            <w:r w:rsidR="00D7116C">
              <w:rPr>
                <w:sz w:val="22"/>
                <w:lang w:val="en-US"/>
              </w:rPr>
              <w:t xml:space="preserve">continue </w:t>
            </w:r>
            <w:r>
              <w:rPr>
                <w:sz w:val="22"/>
                <w:lang w:val="en-US"/>
              </w:rPr>
              <w:t>us</w:t>
            </w:r>
            <w:r w:rsidR="00D7116C">
              <w:rPr>
                <w:sz w:val="22"/>
                <w:lang w:val="en-US"/>
              </w:rPr>
              <w:t>ing</w:t>
            </w:r>
            <w:r>
              <w:rPr>
                <w:sz w:val="22"/>
                <w:lang w:val="en-US"/>
              </w:rPr>
              <w:t xml:space="preserve"> the non-RLM SSB with maximum RSRP for RLM will not only avoid triggering</w:t>
            </w:r>
            <w:r w:rsidRPr="003740BF">
              <w:rPr>
                <w:sz w:val="22"/>
                <w:lang w:val="en-US"/>
              </w:rPr>
              <w:t xml:space="preserve"> </w:t>
            </w:r>
            <w:r>
              <w:rPr>
                <w:sz w:val="22"/>
                <w:lang w:val="en-US"/>
              </w:rPr>
              <w:t xml:space="preserve">unnecessarily RLF </w:t>
            </w:r>
            <w:r w:rsidRPr="003740BF">
              <w:rPr>
                <w:sz w:val="22"/>
                <w:lang w:val="en-US"/>
              </w:rPr>
              <w:t>procedure</w:t>
            </w:r>
            <w:r>
              <w:rPr>
                <w:sz w:val="22"/>
                <w:lang w:val="en-US"/>
              </w:rPr>
              <w:t xml:space="preserve">, it also gives gNB </w:t>
            </w:r>
            <w:r w:rsidR="00D7116C">
              <w:rPr>
                <w:sz w:val="22"/>
                <w:lang w:val="en-US"/>
              </w:rPr>
              <w:t xml:space="preserve">the </w:t>
            </w:r>
            <w:r>
              <w:rPr>
                <w:sz w:val="22"/>
                <w:lang w:val="en-US"/>
              </w:rPr>
              <w:t>time to reconfigure the RLM SSBs based on the UE RRM measurements to avoid the connection interruption.</w:t>
            </w:r>
            <w:bookmarkStart w:id="50" w:name="_GoBack"/>
            <w:bookmarkEnd w:id="50"/>
            <w:r>
              <w:rPr>
                <w:sz w:val="22"/>
                <w:lang w:val="en-US"/>
              </w:rPr>
              <w:t xml:space="preserve"> </w:t>
            </w:r>
          </w:p>
        </w:tc>
      </w:tr>
      <w:bookmarkEnd w:id="49"/>
      <w:tr w:rsidR="002801C1" w14:paraId="1A837783" w14:textId="77777777" w:rsidTr="000E5170">
        <w:tc>
          <w:tcPr>
            <w:tcW w:w="1945" w:type="dxa"/>
          </w:tcPr>
          <w:p w14:paraId="6EA69AC7" w14:textId="77777777" w:rsidR="002801C1" w:rsidRDefault="002801C1" w:rsidP="00C64F5D">
            <w:pPr>
              <w:spacing w:afterLines="50" w:after="120"/>
              <w:jc w:val="both"/>
              <w:rPr>
                <w:sz w:val="22"/>
                <w:lang w:val="en-US"/>
              </w:rPr>
            </w:pPr>
          </w:p>
        </w:tc>
        <w:tc>
          <w:tcPr>
            <w:tcW w:w="7683" w:type="dxa"/>
          </w:tcPr>
          <w:p w14:paraId="088CBEE1" w14:textId="77777777" w:rsidR="002801C1" w:rsidRPr="00F740AD" w:rsidRDefault="002801C1" w:rsidP="00C64F5D">
            <w:pPr>
              <w:spacing w:afterLines="50" w:after="120"/>
              <w:jc w:val="both"/>
              <w:rPr>
                <w:sz w:val="22"/>
                <w:lang w:val="en-US"/>
              </w:rPr>
            </w:pPr>
          </w:p>
        </w:tc>
      </w:tr>
    </w:tbl>
    <w:p w14:paraId="408C91CA" w14:textId="51CDB582" w:rsidR="002801C1" w:rsidRDefault="002801C1" w:rsidP="002801C1">
      <w:pPr>
        <w:rPr>
          <w:b/>
        </w:rPr>
      </w:pPr>
    </w:p>
    <w:p w14:paraId="5BB90AFA" w14:textId="64E6EEFC" w:rsidR="00181838" w:rsidRDefault="00181838" w:rsidP="002801C1">
      <w:pPr>
        <w:rPr>
          <w:b/>
        </w:rPr>
      </w:pPr>
    </w:p>
    <w:p w14:paraId="4DEC93EC" w14:textId="0DF73352" w:rsidR="00181838" w:rsidRPr="005953A0" w:rsidRDefault="00181838" w:rsidP="0018183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Periodic SRS transmission outside DRX active time</w:t>
      </w:r>
    </w:p>
    <w:p w14:paraId="07F3A6F8" w14:textId="77777777" w:rsidR="00181838" w:rsidRDefault="00181838" w:rsidP="00181838">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81838" w14:paraId="191B6CA4" w14:textId="77777777" w:rsidTr="00C64F5D">
        <w:tc>
          <w:tcPr>
            <w:tcW w:w="562" w:type="dxa"/>
          </w:tcPr>
          <w:p w14:paraId="29593097" w14:textId="57BC1908" w:rsidR="00181838" w:rsidRPr="0016792D" w:rsidRDefault="00181838"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1242FA5B" w14:textId="77777777" w:rsidR="00181838" w:rsidRPr="00C64F5D" w:rsidRDefault="00181838" w:rsidP="00181838">
            <w:pPr>
              <w:rPr>
                <w:rFonts w:eastAsia="宋体"/>
                <w:sz w:val="22"/>
                <w:lang w:val="en-US"/>
              </w:rPr>
            </w:pPr>
            <w:r w:rsidRPr="00C64F5D">
              <w:rPr>
                <w:rFonts w:hint="eastAsia"/>
                <w:lang w:val="en-US"/>
              </w:rPr>
              <w:t xml:space="preserve">According to NR Rel-15, when a UE is configured with DRX operation, the UE is not required to measure and report periodic and semi-persistent CSI outside the DRX active time. In Rel-16 UE power saving WI, as an enhancement for the DRX operation, a PDCCH-based wake-up signal (WUS), i.e., DCI format 2-6, has been introduced, based on which, the network can </w:t>
            </w:r>
            <w:proofErr w:type="spellStart"/>
            <w:r w:rsidRPr="00C64F5D">
              <w:rPr>
                <w:rFonts w:hint="eastAsia"/>
                <w:lang w:val="en-US"/>
              </w:rPr>
              <w:t>indicat</w:t>
            </w:r>
            <w:proofErr w:type="spellEnd"/>
            <w:r w:rsidRPr="00C64F5D">
              <w:rPr>
                <w:rFonts w:hint="eastAsia"/>
                <w:lang w:val="en-US"/>
              </w:rPr>
              <w:t xml:space="preserve"> the UE whether to start or skip a </w:t>
            </w:r>
            <w:proofErr w:type="spellStart"/>
            <w:r w:rsidRPr="00C64F5D">
              <w:rPr>
                <w:rFonts w:hint="eastAsia"/>
                <w:i/>
                <w:iCs/>
                <w:lang w:val="en-US"/>
              </w:rPr>
              <w:t>drx-onDurationTimer</w:t>
            </w:r>
            <w:proofErr w:type="spellEnd"/>
            <w:r w:rsidRPr="00C64F5D">
              <w:rPr>
                <w:rFonts w:hint="eastAsia"/>
                <w:lang w:val="en-US"/>
              </w:rPr>
              <w:t xml:space="preserve"> for a DRX cycle. In the later stage of Rel-16 discussion, an issue was identified with the periodic and semi-persistent CSI </w:t>
            </w:r>
            <w:proofErr w:type="spellStart"/>
            <w:r w:rsidRPr="00C64F5D">
              <w:rPr>
                <w:rFonts w:hint="eastAsia"/>
                <w:lang w:val="en-US"/>
              </w:rPr>
              <w:t>reproting</w:t>
            </w:r>
            <w:proofErr w:type="spellEnd"/>
            <w:r w:rsidRPr="00C64F5D">
              <w:rPr>
                <w:rFonts w:hint="eastAsia"/>
                <w:lang w:val="en-US"/>
              </w:rPr>
              <w:t xml:space="preserve"> when both DRX and DCI format 2_6 are configured: if the UE is not indicated to wake-up by the network for a long time, e.g., due to DL traffic inactivity, the UE needs to stay outside DRX active time during at least a few DRX cycles, and cannot get a </w:t>
            </w:r>
            <w:proofErr w:type="spellStart"/>
            <w:r w:rsidRPr="00C64F5D">
              <w:rPr>
                <w:rFonts w:hint="eastAsia"/>
                <w:lang w:val="en-US"/>
              </w:rPr>
              <w:t>chace</w:t>
            </w:r>
            <w:proofErr w:type="spellEnd"/>
            <w:r w:rsidRPr="00C64F5D">
              <w:rPr>
                <w:rFonts w:hint="eastAsia"/>
                <w:lang w:val="en-US"/>
              </w:rPr>
              <w:t xml:space="preserve"> to measure and report CSI during that time. Thus, when a new DL traffic arrives later and the UE is woken-up by the network, even the most recent CSI report from the UE is a few DRX cycles ago and may already be stale. This may result in an increased decoding error rate of earlier data packets, until the CSI at the network is updated by a new CSI report from the UE.</w:t>
            </w:r>
          </w:p>
          <w:p w14:paraId="2E8B27DD" w14:textId="77777777" w:rsidR="00181838" w:rsidRPr="00C64F5D" w:rsidRDefault="00181838" w:rsidP="00181838">
            <w:pPr>
              <w:rPr>
                <w:lang w:val="en-US"/>
              </w:rPr>
            </w:pPr>
            <w:r w:rsidRPr="00C64F5D">
              <w:rPr>
                <w:rFonts w:hint="eastAsia"/>
                <w:lang w:val="en-US"/>
              </w:rPr>
              <w:t xml:space="preserve">To address this issue, in Rel-16, when both DRX and DCI format 2_6 are configured, it was agreed to allow measurement and reporting for periodic CSI during the time duration indicated by </w:t>
            </w:r>
            <w:proofErr w:type="spellStart"/>
            <w:r w:rsidRPr="00C64F5D">
              <w:rPr>
                <w:rFonts w:hint="eastAsia"/>
                <w:lang w:val="en-US"/>
              </w:rPr>
              <w:t>drx-onDurationTimer</w:t>
            </w:r>
            <w:proofErr w:type="spellEnd"/>
            <w:r w:rsidRPr="00C64F5D">
              <w:rPr>
                <w:rFonts w:hint="eastAsia"/>
                <w:lang w:val="en-US"/>
              </w:rPr>
              <w:t xml:space="preserve"> outside DRX active time. Two new higher layer parameters, </w:t>
            </w:r>
            <w:r w:rsidRPr="00C64F5D">
              <w:rPr>
                <w:rFonts w:hint="eastAsia"/>
                <w:i/>
                <w:iCs/>
                <w:lang w:val="en-US"/>
              </w:rPr>
              <w:t>ps-TransmitPeriodicL1-RSRP-r16</w:t>
            </w:r>
            <w:r w:rsidRPr="00C64F5D">
              <w:rPr>
                <w:rFonts w:hint="eastAsia"/>
                <w:lang w:val="en-US"/>
              </w:rPr>
              <w:t xml:space="preserve"> and </w:t>
            </w:r>
            <w:r w:rsidRPr="00C64F5D">
              <w:rPr>
                <w:rFonts w:hint="eastAsia"/>
                <w:i/>
                <w:iCs/>
                <w:lang w:val="en-US"/>
              </w:rPr>
              <w:t>ps-TransmitOtherPeriodicCSI-r16</w:t>
            </w:r>
            <w:r w:rsidRPr="00C64F5D">
              <w:rPr>
                <w:rFonts w:hint="eastAsia"/>
                <w:lang w:val="en-US"/>
              </w:rPr>
              <w:t xml:space="preserve">, are introduced for </w:t>
            </w:r>
            <w:proofErr w:type="spellStart"/>
            <w:r w:rsidRPr="00C64F5D">
              <w:rPr>
                <w:rFonts w:hint="eastAsia"/>
                <w:lang w:val="en-US"/>
              </w:rPr>
              <w:t>separat</w:t>
            </w:r>
            <w:proofErr w:type="spellEnd"/>
            <w:r>
              <w:t>e</w:t>
            </w:r>
            <w:proofErr w:type="spellStart"/>
            <w:r w:rsidRPr="00C64F5D">
              <w:rPr>
                <w:rFonts w:hint="eastAsia"/>
                <w:lang w:val="en-US"/>
              </w:rPr>
              <w:t>ly</w:t>
            </w:r>
            <w:proofErr w:type="spellEnd"/>
            <w:r w:rsidRPr="00C64F5D">
              <w:rPr>
                <w:rFonts w:hint="eastAsia"/>
                <w:lang w:val="en-US"/>
              </w:rPr>
              <w:t xml:space="preserve"> enabling CSI reporting for L1-RSRP (i.e., cri-RSRP and </w:t>
            </w:r>
            <w:proofErr w:type="spellStart"/>
            <w:r w:rsidRPr="00C64F5D">
              <w:rPr>
                <w:rFonts w:hint="eastAsia"/>
                <w:lang w:val="en-US"/>
              </w:rPr>
              <w:t>ssb</w:t>
            </w:r>
            <w:proofErr w:type="spellEnd"/>
            <w:r w:rsidRPr="00C64F5D">
              <w:rPr>
                <w:rFonts w:hint="eastAsia"/>
                <w:lang w:val="en-US"/>
              </w:rPr>
              <w:t>-Index-RSRP) and other report quantities, respectively, outside DRX active time.</w:t>
            </w:r>
          </w:p>
          <w:p w14:paraId="2B85029B" w14:textId="77777777" w:rsidR="00181838" w:rsidRDefault="00181838" w:rsidP="00181838">
            <w:pPr>
              <w:rPr>
                <w:lang w:val="en-US"/>
              </w:rPr>
            </w:pPr>
            <w:r>
              <w:t>Like periodic and semi-persistent CSI reporting, in Rel-15, the UE is not required to transmit periodic SRS and semi-persistent SRS outside the DRX active time. Thus, when the UE is configured with DRX and DCI format 2_6, the same issue aforementioned for CSI reporting persists for SRS transmission; the UE may not get an opportunity to transmit SRS for a very long time outside DRX active time. When SRS is used for either DL or UL channel sounding, this may impact the overall system performance. In Rel-16, nevertheless, only the issue of CSI reporting outside DRX active time was addressed, while the issue with SRS transmission was overlooked.</w:t>
            </w:r>
          </w:p>
          <w:p w14:paraId="28C1CC6D" w14:textId="77777777" w:rsidR="00181838" w:rsidRDefault="00181838" w:rsidP="00181838">
            <w:r>
              <w:t>Although periodic CSI reporting outside active time can help keep the CSI updated, it may not be sufficient in some case. For example, without channel reciprocity, the network should rely on SRS to assess UL channels. With channel reciprocity, relying on SRS for DL channel sounding may be more power efficient from the UE perspective, since the UE is not required to measure CSI-RS and compute the CSI report. Also, for SUL, SRS may be the only resource that the network can assess the UL channel. Therefore, it seems necessary to allow a UE to transmit SRS outside DRX active time, when the UE is configured to monitor DCI format 2_6.</w:t>
            </w:r>
          </w:p>
          <w:p w14:paraId="119B97CE" w14:textId="51007F84" w:rsidR="00181838" w:rsidRPr="00181838" w:rsidRDefault="00181838" w:rsidP="00181838">
            <w:pPr>
              <w:pStyle w:val="Caption"/>
            </w:pPr>
            <w:bookmarkStart w:id="51" w:name="Proposal_4"/>
            <w:r>
              <w:t xml:space="preserve">Proposal </w:t>
            </w:r>
            <w:r>
              <w:fldChar w:fldCharType="begin"/>
            </w:r>
            <w:r>
              <w:instrText xml:space="preserve"> SEQ Proposal \* ARABIC </w:instrText>
            </w:r>
            <w:r>
              <w:fldChar w:fldCharType="separate"/>
            </w:r>
            <w:r>
              <w:rPr>
                <w:noProof/>
              </w:rPr>
              <w:t>4</w:t>
            </w:r>
            <w:r>
              <w:fldChar w:fldCharType="end"/>
            </w:r>
            <w:r>
              <w:t xml:space="preserve">: When UE is configured with DRX and to monitor DCI format 2_6, it can also be configured to transmit at least periodic SRS outside DRX active time during the time duration indicated by </w:t>
            </w:r>
            <w:proofErr w:type="spellStart"/>
            <w:r>
              <w:rPr>
                <w:i/>
                <w:iCs/>
              </w:rPr>
              <w:t>drx-onDurationTimer</w:t>
            </w:r>
            <w:proofErr w:type="spellEnd"/>
            <w:r>
              <w:t>.</w:t>
            </w:r>
            <w:bookmarkEnd w:id="51"/>
          </w:p>
        </w:tc>
      </w:tr>
    </w:tbl>
    <w:p w14:paraId="0A6B3568" w14:textId="77777777" w:rsidR="00181838" w:rsidRPr="00802399" w:rsidRDefault="00181838" w:rsidP="002801C1">
      <w:pPr>
        <w:rPr>
          <w:b/>
        </w:rPr>
      </w:pPr>
    </w:p>
    <w:p w14:paraId="607B345B" w14:textId="77777777" w:rsidR="00181838" w:rsidRDefault="00181838" w:rsidP="00181838">
      <w:pPr>
        <w:rPr>
          <w:rFonts w:eastAsia="MS Mincho" w:cs="Batang"/>
          <w:sz w:val="22"/>
          <w:szCs w:val="22"/>
        </w:rPr>
      </w:pPr>
      <w:r>
        <w:rPr>
          <w:rFonts w:eastAsia="MS Mincho" w:cs="Batang"/>
          <w:sz w:val="22"/>
          <w:szCs w:val="22"/>
        </w:rPr>
        <w:t>Based on the above contribution, following TEI proposal can be discussed in RAN1#105-e meeting.</w:t>
      </w:r>
    </w:p>
    <w:p w14:paraId="7194677D" w14:textId="77777777" w:rsidR="00181838" w:rsidRDefault="00181838" w:rsidP="00181838">
      <w:pPr>
        <w:rPr>
          <w:rFonts w:ascii="Arial" w:eastAsia="MS Mincho" w:hAnsi="Arial"/>
          <w:sz w:val="32"/>
          <w:szCs w:val="32"/>
        </w:rPr>
      </w:pPr>
    </w:p>
    <w:p w14:paraId="65531DD8" w14:textId="0EC638D3" w:rsidR="00181838" w:rsidRPr="00AD5375" w:rsidRDefault="00181838" w:rsidP="00181838">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8</w:t>
      </w:r>
    </w:p>
    <w:p w14:paraId="40ACD5FD" w14:textId="4F5D0E98" w:rsidR="00181838" w:rsidRDefault="00181838" w:rsidP="00181838">
      <w:pPr>
        <w:pStyle w:val="ListParagraph"/>
        <w:numPr>
          <w:ilvl w:val="0"/>
          <w:numId w:val="13"/>
        </w:numPr>
        <w:ind w:leftChars="0"/>
        <w:rPr>
          <w:b/>
        </w:rPr>
      </w:pPr>
      <w:r w:rsidRPr="00181838">
        <w:rPr>
          <w:rFonts w:eastAsia="MS Mincho" w:cs="Batang"/>
          <w:b/>
          <w:bCs/>
          <w:sz w:val="22"/>
          <w:szCs w:val="22"/>
        </w:rPr>
        <w:t xml:space="preserve">When UE is configured with DRX and to monitor DCI format 2_6, it can also be configured to transmit at least periodic SRS outside DRX active time during the time duration indicated by </w:t>
      </w:r>
      <w:proofErr w:type="spellStart"/>
      <w:r w:rsidRPr="00181838">
        <w:rPr>
          <w:rFonts w:eastAsia="MS Mincho" w:cs="Batang"/>
          <w:b/>
          <w:bCs/>
          <w:i/>
          <w:iCs/>
          <w:sz w:val="22"/>
          <w:szCs w:val="22"/>
        </w:rPr>
        <w:t>drx-onDurationTimer</w:t>
      </w:r>
      <w:proofErr w:type="spellEnd"/>
      <w:r w:rsidRPr="00181838">
        <w:rPr>
          <w:rFonts w:eastAsia="MS Mincho" w:cs="Batang"/>
          <w:b/>
          <w:bCs/>
          <w:sz w:val="22"/>
          <w:szCs w:val="22"/>
        </w:rPr>
        <w:t>.</w:t>
      </w:r>
    </w:p>
    <w:p w14:paraId="419A21AD" w14:textId="77777777" w:rsidR="00181838" w:rsidRDefault="00181838" w:rsidP="00181838">
      <w:pPr>
        <w:rPr>
          <w:rFonts w:eastAsia="MS Mincho" w:cs="Batang"/>
          <w:sz w:val="22"/>
          <w:szCs w:val="22"/>
        </w:rPr>
      </w:pPr>
    </w:p>
    <w:p w14:paraId="510AD0B9" w14:textId="5F5479D3" w:rsidR="00181838" w:rsidRDefault="00181838" w:rsidP="00181838">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26F6321C" w14:textId="77777777" w:rsidR="00181838" w:rsidRDefault="00181838" w:rsidP="0018183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181838" w14:paraId="6E2C4397" w14:textId="77777777" w:rsidTr="00C64F5D">
        <w:tc>
          <w:tcPr>
            <w:tcW w:w="1945" w:type="dxa"/>
            <w:shd w:val="clear" w:color="auto" w:fill="F2F2F2" w:themeFill="background1" w:themeFillShade="F2"/>
          </w:tcPr>
          <w:p w14:paraId="4DED1B09" w14:textId="77777777" w:rsidR="00181838" w:rsidRDefault="00181838"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331152" w14:textId="77777777" w:rsidR="00181838" w:rsidRDefault="00181838" w:rsidP="00C64F5D">
            <w:pPr>
              <w:spacing w:afterLines="50" w:after="120"/>
              <w:jc w:val="both"/>
              <w:rPr>
                <w:sz w:val="22"/>
                <w:lang w:val="en-US"/>
              </w:rPr>
            </w:pPr>
            <w:r>
              <w:rPr>
                <w:rFonts w:hint="eastAsia"/>
                <w:sz w:val="22"/>
                <w:lang w:val="en-US"/>
              </w:rPr>
              <w:t>C</w:t>
            </w:r>
            <w:r>
              <w:rPr>
                <w:sz w:val="22"/>
                <w:lang w:val="en-US"/>
              </w:rPr>
              <w:t>omment</w:t>
            </w:r>
          </w:p>
        </w:tc>
      </w:tr>
      <w:tr w:rsidR="00181838" w14:paraId="5EDD1376" w14:textId="77777777" w:rsidTr="00C64F5D">
        <w:tc>
          <w:tcPr>
            <w:tcW w:w="1945" w:type="dxa"/>
          </w:tcPr>
          <w:p w14:paraId="3329D8AA" w14:textId="77777777" w:rsidR="00181838" w:rsidRDefault="00181838" w:rsidP="00C64F5D">
            <w:pPr>
              <w:spacing w:afterLines="50" w:after="120"/>
              <w:jc w:val="both"/>
              <w:rPr>
                <w:sz w:val="22"/>
                <w:lang w:val="en-US"/>
              </w:rPr>
            </w:pPr>
          </w:p>
        </w:tc>
        <w:tc>
          <w:tcPr>
            <w:tcW w:w="7683" w:type="dxa"/>
          </w:tcPr>
          <w:p w14:paraId="6769BF4E" w14:textId="30A5C7AB" w:rsidR="00181838" w:rsidRDefault="00181838" w:rsidP="00C64F5D">
            <w:pPr>
              <w:spacing w:afterLines="50" w:after="120"/>
              <w:jc w:val="both"/>
              <w:rPr>
                <w:sz w:val="22"/>
                <w:lang w:val="en-US"/>
              </w:rPr>
            </w:pPr>
          </w:p>
        </w:tc>
      </w:tr>
      <w:tr w:rsidR="00181838" w14:paraId="77341D17" w14:textId="77777777" w:rsidTr="00C64F5D">
        <w:tc>
          <w:tcPr>
            <w:tcW w:w="1945" w:type="dxa"/>
          </w:tcPr>
          <w:p w14:paraId="624086EF" w14:textId="77777777" w:rsidR="00181838" w:rsidRDefault="00181838" w:rsidP="00C64F5D">
            <w:pPr>
              <w:spacing w:afterLines="50" w:after="120"/>
              <w:jc w:val="both"/>
              <w:rPr>
                <w:sz w:val="22"/>
                <w:lang w:val="en-US"/>
              </w:rPr>
            </w:pPr>
          </w:p>
        </w:tc>
        <w:tc>
          <w:tcPr>
            <w:tcW w:w="7683" w:type="dxa"/>
          </w:tcPr>
          <w:p w14:paraId="60855C55" w14:textId="77777777" w:rsidR="00181838" w:rsidRPr="00F740AD" w:rsidRDefault="00181838" w:rsidP="00C64F5D">
            <w:pPr>
              <w:spacing w:afterLines="50" w:after="120"/>
              <w:jc w:val="both"/>
              <w:rPr>
                <w:sz w:val="22"/>
                <w:lang w:val="en-US"/>
              </w:rPr>
            </w:pPr>
          </w:p>
        </w:tc>
      </w:tr>
      <w:tr w:rsidR="00181838" w14:paraId="32ED104F" w14:textId="77777777" w:rsidTr="00C64F5D">
        <w:tc>
          <w:tcPr>
            <w:tcW w:w="1945" w:type="dxa"/>
          </w:tcPr>
          <w:p w14:paraId="254CF0FF" w14:textId="77777777" w:rsidR="00181838" w:rsidRDefault="00181838" w:rsidP="00C64F5D">
            <w:pPr>
              <w:spacing w:afterLines="50" w:after="120"/>
              <w:jc w:val="both"/>
              <w:rPr>
                <w:sz w:val="22"/>
                <w:lang w:val="en-US"/>
              </w:rPr>
            </w:pPr>
          </w:p>
        </w:tc>
        <w:tc>
          <w:tcPr>
            <w:tcW w:w="7683" w:type="dxa"/>
          </w:tcPr>
          <w:p w14:paraId="13C62102" w14:textId="77777777" w:rsidR="00181838" w:rsidRPr="00F740AD" w:rsidRDefault="00181838" w:rsidP="00C64F5D">
            <w:pPr>
              <w:spacing w:afterLines="50" w:after="120"/>
              <w:jc w:val="both"/>
              <w:rPr>
                <w:sz w:val="22"/>
                <w:lang w:val="en-US"/>
              </w:rPr>
            </w:pPr>
          </w:p>
        </w:tc>
      </w:tr>
    </w:tbl>
    <w:p w14:paraId="392E5EF5" w14:textId="689647F7" w:rsidR="006D27B7" w:rsidRDefault="006D27B7" w:rsidP="002753B9">
      <w:pPr>
        <w:rPr>
          <w:b/>
        </w:rPr>
      </w:pPr>
    </w:p>
    <w:p w14:paraId="6853AE1D" w14:textId="6D4B7123" w:rsidR="004B3046" w:rsidRDefault="004B3046" w:rsidP="002753B9">
      <w:pPr>
        <w:rPr>
          <w:b/>
        </w:rPr>
      </w:pPr>
    </w:p>
    <w:p w14:paraId="02404D6B" w14:textId="77E6C587" w:rsidR="004B3046" w:rsidRDefault="004B3046" w:rsidP="002753B9">
      <w:pPr>
        <w:rPr>
          <w:b/>
        </w:rPr>
      </w:pPr>
    </w:p>
    <w:p w14:paraId="63AC1436" w14:textId="76B6EC36" w:rsidR="004B3046" w:rsidRPr="004B3046" w:rsidRDefault="004B3046" w:rsidP="004B304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4B3046">
        <w:rPr>
          <w:rFonts w:ascii="Arial" w:eastAsia="MS Mincho" w:hAnsi="Arial"/>
          <w:sz w:val="28"/>
          <w:szCs w:val="32"/>
          <w:lang w:val="en-US"/>
        </w:rPr>
        <w:t>Joint configuration of DRX groups and Rel-16 power saving features</w:t>
      </w:r>
    </w:p>
    <w:p w14:paraId="5B905261" w14:textId="77777777" w:rsidR="004B3046" w:rsidRDefault="004B3046" w:rsidP="004B3046">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B3046" w14:paraId="02666753" w14:textId="77777777" w:rsidTr="00C64F5D">
        <w:tc>
          <w:tcPr>
            <w:tcW w:w="562" w:type="dxa"/>
          </w:tcPr>
          <w:p w14:paraId="4AB52941" w14:textId="32ECB509" w:rsidR="004B3046" w:rsidRPr="0016792D" w:rsidRDefault="004B3046"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71F5C706" w14:textId="77777777" w:rsidR="004B3046" w:rsidRDefault="004B3046" w:rsidP="004B3046">
            <w:pPr>
              <w:rPr>
                <w:rFonts w:eastAsia="宋体"/>
                <w:sz w:val="22"/>
              </w:rPr>
            </w:pPr>
            <w:r>
              <w:t xml:space="preserve">The feature of DRX groups was discussed under TEI16 in RAN2 as a solution to reduce power consumption when UE is configured with FR1+FR2 CA, and agreed in RAN#88-e. During the discussion, RAN4 confirmed that there is minimal impact on their specs </w:t>
            </w:r>
            <w:r>
              <w:fldChar w:fldCharType="begin"/>
            </w:r>
            <w:r>
              <w:instrText xml:space="preserve"> REF _Ref70593497 \r \h </w:instrText>
            </w:r>
            <w:r>
              <w:fldChar w:fldCharType="separate"/>
            </w:r>
            <w:r>
              <w:t>[4]</w:t>
            </w:r>
            <w:r>
              <w:fldChar w:fldCharType="end"/>
            </w:r>
            <w:r>
              <w:t xml:space="preserve">. On the other hand, RAN1 could not reach a consensus </w:t>
            </w:r>
            <w:r>
              <w:fldChar w:fldCharType="begin"/>
            </w:r>
            <w:r>
              <w:instrText xml:space="preserve"> REF _Ref70593508 \r \h </w:instrText>
            </w:r>
            <w:r>
              <w:fldChar w:fldCharType="separate"/>
            </w:r>
            <w:r>
              <w:t>[5]</w:t>
            </w:r>
            <w:r>
              <w:fldChar w:fldCharType="end"/>
            </w:r>
            <w:r>
              <w:t xml:space="preserve"> on whether it may have any impact on other Rel-16 power saving features. As a way-forward, it was agreed that in Rel-16 DRX groups cannot be jointly configured with WUS or </w:t>
            </w:r>
            <w:proofErr w:type="spellStart"/>
            <w:r>
              <w:t>SCell</w:t>
            </w:r>
            <w:proofErr w:type="spellEnd"/>
            <w:r>
              <w:t xml:space="preserve"> dormancy.</w:t>
            </w:r>
          </w:p>
          <w:p w14:paraId="7CE1131C" w14:textId="77777777" w:rsidR="004B3046" w:rsidRDefault="004B3046" w:rsidP="004B3046">
            <w:r>
              <w:t xml:space="preserve">Later, in RAN #90-e, it was further discussed whether to continue the discussion on the enhancement of DRX groups in Rel-17 UE power saving WI, focusing on the joint configuration with WUS or </w:t>
            </w:r>
            <w:proofErr w:type="spellStart"/>
            <w:r>
              <w:t>SCell</w:t>
            </w:r>
            <w:proofErr w:type="spellEnd"/>
            <w:r>
              <w:t xml:space="preserve"> dormancy. However, due to the concern on the limited TU for Rel-17 UE power saving WI, no consensus was made in RAN #90-e. In our view, the discussion on the enhancement of DRX groups should be continued due to the evident power saving benefits, and Rel-17 TEI should handle it.</w:t>
            </w:r>
          </w:p>
          <w:p w14:paraId="61A70298" w14:textId="77777777" w:rsidR="004B3046" w:rsidRDefault="004B3046" w:rsidP="004B3046">
            <w:pPr>
              <w:snapToGrid w:val="0"/>
              <w:ind w:left="1440" w:hanging="1440"/>
              <w:rPr>
                <w:b/>
                <w:bCs/>
              </w:rPr>
            </w:pPr>
          </w:p>
          <w:p w14:paraId="5F1B70EF" w14:textId="77777777" w:rsidR="004B3046" w:rsidRDefault="004B3046" w:rsidP="004B3046">
            <w:pPr>
              <w:rPr>
                <w:b/>
                <w:bCs/>
                <w:u w:val="single"/>
                <w:lang w:val="en-US"/>
              </w:rPr>
            </w:pPr>
            <w:r>
              <w:rPr>
                <w:b/>
                <w:bCs/>
                <w:u w:val="single"/>
              </w:rPr>
              <w:t>Joint configuration of DRX group and WUS</w:t>
            </w:r>
          </w:p>
          <w:p w14:paraId="3AC87A5C" w14:textId="77777777" w:rsidR="004B3046" w:rsidRDefault="004B3046" w:rsidP="004B3046">
            <w:r>
              <w:t xml:space="preserve">It is easily expected that additional power can be saved if DRX group and WUS can be configured together. For example, suppose WUS configured on </w:t>
            </w:r>
            <w:proofErr w:type="spellStart"/>
            <w:r>
              <w:t>SpCell</w:t>
            </w:r>
            <w:proofErr w:type="spellEnd"/>
            <w:r>
              <w:t xml:space="preserve"> indicates to UE whether it should wake up for next on duration or not. Then skipping on durations when there is no data can help UE save extra power on top of savings enabled by DRX groups, in the same way as how WUS saves UE power if there is only single DRX group. In Appendix A.2 of </w:t>
            </w:r>
            <w:r>
              <w:fldChar w:fldCharType="begin"/>
            </w:r>
            <w:r>
              <w:instrText xml:space="preserve"> REF _Ref57217916 \r \h </w:instrText>
            </w:r>
            <w:r>
              <w:fldChar w:fldCharType="separate"/>
            </w:r>
            <w:r>
              <w:t>[6]</w:t>
            </w:r>
            <w:r>
              <w:fldChar w:fldCharType="end"/>
            </w:r>
            <w:r>
              <w:t>, we provide a quantitative analysis on the power savings that can be achieved by joint configuration, compared with the baseline in which WUS is not configured. The analysis shows that ~82% more power can be saved per DRX cycle than the baseline when there is no data and ~18% when there is data.</w:t>
            </w:r>
          </w:p>
          <w:p w14:paraId="380AE6BA" w14:textId="77777777" w:rsidR="004B3046" w:rsidRDefault="004B3046" w:rsidP="004B3046">
            <w:pPr>
              <w:pStyle w:val="Caption"/>
            </w:pPr>
            <w:bookmarkStart w:id="52" w:name="_Hlk57121077"/>
            <w:bookmarkStart w:id="53" w:name="Observation_1"/>
            <w:r>
              <w:t xml:space="preserve">Observation </w:t>
            </w:r>
            <w:r>
              <w:fldChar w:fldCharType="begin"/>
            </w:r>
            <w:r>
              <w:instrText xml:space="preserve"> SEQ Observation \* ARABIC </w:instrText>
            </w:r>
            <w:r>
              <w:fldChar w:fldCharType="separate"/>
            </w:r>
            <w:r>
              <w:rPr>
                <w:noProof/>
              </w:rPr>
              <w:t>1</w:t>
            </w:r>
            <w:r>
              <w:fldChar w:fldCharType="end"/>
            </w:r>
            <w:r>
              <w:t>: If WUS and DRX groups are jointly configured, UE can save extra ~82% power per DRX cycle when there is no data and ~18% when there is data.</w:t>
            </w:r>
          </w:p>
          <w:bookmarkEnd w:id="52"/>
          <w:bookmarkEnd w:id="53"/>
          <w:p w14:paraId="1542361B" w14:textId="77777777" w:rsidR="004B3046" w:rsidRDefault="004B3046" w:rsidP="004B3046">
            <w:pPr>
              <w:spacing w:after="120"/>
            </w:pPr>
            <w:r>
              <w:t xml:space="preserve">If we have to minimize the impact of joint configuration of DRX group and WUS in RAN1, then the existing UE </w:t>
            </w:r>
            <w:proofErr w:type="spellStart"/>
            <w:r>
              <w:t>behaviors</w:t>
            </w:r>
            <w:proofErr w:type="spellEnd"/>
            <w:r>
              <w:t xml:space="preserve"> need to be reused as much as possible. More specifically, </w:t>
            </w:r>
          </w:p>
          <w:p w14:paraId="282256B1" w14:textId="77777777" w:rsidR="004B3046" w:rsidRDefault="004B3046" w:rsidP="00B650B3">
            <w:pPr>
              <w:pStyle w:val="ListParagraph"/>
              <w:numPr>
                <w:ilvl w:val="0"/>
                <w:numId w:val="21"/>
              </w:numPr>
              <w:spacing w:after="200"/>
              <w:ind w:leftChars="0" w:left="540" w:hanging="270"/>
              <w:contextualSpacing/>
            </w:pPr>
            <w:r>
              <w:t xml:space="preserve">WUS should be configured only on </w:t>
            </w:r>
            <w:proofErr w:type="spellStart"/>
            <w:r>
              <w:t>SpCell</w:t>
            </w:r>
            <w:proofErr w:type="spellEnd"/>
            <w:r>
              <w:t>, as in legacy;</w:t>
            </w:r>
          </w:p>
          <w:p w14:paraId="48649692" w14:textId="77777777" w:rsidR="004B3046" w:rsidRDefault="004B3046" w:rsidP="00B650B3">
            <w:pPr>
              <w:pStyle w:val="ListParagraph"/>
              <w:numPr>
                <w:ilvl w:val="0"/>
                <w:numId w:val="21"/>
              </w:numPr>
              <w:spacing w:after="0"/>
              <w:ind w:leftChars="0" w:left="540" w:hanging="270"/>
              <w:contextualSpacing/>
            </w:pPr>
            <w:r>
              <w:t xml:space="preserve">Conditions for WUS monitoring is completely determined by DRX state of </w:t>
            </w:r>
            <w:proofErr w:type="spellStart"/>
            <w:r>
              <w:t>SpCell</w:t>
            </w:r>
            <w:proofErr w:type="spellEnd"/>
            <w:r>
              <w:t xml:space="preserve"> and independent from DRX state of the secondary DRX group. For example, UE monitors WUS if </w:t>
            </w:r>
            <w:proofErr w:type="spellStart"/>
            <w:r>
              <w:t>SpCell</w:t>
            </w:r>
            <w:proofErr w:type="spellEnd"/>
            <w:r>
              <w:t xml:space="preserve"> is not in DRX active time, even if secondary DRX group is in DRX active time at the same time. This requirement avoids changes to the RAN1 spec;</w:t>
            </w:r>
          </w:p>
          <w:p w14:paraId="55F149D0" w14:textId="77777777" w:rsidR="004B3046" w:rsidRDefault="004B3046" w:rsidP="00B650B3">
            <w:pPr>
              <w:pStyle w:val="ListParagraph"/>
              <w:numPr>
                <w:ilvl w:val="0"/>
                <w:numId w:val="21"/>
              </w:numPr>
              <w:spacing w:after="0"/>
              <w:ind w:leftChars="0" w:left="540" w:hanging="270"/>
              <w:contextualSpacing/>
            </w:pPr>
            <w:r>
              <w:t xml:space="preserve">If WUS is not received or does not indicate wakeup, none of UE’s carriers should wake up, as in legacy;  </w:t>
            </w:r>
          </w:p>
          <w:p w14:paraId="24A9842F" w14:textId="77777777" w:rsidR="004B3046" w:rsidRDefault="004B3046" w:rsidP="00B650B3">
            <w:pPr>
              <w:pStyle w:val="ListParagraph"/>
              <w:numPr>
                <w:ilvl w:val="0"/>
                <w:numId w:val="21"/>
              </w:numPr>
              <w:spacing w:after="0"/>
              <w:ind w:leftChars="0" w:left="548" w:hanging="274"/>
              <w:contextualSpacing/>
            </w:pPr>
            <w:r>
              <w:t xml:space="preserve">If a WUS occasion is not monitored (e.g., </w:t>
            </w:r>
            <w:proofErr w:type="spellStart"/>
            <w:r>
              <w:t>SpCell</w:t>
            </w:r>
            <w:proofErr w:type="spellEnd"/>
            <w:r>
              <w:t xml:space="preserve"> is already in DRX active time) or WUS indicates wakeup, UE should start DRX on duration timers of both DRX groups at their respective next occurrence. This </w:t>
            </w:r>
            <w:proofErr w:type="spellStart"/>
            <w:r>
              <w:t>behavior</w:t>
            </w:r>
            <w:proofErr w:type="spellEnd"/>
            <w:r>
              <w:t xml:space="preserve"> can be captured in RAN2 MAC specification. Note that this </w:t>
            </w:r>
            <w:proofErr w:type="spellStart"/>
            <w:r>
              <w:t>behavior</w:t>
            </w:r>
            <w:proofErr w:type="spellEnd"/>
            <w:r>
              <w:t xml:space="preserve"> works even in the corner case where FR1 (</w:t>
            </w:r>
            <w:proofErr w:type="spellStart"/>
            <w:r>
              <w:t>SpCell</w:t>
            </w:r>
            <w:proofErr w:type="spellEnd"/>
            <w:r>
              <w:t>) is outside DRX active time but FR2 is within DRX active time.</w:t>
            </w:r>
          </w:p>
          <w:p w14:paraId="1640CDD4" w14:textId="77777777" w:rsidR="004B3046" w:rsidRDefault="004B3046" w:rsidP="004B3046">
            <w:pPr>
              <w:spacing w:after="120"/>
            </w:pPr>
            <w:r>
              <w:t xml:space="preserve">As one may see from the above, no new PHY-layer </w:t>
            </w:r>
            <w:proofErr w:type="spellStart"/>
            <w:r>
              <w:t>behaviors</w:t>
            </w:r>
            <w:proofErr w:type="spellEnd"/>
            <w:r>
              <w:t xml:space="preserve"> need to be defined. We only need to add the following clarifications to the RAN1 standards:</w:t>
            </w:r>
          </w:p>
          <w:p w14:paraId="4F24EDD2" w14:textId="77777777" w:rsidR="004B3046" w:rsidRDefault="004B3046" w:rsidP="00B650B3">
            <w:pPr>
              <w:pStyle w:val="ListParagraph"/>
              <w:numPr>
                <w:ilvl w:val="0"/>
                <w:numId w:val="22"/>
              </w:numPr>
              <w:spacing w:after="200"/>
              <w:ind w:leftChars="0" w:left="540" w:hanging="270"/>
              <w:contextualSpacing/>
            </w:pPr>
            <w:r>
              <w:t>Clarify that, if secondary DRX group is configured, DRX active time for a serving cell refers to DRX active time of its associated DRX group;</w:t>
            </w:r>
          </w:p>
          <w:p w14:paraId="56C466C8" w14:textId="77777777" w:rsidR="004B3046" w:rsidRDefault="004B3046" w:rsidP="00B650B3">
            <w:pPr>
              <w:pStyle w:val="ListParagraph"/>
              <w:numPr>
                <w:ilvl w:val="0"/>
                <w:numId w:val="22"/>
              </w:numPr>
              <w:spacing w:after="0"/>
              <w:ind w:leftChars="0" w:left="548" w:hanging="274"/>
              <w:contextualSpacing/>
            </w:pPr>
            <w:r>
              <w:t>Clarify that DRX on-duration timer refers to those of all DRX groups in the text on WUS procedure.</w:t>
            </w:r>
          </w:p>
          <w:p w14:paraId="47A7EA29" w14:textId="77777777" w:rsidR="004B3046" w:rsidRDefault="004B3046" w:rsidP="004B3046">
            <w:r>
              <w:t xml:space="preserve">Text proposal for the above clarifications can be found in </w:t>
            </w:r>
            <w:r>
              <w:fldChar w:fldCharType="begin"/>
            </w:r>
            <w:r>
              <w:instrText xml:space="preserve"> REF _Ref70592406 \r \h </w:instrText>
            </w:r>
            <w:r>
              <w:fldChar w:fldCharType="separate"/>
            </w:r>
            <w:r>
              <w:t>[7]</w:t>
            </w:r>
            <w:r>
              <w:fldChar w:fldCharType="end"/>
            </w:r>
            <w:r>
              <w:t xml:space="preserve">. </w:t>
            </w:r>
          </w:p>
          <w:p w14:paraId="0FCF0921" w14:textId="77777777" w:rsidR="004B3046" w:rsidRDefault="004B3046" w:rsidP="004B3046">
            <w:pPr>
              <w:pStyle w:val="Caption"/>
            </w:pPr>
            <w:bookmarkStart w:id="54" w:name="Observation_2"/>
            <w:r>
              <w:t xml:space="preserve">Observation </w:t>
            </w:r>
            <w:r>
              <w:fldChar w:fldCharType="begin"/>
            </w:r>
            <w:r>
              <w:instrText xml:space="preserve"> SEQ Observation \* ARABIC </w:instrText>
            </w:r>
            <w:r>
              <w:fldChar w:fldCharType="separate"/>
            </w:r>
            <w:r>
              <w:rPr>
                <w:noProof/>
              </w:rPr>
              <w:t>2</w:t>
            </w:r>
            <w:r>
              <w:fldChar w:fldCharType="end"/>
            </w:r>
            <w:r>
              <w:t>: Joint configuration between WUS and DRX groups can be supported with minimal change to RAN1 specs.</w:t>
            </w:r>
          </w:p>
          <w:bookmarkEnd w:id="54"/>
          <w:p w14:paraId="149DEF7D" w14:textId="77777777" w:rsidR="004B3046" w:rsidRDefault="004B3046" w:rsidP="004B3046">
            <w:pPr>
              <w:tabs>
                <w:tab w:val="left" w:pos="1440"/>
              </w:tabs>
              <w:ind w:left="1440" w:hanging="1440"/>
              <w:rPr>
                <w:b/>
                <w:bCs/>
              </w:rPr>
            </w:pPr>
          </w:p>
          <w:p w14:paraId="09F9403E" w14:textId="77777777" w:rsidR="004B3046" w:rsidRDefault="004B3046" w:rsidP="004B3046">
            <w:pPr>
              <w:rPr>
                <w:b/>
                <w:bCs/>
                <w:u w:val="single"/>
                <w:lang w:val="en-US"/>
              </w:rPr>
            </w:pPr>
            <w:r>
              <w:rPr>
                <w:b/>
                <w:bCs/>
                <w:u w:val="single"/>
              </w:rPr>
              <w:t xml:space="preserve">Joint configuration with </w:t>
            </w:r>
            <w:proofErr w:type="spellStart"/>
            <w:r>
              <w:rPr>
                <w:b/>
                <w:bCs/>
                <w:u w:val="single"/>
              </w:rPr>
              <w:t>SCell</w:t>
            </w:r>
            <w:proofErr w:type="spellEnd"/>
            <w:r>
              <w:rPr>
                <w:b/>
                <w:bCs/>
                <w:u w:val="single"/>
              </w:rPr>
              <w:t xml:space="preserve"> dormancy</w:t>
            </w:r>
          </w:p>
          <w:p w14:paraId="3A2235FC" w14:textId="77777777" w:rsidR="004B3046" w:rsidRDefault="004B3046" w:rsidP="004B3046">
            <w:pPr>
              <w:tabs>
                <w:tab w:val="left" w:pos="0"/>
              </w:tabs>
              <w:spacing w:after="120"/>
            </w:pPr>
            <w:r>
              <w:t xml:space="preserve">In legacy, there are two scenarios in which </w:t>
            </w:r>
            <w:proofErr w:type="spellStart"/>
            <w:r>
              <w:t>SCell</w:t>
            </w:r>
            <w:proofErr w:type="spellEnd"/>
            <w:r>
              <w:t xml:space="preserve"> dormancy indication can be sent:</w:t>
            </w:r>
          </w:p>
          <w:p w14:paraId="4D7DC582" w14:textId="77777777" w:rsidR="004B3046" w:rsidRDefault="004B3046" w:rsidP="00B650B3">
            <w:pPr>
              <w:pStyle w:val="ListParagraph"/>
              <w:numPr>
                <w:ilvl w:val="0"/>
                <w:numId w:val="23"/>
              </w:numPr>
              <w:tabs>
                <w:tab w:val="left" w:pos="0"/>
              </w:tabs>
              <w:spacing w:after="120"/>
              <w:ind w:leftChars="0" w:left="548" w:hanging="274"/>
              <w:contextualSpacing/>
              <w:rPr>
                <w:b/>
                <w:bCs/>
              </w:rPr>
            </w:pPr>
            <w:r>
              <w:t xml:space="preserve">Case 1. In a WUS occasion outside UE’s DRX active time, it can be sent together with WUS to indicate which </w:t>
            </w:r>
            <w:proofErr w:type="spellStart"/>
            <w:r>
              <w:t>SCell</w:t>
            </w:r>
            <w:proofErr w:type="spellEnd"/>
            <w:r>
              <w:t xml:space="preserve"> dormancy group(s) should switch to dormant BWP;</w:t>
            </w:r>
          </w:p>
          <w:p w14:paraId="6D0EF892" w14:textId="77777777" w:rsidR="004B3046" w:rsidRDefault="004B3046" w:rsidP="00B650B3">
            <w:pPr>
              <w:pStyle w:val="ListParagraph"/>
              <w:numPr>
                <w:ilvl w:val="0"/>
                <w:numId w:val="23"/>
              </w:numPr>
              <w:tabs>
                <w:tab w:val="left" w:pos="0"/>
              </w:tabs>
              <w:spacing w:after="0"/>
              <w:ind w:leftChars="0" w:left="548" w:hanging="274"/>
              <w:contextualSpacing/>
              <w:rPr>
                <w:b/>
                <w:bCs/>
              </w:rPr>
            </w:pPr>
            <w:r>
              <w:t xml:space="preserve">Case 2. When UE is in DRX active time, it can be sent in a non-fallback DCI to indicate which </w:t>
            </w:r>
            <w:proofErr w:type="spellStart"/>
            <w:r>
              <w:t>SCell</w:t>
            </w:r>
            <w:proofErr w:type="spellEnd"/>
            <w:r>
              <w:t xml:space="preserve"> dormancy group(s) should switch to dormant BWP. </w:t>
            </w:r>
          </w:p>
          <w:p w14:paraId="7262EBE7" w14:textId="77777777" w:rsidR="004B3046" w:rsidRDefault="004B3046" w:rsidP="004B3046">
            <w:pPr>
              <w:tabs>
                <w:tab w:val="left" w:pos="0"/>
              </w:tabs>
              <w:spacing w:after="120"/>
            </w:pPr>
            <w:r>
              <w:t xml:space="preserve">Case 1 requires joint configuration with WUS. In case secondary DRX group is configured, it effectively overrides DRX state of a </w:t>
            </w:r>
            <w:proofErr w:type="spellStart"/>
            <w:r>
              <w:t>SCell</w:t>
            </w:r>
            <w:proofErr w:type="spellEnd"/>
            <w:r>
              <w:t xml:space="preserve">. For example, if a FR2 carrier is in a </w:t>
            </w:r>
            <w:proofErr w:type="spellStart"/>
            <w:r>
              <w:t>SCell</w:t>
            </w:r>
            <w:proofErr w:type="spellEnd"/>
            <w:r>
              <w:t xml:space="preserve"> dormancy group and receives dormancy indication, then it does not need to monitor PDCCH until the next DRX cycle, i.e., before receiving the next WUS. Therefore, network can take advantage of this property and use </w:t>
            </w:r>
            <w:proofErr w:type="spellStart"/>
            <w:r>
              <w:t>SCell</w:t>
            </w:r>
            <w:proofErr w:type="spellEnd"/>
            <w:r>
              <w:t xml:space="preserve"> dormancy indication to selectively wakeup secondary DRX group. In Appendix A.2.2 of </w:t>
            </w:r>
            <w:r>
              <w:fldChar w:fldCharType="begin"/>
            </w:r>
            <w:r>
              <w:instrText xml:space="preserve"> REF _Ref57217916 \r \h </w:instrText>
            </w:r>
            <w:r>
              <w:fldChar w:fldCharType="separate"/>
            </w:r>
            <w:r>
              <w:t>[6]</w:t>
            </w:r>
            <w:r>
              <w:fldChar w:fldCharType="end"/>
            </w:r>
            <w:r>
              <w:t xml:space="preserve">, we provide a quantitative analysis on the power saving gains that can be achieved in this scenario. Our analysis shows that ~18% more power can be saved than the baseline. </w:t>
            </w:r>
          </w:p>
          <w:p w14:paraId="5800E84A" w14:textId="77777777" w:rsidR="004B3046" w:rsidRDefault="004B3046" w:rsidP="004B3046">
            <w:pPr>
              <w:tabs>
                <w:tab w:val="left" w:pos="0"/>
              </w:tabs>
              <w:spacing w:after="120"/>
              <w:rPr>
                <w:rFonts w:eastAsiaTheme="minorEastAsia"/>
                <w:lang w:val="en-US"/>
              </w:rPr>
            </w:pPr>
            <w:r>
              <w:t xml:space="preserve">In this case, because </w:t>
            </w:r>
            <w:proofErr w:type="spellStart"/>
            <w:r>
              <w:t>SCell</w:t>
            </w:r>
            <w:proofErr w:type="spellEnd"/>
            <w:r>
              <w:t xml:space="preserve"> dormancy indication is sent together with WUS, we do not expect much changes to RAN1/2 standards other than those described above for WUS. </w:t>
            </w:r>
          </w:p>
          <w:p w14:paraId="35DC43F6" w14:textId="77777777" w:rsidR="004B3046" w:rsidRDefault="004B3046" w:rsidP="004B3046">
            <w:pPr>
              <w:pStyle w:val="Caption"/>
              <w:rPr>
                <w:rFonts w:eastAsia="Times New Roman"/>
              </w:rPr>
            </w:pPr>
            <w:bookmarkStart w:id="55" w:name="Observation_3"/>
            <w:r>
              <w:t xml:space="preserve">Observation </w:t>
            </w:r>
            <w:r>
              <w:fldChar w:fldCharType="begin"/>
            </w:r>
            <w:r>
              <w:instrText xml:space="preserve"> SEQ Observation \* ARABIC </w:instrText>
            </w:r>
            <w:r>
              <w:fldChar w:fldCharType="separate"/>
            </w:r>
            <w:r>
              <w:rPr>
                <w:noProof/>
              </w:rPr>
              <w:t>3</w:t>
            </w:r>
            <w:r>
              <w:fldChar w:fldCharType="end"/>
            </w:r>
            <w:r>
              <w:t xml:space="preserve">: If </w:t>
            </w:r>
            <w:proofErr w:type="spellStart"/>
            <w:r>
              <w:t>SCell</w:t>
            </w:r>
            <w:proofErr w:type="spellEnd"/>
            <w:r>
              <w:t xml:space="preserve"> dormancy is jointly configured with DRX groups, dormancy indication sent outside DRX active time can help save ~18% power.</w:t>
            </w:r>
          </w:p>
          <w:bookmarkEnd w:id="55"/>
          <w:p w14:paraId="5E280F7A" w14:textId="77777777" w:rsidR="004B3046" w:rsidRDefault="004B3046" w:rsidP="004B3046">
            <w:pPr>
              <w:tabs>
                <w:tab w:val="left" w:pos="0"/>
              </w:tabs>
              <w:spacing w:after="120"/>
              <w:rPr>
                <w:rFonts w:eastAsiaTheme="minorEastAsia"/>
              </w:rPr>
            </w:pPr>
            <w:r>
              <w:t xml:space="preserve">In Case 2, if secondary DRX group is also configured, we think </w:t>
            </w:r>
            <w:proofErr w:type="spellStart"/>
            <w:r>
              <w:t>SCell</w:t>
            </w:r>
            <w:proofErr w:type="spellEnd"/>
            <w:r>
              <w:t xml:space="preserve"> dormancy operation and DRX operation can be independent from each other. More specifically,  </w:t>
            </w:r>
          </w:p>
          <w:p w14:paraId="41E6B6BA" w14:textId="77777777" w:rsidR="004B3046" w:rsidRDefault="004B3046" w:rsidP="00B650B3">
            <w:pPr>
              <w:pStyle w:val="ListParagraph"/>
              <w:numPr>
                <w:ilvl w:val="0"/>
                <w:numId w:val="24"/>
              </w:numPr>
              <w:tabs>
                <w:tab w:val="left" w:pos="0"/>
              </w:tabs>
              <w:spacing w:after="120"/>
              <w:ind w:leftChars="0" w:left="540" w:hanging="270"/>
              <w:contextualSpacing/>
              <w:rPr>
                <w:rFonts w:eastAsia="宋体"/>
              </w:rPr>
            </w:pPr>
            <w:r>
              <w:t xml:space="preserve">If both DRX groups are in DRX active time, </w:t>
            </w:r>
            <w:proofErr w:type="spellStart"/>
            <w:r>
              <w:t>SCell</w:t>
            </w:r>
            <w:proofErr w:type="spellEnd"/>
            <w:r>
              <w:t xml:space="preserve"> dormancy procedure can be performed exactly the same as in legacy (i.e. only a single DRX group is configured);</w:t>
            </w:r>
          </w:p>
          <w:p w14:paraId="4AFCDDA1" w14:textId="77777777" w:rsidR="004B3046" w:rsidRDefault="004B3046" w:rsidP="00B650B3">
            <w:pPr>
              <w:pStyle w:val="ListParagraph"/>
              <w:numPr>
                <w:ilvl w:val="0"/>
                <w:numId w:val="24"/>
              </w:numPr>
              <w:tabs>
                <w:tab w:val="left" w:pos="0"/>
              </w:tabs>
              <w:spacing w:after="0"/>
              <w:ind w:leftChars="0" w:left="540" w:hanging="270"/>
              <w:contextualSpacing/>
            </w:pPr>
            <w:r>
              <w:t xml:space="preserve">If the secondary DRX group is outside DRX active time, UE can still switch active BWPs of any carriers in that DRX group according to the received indication (i.e. either from dormant to non-dormant BWP or from non-dormant to dormant BWP).  It is only an implementation matter that UE first stores the new active BWP indication for a carrier and then uses it after the carrier starts the next DRX active time. </w:t>
            </w:r>
          </w:p>
          <w:p w14:paraId="61CF3E15" w14:textId="77777777" w:rsidR="004B3046" w:rsidRDefault="004B3046" w:rsidP="004B3046">
            <w:pPr>
              <w:tabs>
                <w:tab w:val="left" w:pos="0"/>
              </w:tabs>
              <w:spacing w:after="120"/>
              <w:rPr>
                <w:b/>
                <w:bCs/>
              </w:rPr>
            </w:pPr>
            <w:r>
              <w:t xml:space="preserve">It is straightforward to see that this case also requires no spec changes. Even though joint configuration in this case may not enable extra power savings, we think it is still beneficial for operators if the two features can co-exist. Otherwise, it would not be desirable if operators are forced to choose one feature over the other. For example, DRX groups may be deployed earlier than other power saving features, including </w:t>
            </w:r>
            <w:proofErr w:type="spellStart"/>
            <w:r>
              <w:t>SCell</w:t>
            </w:r>
            <w:proofErr w:type="spellEnd"/>
            <w:r>
              <w:t xml:space="preserve"> dormancy, because operators typically have more field experience with DRX. Then the artificial exclusivity imposed by the current Rel-16 agreement could delay the deployment of </w:t>
            </w:r>
            <w:proofErr w:type="spellStart"/>
            <w:r>
              <w:t>SCell</w:t>
            </w:r>
            <w:proofErr w:type="spellEnd"/>
            <w:r>
              <w:t xml:space="preserve"> dormancy, which clearly is not desirable for both operators and UEs.</w:t>
            </w:r>
          </w:p>
          <w:p w14:paraId="668D883D" w14:textId="77777777" w:rsidR="004B3046" w:rsidRDefault="004B3046" w:rsidP="004B3046">
            <w:pPr>
              <w:pStyle w:val="Caption"/>
            </w:pPr>
            <w:bookmarkStart w:id="56" w:name="Observation_4"/>
            <w:r>
              <w:t xml:space="preserve">Observation </w:t>
            </w:r>
            <w:r>
              <w:fldChar w:fldCharType="begin"/>
            </w:r>
            <w:r>
              <w:instrText xml:space="preserve"> SEQ Observation \* ARABIC </w:instrText>
            </w:r>
            <w:r>
              <w:fldChar w:fldCharType="separate"/>
            </w:r>
            <w:r>
              <w:rPr>
                <w:noProof/>
              </w:rPr>
              <w:t>4</w:t>
            </w:r>
            <w:r>
              <w:fldChar w:fldCharType="end"/>
            </w:r>
            <w:r>
              <w:t xml:space="preserve">: Joint configuration between </w:t>
            </w:r>
            <w:proofErr w:type="spellStart"/>
            <w:r>
              <w:t>SCell</w:t>
            </w:r>
            <w:proofErr w:type="spellEnd"/>
            <w:r>
              <w:t xml:space="preserve"> dormancy and DRX groups can be supported without any change to RAN1 specs.</w:t>
            </w:r>
          </w:p>
          <w:bookmarkEnd w:id="56"/>
          <w:p w14:paraId="5EB0797B" w14:textId="77777777" w:rsidR="004B3046" w:rsidRDefault="004B3046" w:rsidP="004B3046">
            <w:pPr>
              <w:ind w:left="1440" w:hanging="1440"/>
            </w:pPr>
            <w:r>
              <w:t xml:space="preserve">Based on the above analysis, we propose to discuss the following proposal in Rel-17 TEI: </w:t>
            </w:r>
          </w:p>
          <w:p w14:paraId="5F6A0C4A" w14:textId="3C6F19E9" w:rsidR="004B3046" w:rsidRPr="004B3046" w:rsidRDefault="004B3046" w:rsidP="00C64F5D">
            <w:pPr>
              <w:pStyle w:val="Caption"/>
            </w:pPr>
            <w:bookmarkStart w:id="57" w:name="Proposal_5"/>
            <w:r>
              <w:t xml:space="preserve">Proposal </w:t>
            </w:r>
            <w:r>
              <w:fldChar w:fldCharType="begin"/>
            </w:r>
            <w:r>
              <w:instrText xml:space="preserve"> SEQ Proposal \* ARABIC </w:instrText>
            </w:r>
            <w:r>
              <w:fldChar w:fldCharType="separate"/>
            </w:r>
            <w:r>
              <w:rPr>
                <w:noProof/>
              </w:rPr>
              <w:t>5</w:t>
            </w:r>
            <w:r>
              <w:fldChar w:fldCharType="end"/>
            </w:r>
            <w:r>
              <w:t xml:space="preserve">: Support joint configuration between DRX groups and WUS, </w:t>
            </w:r>
            <w:proofErr w:type="spellStart"/>
            <w:r>
              <w:t>SCell</w:t>
            </w:r>
            <w:proofErr w:type="spellEnd"/>
            <w:r>
              <w:t xml:space="preserve"> dormancy, or both, without changes to their PHY-layer configurations and procedures.</w:t>
            </w:r>
            <w:bookmarkEnd w:id="57"/>
          </w:p>
        </w:tc>
      </w:tr>
    </w:tbl>
    <w:p w14:paraId="2D9698F8" w14:textId="77777777" w:rsidR="004B3046" w:rsidRPr="00802399" w:rsidRDefault="004B3046" w:rsidP="004B3046">
      <w:pPr>
        <w:rPr>
          <w:b/>
        </w:rPr>
      </w:pPr>
    </w:p>
    <w:p w14:paraId="05773652" w14:textId="77777777" w:rsidR="004B3046" w:rsidRDefault="004B3046" w:rsidP="004B3046">
      <w:pPr>
        <w:rPr>
          <w:rFonts w:eastAsia="MS Mincho" w:cs="Batang"/>
          <w:sz w:val="22"/>
          <w:szCs w:val="22"/>
        </w:rPr>
      </w:pPr>
      <w:r>
        <w:rPr>
          <w:rFonts w:eastAsia="MS Mincho" w:cs="Batang"/>
          <w:sz w:val="22"/>
          <w:szCs w:val="22"/>
        </w:rPr>
        <w:t>Based on the above contribution, following TEI proposal can be discussed in RAN1#105-e meeting.</w:t>
      </w:r>
    </w:p>
    <w:p w14:paraId="496B9233" w14:textId="77777777" w:rsidR="004B3046" w:rsidRDefault="004B3046" w:rsidP="004B3046">
      <w:pPr>
        <w:rPr>
          <w:rFonts w:ascii="Arial" w:eastAsia="MS Mincho" w:hAnsi="Arial"/>
          <w:sz w:val="32"/>
          <w:szCs w:val="32"/>
        </w:rPr>
      </w:pPr>
    </w:p>
    <w:p w14:paraId="3ED48106" w14:textId="3BE56751" w:rsidR="004B3046" w:rsidRPr="00AD5375" w:rsidRDefault="004B3046" w:rsidP="004B3046">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9</w:t>
      </w:r>
    </w:p>
    <w:p w14:paraId="79669C7E" w14:textId="5DC3207B" w:rsidR="004B3046" w:rsidRDefault="004B3046" w:rsidP="004B3046">
      <w:pPr>
        <w:pStyle w:val="ListParagraph"/>
        <w:numPr>
          <w:ilvl w:val="0"/>
          <w:numId w:val="13"/>
        </w:numPr>
        <w:ind w:leftChars="0"/>
        <w:rPr>
          <w:b/>
        </w:rPr>
      </w:pPr>
      <w:r w:rsidRPr="004B3046">
        <w:rPr>
          <w:rFonts w:eastAsia="MS Mincho" w:cs="Batang"/>
          <w:b/>
          <w:bCs/>
          <w:sz w:val="22"/>
          <w:szCs w:val="22"/>
        </w:rPr>
        <w:t xml:space="preserve">Support joint configuration between DRX groups and WUS, </w:t>
      </w:r>
      <w:proofErr w:type="spellStart"/>
      <w:r w:rsidRPr="004B3046">
        <w:rPr>
          <w:rFonts w:eastAsia="MS Mincho" w:cs="Batang"/>
          <w:b/>
          <w:bCs/>
          <w:sz w:val="22"/>
          <w:szCs w:val="22"/>
        </w:rPr>
        <w:t>SCell</w:t>
      </w:r>
      <w:proofErr w:type="spellEnd"/>
      <w:r w:rsidRPr="004B3046">
        <w:rPr>
          <w:rFonts w:eastAsia="MS Mincho" w:cs="Batang"/>
          <w:b/>
          <w:bCs/>
          <w:sz w:val="22"/>
          <w:szCs w:val="22"/>
        </w:rPr>
        <w:t xml:space="preserve"> dormancy, or both, without changes to their PHY-layer configurations and procedures</w:t>
      </w:r>
      <w:r w:rsidRPr="00181838">
        <w:rPr>
          <w:rFonts w:eastAsia="MS Mincho" w:cs="Batang"/>
          <w:b/>
          <w:bCs/>
          <w:sz w:val="22"/>
          <w:szCs w:val="22"/>
        </w:rPr>
        <w:t>.</w:t>
      </w:r>
    </w:p>
    <w:p w14:paraId="708E7B64" w14:textId="77777777" w:rsidR="004B3046" w:rsidRDefault="004B3046" w:rsidP="004B3046">
      <w:pPr>
        <w:rPr>
          <w:rFonts w:eastAsia="MS Mincho" w:cs="Batang"/>
          <w:sz w:val="22"/>
          <w:szCs w:val="22"/>
        </w:rPr>
      </w:pPr>
    </w:p>
    <w:p w14:paraId="2520A1A4" w14:textId="77777777" w:rsidR="004B3046" w:rsidRDefault="004B3046" w:rsidP="004B304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FE5E339" w14:textId="77777777" w:rsidR="004B3046" w:rsidRDefault="004B3046" w:rsidP="004B304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4B3046" w14:paraId="226713F8" w14:textId="77777777" w:rsidTr="00C64F5D">
        <w:tc>
          <w:tcPr>
            <w:tcW w:w="1945" w:type="dxa"/>
            <w:shd w:val="clear" w:color="auto" w:fill="F2F2F2" w:themeFill="background1" w:themeFillShade="F2"/>
          </w:tcPr>
          <w:p w14:paraId="614AE8F5" w14:textId="77777777" w:rsidR="004B3046" w:rsidRDefault="004B3046"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1D7E489" w14:textId="77777777" w:rsidR="004B3046" w:rsidRDefault="004B3046" w:rsidP="00C64F5D">
            <w:pPr>
              <w:spacing w:afterLines="50" w:after="120"/>
              <w:jc w:val="both"/>
              <w:rPr>
                <w:sz w:val="22"/>
                <w:lang w:val="en-US"/>
              </w:rPr>
            </w:pPr>
            <w:r>
              <w:rPr>
                <w:rFonts w:hint="eastAsia"/>
                <w:sz w:val="22"/>
                <w:lang w:val="en-US"/>
              </w:rPr>
              <w:t>C</w:t>
            </w:r>
            <w:r>
              <w:rPr>
                <w:sz w:val="22"/>
                <w:lang w:val="en-US"/>
              </w:rPr>
              <w:t>omment</w:t>
            </w:r>
          </w:p>
        </w:tc>
      </w:tr>
      <w:tr w:rsidR="004B3046" w14:paraId="5ACE7C9B" w14:textId="77777777" w:rsidTr="00C64F5D">
        <w:tc>
          <w:tcPr>
            <w:tcW w:w="1945" w:type="dxa"/>
          </w:tcPr>
          <w:p w14:paraId="6775CD69" w14:textId="79612AC9" w:rsidR="004B3046" w:rsidRDefault="00C64F5D" w:rsidP="00C64F5D">
            <w:pPr>
              <w:spacing w:afterLines="50" w:after="120"/>
              <w:jc w:val="both"/>
              <w:rPr>
                <w:sz w:val="22"/>
                <w:lang w:val="en-US"/>
              </w:rPr>
            </w:pPr>
            <w:r>
              <w:rPr>
                <w:sz w:val="22"/>
                <w:lang w:val="en-US"/>
              </w:rPr>
              <w:t>vivo</w:t>
            </w:r>
          </w:p>
        </w:tc>
        <w:tc>
          <w:tcPr>
            <w:tcW w:w="7683" w:type="dxa"/>
          </w:tcPr>
          <w:p w14:paraId="2D561774" w14:textId="5E9800DC" w:rsidR="004B3046" w:rsidRDefault="00C64F5D" w:rsidP="00C64F5D">
            <w:pPr>
              <w:spacing w:afterLines="50" w:after="120"/>
              <w:jc w:val="both"/>
              <w:rPr>
                <w:sz w:val="22"/>
                <w:lang w:val="en-US"/>
              </w:rPr>
            </w:pPr>
            <w:r>
              <w:rPr>
                <w:sz w:val="22"/>
                <w:lang w:val="en-US"/>
              </w:rPr>
              <w:t>We are open to discuss this proposal</w:t>
            </w:r>
          </w:p>
        </w:tc>
      </w:tr>
      <w:tr w:rsidR="004B3046" w14:paraId="2E1CFF21" w14:textId="77777777" w:rsidTr="00C64F5D">
        <w:tc>
          <w:tcPr>
            <w:tcW w:w="1945" w:type="dxa"/>
          </w:tcPr>
          <w:p w14:paraId="3E8F1A61" w14:textId="77777777" w:rsidR="004B3046" w:rsidRDefault="004B3046" w:rsidP="00C64F5D">
            <w:pPr>
              <w:spacing w:afterLines="50" w:after="120"/>
              <w:jc w:val="both"/>
              <w:rPr>
                <w:sz w:val="22"/>
                <w:lang w:val="en-US"/>
              </w:rPr>
            </w:pPr>
          </w:p>
        </w:tc>
        <w:tc>
          <w:tcPr>
            <w:tcW w:w="7683" w:type="dxa"/>
          </w:tcPr>
          <w:p w14:paraId="12F3CD70" w14:textId="77777777" w:rsidR="004B3046" w:rsidRPr="00F740AD" w:rsidRDefault="004B3046" w:rsidP="00C64F5D">
            <w:pPr>
              <w:spacing w:afterLines="50" w:after="120"/>
              <w:jc w:val="both"/>
              <w:rPr>
                <w:sz w:val="22"/>
                <w:lang w:val="en-US"/>
              </w:rPr>
            </w:pPr>
          </w:p>
        </w:tc>
      </w:tr>
      <w:tr w:rsidR="004B3046" w14:paraId="1C8A8064" w14:textId="77777777" w:rsidTr="00C64F5D">
        <w:tc>
          <w:tcPr>
            <w:tcW w:w="1945" w:type="dxa"/>
          </w:tcPr>
          <w:p w14:paraId="29746CBB" w14:textId="77777777" w:rsidR="004B3046" w:rsidRDefault="004B3046" w:rsidP="00C64F5D">
            <w:pPr>
              <w:spacing w:afterLines="50" w:after="120"/>
              <w:jc w:val="both"/>
              <w:rPr>
                <w:sz w:val="22"/>
                <w:lang w:val="en-US"/>
              </w:rPr>
            </w:pPr>
          </w:p>
        </w:tc>
        <w:tc>
          <w:tcPr>
            <w:tcW w:w="7683" w:type="dxa"/>
          </w:tcPr>
          <w:p w14:paraId="727C104E" w14:textId="77777777" w:rsidR="004B3046" w:rsidRPr="00F740AD" w:rsidRDefault="004B3046" w:rsidP="00C64F5D">
            <w:pPr>
              <w:spacing w:afterLines="50" w:after="120"/>
              <w:jc w:val="both"/>
              <w:rPr>
                <w:sz w:val="22"/>
                <w:lang w:val="en-US"/>
              </w:rPr>
            </w:pPr>
          </w:p>
        </w:tc>
      </w:tr>
    </w:tbl>
    <w:p w14:paraId="6B34CD12" w14:textId="77777777" w:rsidR="004B3046" w:rsidRDefault="004B3046" w:rsidP="002753B9">
      <w:pPr>
        <w:rPr>
          <w:b/>
        </w:rPr>
      </w:pPr>
    </w:p>
    <w:p w14:paraId="0490BAB6" w14:textId="6F3126DB" w:rsidR="002801C1" w:rsidRDefault="002801C1" w:rsidP="002753B9">
      <w:pPr>
        <w:rPr>
          <w:b/>
        </w:rPr>
      </w:pPr>
    </w:p>
    <w:p w14:paraId="59923B15" w14:textId="6854D7BC"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bookmarkStart w:id="58" w:name="_Hlk71824828"/>
      <w:r w:rsidRPr="00202BBC">
        <w:rPr>
          <w:rFonts w:ascii="Arial" w:eastAsia="MS Mincho" w:hAnsi="Arial"/>
          <w:sz w:val="28"/>
          <w:szCs w:val="32"/>
          <w:lang w:val="en-US"/>
        </w:rPr>
        <w:t>Removal of DM-RS restriction for DL MU-MIMO</w:t>
      </w:r>
      <w:bookmarkEnd w:id="58"/>
    </w:p>
    <w:p w14:paraId="59F175E2" w14:textId="77777777" w:rsidR="00202BBC" w:rsidRDefault="00202BBC" w:rsidP="00202BBC">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202BBC" w14:paraId="36E524A3" w14:textId="77777777" w:rsidTr="00C64F5D">
        <w:tc>
          <w:tcPr>
            <w:tcW w:w="562" w:type="dxa"/>
          </w:tcPr>
          <w:p w14:paraId="1F445677" w14:textId="66C8EC6A" w:rsidR="00202BBC" w:rsidRPr="0016792D" w:rsidRDefault="00202BBC"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5FCC5832" w14:textId="77777777" w:rsidR="00202BBC" w:rsidRDefault="00202BBC" w:rsidP="00202BBC">
            <w:pPr>
              <w:ind w:firstLine="284"/>
              <w:rPr>
                <w:rFonts w:eastAsiaTheme="minorEastAsia"/>
                <w:sz w:val="22"/>
                <w:lang w:val="en-US" w:eastAsia="zh-CN"/>
              </w:rPr>
            </w:pPr>
            <w:r>
              <w:rPr>
                <w:sz w:val="22"/>
                <w:lang w:eastAsia="zh-CN"/>
              </w:rPr>
              <w:t xml:space="preserve">According to the Rel-15 NR specification, when PTRS is configured, the DM-RS antenna ports 1004-1007 and or 1006-1011 is not allowed for scheduling for the same and other UEs. </w:t>
            </w:r>
          </w:p>
          <w:tbl>
            <w:tblPr>
              <w:tblStyle w:val="TableGrid"/>
              <w:tblW w:w="0" w:type="auto"/>
              <w:tblLook w:val="04A0" w:firstRow="1" w:lastRow="0" w:firstColumn="1" w:lastColumn="0" w:noHBand="0" w:noVBand="1"/>
            </w:tblPr>
            <w:tblGrid>
              <w:gridCol w:w="8840"/>
            </w:tblGrid>
            <w:tr w:rsidR="00202BBC" w14:paraId="4FAFF70D" w14:textId="77777777" w:rsidTr="00202BBC">
              <w:tc>
                <w:tcPr>
                  <w:tcW w:w="10160" w:type="dxa"/>
                  <w:tcBorders>
                    <w:top w:val="single" w:sz="4" w:space="0" w:color="auto"/>
                    <w:left w:val="single" w:sz="4" w:space="0" w:color="auto"/>
                    <w:bottom w:val="single" w:sz="4" w:space="0" w:color="auto"/>
                    <w:right w:val="single" w:sz="4" w:space="0" w:color="auto"/>
                  </w:tcBorders>
                  <w:hideMark/>
                </w:tcPr>
                <w:p w14:paraId="3D605F24" w14:textId="77777777" w:rsidR="00202BBC" w:rsidRDefault="00202BBC" w:rsidP="00202BBC">
                  <w:pPr>
                    <w:rPr>
                      <w:rFonts w:ascii="Arial" w:hAnsi="Arial" w:cs="Arial"/>
                      <w:color w:val="000000"/>
                      <w:szCs w:val="24"/>
                      <w:u w:val="single"/>
                      <w:lang w:eastAsia="zh-CN"/>
                    </w:rPr>
                  </w:pPr>
                  <w:bookmarkStart w:id="59" w:name="_Hlk500828751"/>
                  <w:r>
                    <w:rPr>
                      <w:rFonts w:ascii="Arial" w:hAnsi="Arial" w:cs="Arial"/>
                      <w:color w:val="000000"/>
                      <w:szCs w:val="24"/>
                      <w:u w:val="single"/>
                      <w:lang w:eastAsia="zh-CN"/>
                    </w:rPr>
                    <w:t>TS 38.214 [1]</w:t>
                  </w:r>
                </w:p>
                <w:p w14:paraId="352EADEA" w14:textId="77777777" w:rsidR="00202BBC" w:rsidRDefault="00202BBC" w:rsidP="00202BBC">
                  <w:pPr>
                    <w:rPr>
                      <w:rFonts w:asciiTheme="minorHAnsi" w:hAnsiTheme="minorHAnsi" w:cstheme="minorBidi"/>
                      <w:color w:val="000000"/>
                      <w:sz w:val="21"/>
                      <w:szCs w:val="22"/>
                      <w:lang w:eastAsia="zh-CN"/>
                    </w:rPr>
                  </w:pPr>
                  <w:r>
                    <w:rPr>
                      <w:color w:val="000000"/>
                      <w:lang w:eastAsia="zh-CN"/>
                    </w:rPr>
                    <w:t xml:space="preserve">If a UE receiving PDSCH </w:t>
                  </w:r>
                  <w:r>
                    <w:rPr>
                      <w:lang w:eastAsia="zh-CN"/>
                    </w:rPr>
                    <w:t xml:space="preserve">scheduled by DCI format 1_2 is configured with the higher layer parameter </w:t>
                  </w:r>
                  <w:proofErr w:type="spellStart"/>
                  <w:r>
                    <w:rPr>
                      <w:i/>
                      <w:lang w:eastAsia="zh-CN"/>
                    </w:rPr>
                    <w:t>phaseTrackingRS</w:t>
                  </w:r>
                  <w:proofErr w:type="spellEnd"/>
                  <w:r>
                    <w:rPr>
                      <w:lang w:eastAsia="zh-CN"/>
                    </w:rPr>
                    <w:t xml:space="preserve"> in </w:t>
                  </w:r>
                  <w:r>
                    <w:rPr>
                      <w:i/>
                      <w:lang w:eastAsia="zh-CN"/>
                    </w:rPr>
                    <w:t xml:space="preserve">dmrs-DownlinkForPDSCH-MappingTypeA-ForDCI-Format1-2 </w:t>
                  </w:r>
                  <w:r>
                    <w:rPr>
                      <w:iCs/>
                      <w:lang w:eastAsia="zh-CN"/>
                    </w:rPr>
                    <w:t xml:space="preserve">or </w:t>
                  </w:r>
                  <w:r>
                    <w:rPr>
                      <w:i/>
                      <w:lang w:eastAsia="zh-CN"/>
                    </w:rPr>
                    <w:t xml:space="preserve">dmrs-DownlinkForPDSCH-MappingTypeB-ForDCI-Format1-2 </w:t>
                  </w:r>
                  <w:r>
                    <w:rPr>
                      <w:lang w:eastAsia="zh-CN"/>
                    </w:rPr>
                    <w:t xml:space="preserve">or a UE receiving PDSCH scheduled by DCI format 1_0 or DCI format 1_1 </w:t>
                  </w:r>
                  <w:r>
                    <w:rPr>
                      <w:color w:val="000000"/>
                      <w:lang w:eastAsia="zh-CN"/>
                    </w:rPr>
                    <w:t xml:space="preserve">is configured with the higher layer parameter </w:t>
                  </w:r>
                  <w:proofErr w:type="spellStart"/>
                  <w:r>
                    <w:rPr>
                      <w:i/>
                      <w:color w:val="000000"/>
                      <w:lang w:eastAsia="zh-CN"/>
                    </w:rPr>
                    <w:t>phaseTrackingRS</w:t>
                  </w:r>
                  <w:proofErr w:type="spellEnd"/>
                  <w:r>
                    <w:rPr>
                      <w:color w:val="000000"/>
                      <w:lang w:eastAsia="zh-CN"/>
                    </w:rPr>
                    <w:t xml:space="preserve"> in </w:t>
                  </w:r>
                  <w:proofErr w:type="spellStart"/>
                  <w:r>
                    <w:rPr>
                      <w:i/>
                      <w:lang w:eastAsia="zh-CN"/>
                    </w:rPr>
                    <w:t>dmrs-DownlinkForPDSCH-MappingTypeA</w:t>
                  </w:r>
                  <w:proofErr w:type="spellEnd"/>
                  <w:r>
                    <w:rPr>
                      <w:i/>
                      <w:lang w:eastAsia="zh-CN"/>
                    </w:rPr>
                    <w:t xml:space="preserve"> </w:t>
                  </w:r>
                  <w:r>
                    <w:rPr>
                      <w:iCs/>
                      <w:lang w:eastAsia="zh-CN"/>
                    </w:rPr>
                    <w:t>or</w:t>
                  </w:r>
                  <w:r>
                    <w:rPr>
                      <w:i/>
                      <w:lang w:eastAsia="zh-CN"/>
                    </w:rPr>
                    <w:t xml:space="preserve"> </w:t>
                  </w:r>
                  <w:proofErr w:type="spellStart"/>
                  <w:r>
                    <w:rPr>
                      <w:i/>
                      <w:lang w:eastAsia="zh-CN"/>
                    </w:rPr>
                    <w:t>dmrs-DownlinkForPDSCH-MappingTypeB</w:t>
                  </w:r>
                  <w:proofErr w:type="spellEnd"/>
                  <w:r>
                    <w:rPr>
                      <w:color w:val="000000"/>
                      <w:lang w:eastAsia="zh-CN"/>
                    </w:rPr>
                    <w:t xml:space="preserve">, the UE may assume that </w:t>
                  </w:r>
                  <w:r>
                    <w:rPr>
                      <w:color w:val="000000"/>
                      <w:highlight w:val="yellow"/>
                      <w:lang w:eastAsia="zh-CN"/>
                    </w:rPr>
                    <w:t>the following configurations are not occurring simultaneously</w:t>
                  </w:r>
                  <w:r>
                    <w:rPr>
                      <w:color w:val="000000"/>
                      <w:lang w:eastAsia="zh-CN"/>
                    </w:rPr>
                    <w:t xml:space="preserve"> for the received PDSCH:</w:t>
                  </w:r>
                  <w:bookmarkEnd w:id="59"/>
                </w:p>
                <w:p w14:paraId="5AD2A892" w14:textId="77777777" w:rsidR="00202BBC" w:rsidRDefault="00202BBC" w:rsidP="00202BBC">
                  <w:pPr>
                    <w:pStyle w:val="B1"/>
                    <w:rPr>
                      <w:lang w:eastAsia="en-GB"/>
                    </w:rPr>
                  </w:pPr>
                  <w:r>
                    <w:rPr>
                      <w:lang w:eastAsia="en-GB"/>
                    </w:rPr>
                    <w:t>-</w:t>
                  </w:r>
                  <w:r>
                    <w:rPr>
                      <w:lang w:eastAsia="en-GB"/>
                    </w:rPr>
                    <w:tab/>
                    <w:t xml:space="preserve">any DM-RS ports </w:t>
                  </w:r>
                  <w:r>
                    <w:rPr>
                      <w:highlight w:val="yellow"/>
                      <w:lang w:eastAsia="en-GB"/>
                    </w:rPr>
                    <w:t>among 1004-1007 or 1006-1011</w:t>
                  </w:r>
                  <w:r>
                    <w:rPr>
                      <w:lang w:eastAsia="en-GB"/>
                    </w:rPr>
                    <w:t xml:space="preserve"> for DM-RS configurations type 1 and type 2, respectively are scheduled for the UE and the other UE(s) sharing the DM-RS REs on the same CDM group(s), and</w:t>
                  </w:r>
                </w:p>
                <w:p w14:paraId="5E99DC94" w14:textId="77777777" w:rsidR="00202BBC" w:rsidRDefault="00202BBC" w:rsidP="00202BBC">
                  <w:pPr>
                    <w:pStyle w:val="B1"/>
                    <w:rPr>
                      <w:lang w:eastAsia="en-GB"/>
                    </w:rPr>
                  </w:pPr>
                  <w:r>
                    <w:rPr>
                      <w:lang w:eastAsia="en-GB"/>
                    </w:rPr>
                    <w:t>-</w:t>
                  </w:r>
                  <w:r>
                    <w:rPr>
                      <w:lang w:eastAsia="en-GB"/>
                    </w:rPr>
                    <w:tab/>
                  </w:r>
                  <w:r>
                    <w:rPr>
                      <w:highlight w:val="yellow"/>
                      <w:lang w:eastAsia="en-GB"/>
                    </w:rPr>
                    <w:t>PT-RS is transmitted</w:t>
                  </w:r>
                  <w:r>
                    <w:rPr>
                      <w:lang w:eastAsia="en-GB"/>
                    </w:rPr>
                    <w:t xml:space="preserve"> to the UE.</w:t>
                  </w:r>
                </w:p>
              </w:tc>
            </w:tr>
          </w:tbl>
          <w:p w14:paraId="2CA58D08" w14:textId="77777777" w:rsidR="00202BBC" w:rsidRDefault="00202BBC" w:rsidP="00202BBC">
            <w:pPr>
              <w:rPr>
                <w:rFonts w:asciiTheme="minorHAnsi" w:eastAsiaTheme="minorEastAsia" w:hAnsiTheme="minorHAnsi" w:cstheme="minorBidi"/>
                <w:kern w:val="2"/>
                <w:sz w:val="22"/>
                <w:szCs w:val="22"/>
                <w:lang w:eastAsia="zh-CN"/>
              </w:rPr>
            </w:pPr>
          </w:p>
          <w:p w14:paraId="6620478B" w14:textId="77777777" w:rsidR="00202BBC" w:rsidRDefault="00202BBC" w:rsidP="00202BBC">
            <w:pPr>
              <w:ind w:firstLine="284"/>
              <w:rPr>
                <w:sz w:val="22"/>
                <w:lang w:eastAsia="zh-CN"/>
              </w:rPr>
            </w:pPr>
            <w:r>
              <w:rPr>
                <w:sz w:val="22"/>
                <w:lang w:eastAsia="zh-CN"/>
              </w:rPr>
              <w:t xml:space="preserve">In practical scenarios, this assumption is translated into restricted MU-MIMO support limited to a maximum of two UEs (with two MIMO layers per UE) for type 1 DM-RS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 xml:space="preserve">-a) and maximum of three UEs (with two MIMO layers per UE) for type 2 DM-RS. That restriction is not desirable considering efficient MU-MIMO support in FR2 with massive antennas, where MU-MIMO multiplexing dimension can be doubled without corresponding assumption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-b).</w:t>
            </w:r>
          </w:p>
          <w:p w14:paraId="7F657EF4" w14:textId="77777777" w:rsidR="00202BBC" w:rsidRDefault="00202BBC" w:rsidP="00202BBC">
            <w:pPr>
              <w:ind w:firstLine="284"/>
              <w:rPr>
                <w:sz w:val="22"/>
                <w:lang w:eastAsia="zh-CN"/>
              </w:rPr>
            </w:pPr>
          </w:p>
          <w:p w14:paraId="73C44036" w14:textId="77777777" w:rsidR="00202BBC" w:rsidRDefault="00202BBC" w:rsidP="00202BBC">
            <w:pPr>
              <w:keepNext/>
              <w:ind w:firstLine="284"/>
              <w:jc w:val="center"/>
              <w:rPr>
                <w:sz w:val="21"/>
              </w:rPr>
            </w:pPr>
            <w:r>
              <w:rPr>
                <w:rFonts w:asciiTheme="minorHAnsi" w:eastAsiaTheme="minorEastAsia" w:hAnsiTheme="minorHAnsi" w:cstheme="minorBidi"/>
                <w:kern w:val="2"/>
                <w:sz w:val="21"/>
                <w:szCs w:val="22"/>
                <w:lang w:val="en-US"/>
              </w:rPr>
              <w:object w:dxaOrig="3645" w:dyaOrig="3045" w14:anchorId="42BC022D">
                <v:shape id="_x0000_i1026" type="#_x0000_t75" style="width:182.25pt;height:152.25pt" o:ole="">
                  <v:imagedata r:id="rId36" o:title=""/>
                </v:shape>
                <o:OLEObject Type="Embed" ProgID="Visio.Drawing.15" ShapeID="_x0000_i1026" DrawAspect="Content" ObjectID="_1682948404" r:id="rId37"/>
              </w:object>
            </w:r>
            <w:r>
              <w:tab/>
            </w:r>
            <w:r>
              <w:tab/>
            </w:r>
            <w:r>
              <w:tab/>
            </w:r>
            <w:r>
              <w:tab/>
            </w:r>
            <w:r>
              <w:rPr>
                <w:rFonts w:asciiTheme="minorHAnsi" w:eastAsiaTheme="minorEastAsia" w:hAnsiTheme="minorHAnsi" w:cstheme="minorBidi"/>
                <w:kern w:val="2"/>
                <w:sz w:val="21"/>
                <w:szCs w:val="22"/>
                <w:lang w:val="en-US"/>
              </w:rPr>
              <w:object w:dxaOrig="4110" w:dyaOrig="3015" w14:anchorId="41AC5EA0">
                <v:shape id="_x0000_i1027" type="#_x0000_t75" style="width:205.5pt;height:150.75pt" o:ole="">
                  <v:imagedata r:id="rId38" o:title=""/>
                </v:shape>
                <o:OLEObject Type="Embed" ProgID="Visio.Drawing.15" ShapeID="_x0000_i1027" DrawAspect="Content" ObjectID="_1682948405" r:id="rId39"/>
              </w:object>
            </w:r>
          </w:p>
          <w:p w14:paraId="4AE05546" w14:textId="77777777" w:rsidR="00202BBC" w:rsidRDefault="00202BBC" w:rsidP="00202BBC">
            <w:pPr>
              <w:keepNext/>
              <w:jc w:val="center"/>
              <w:rPr>
                <w:sz w:val="22"/>
              </w:rPr>
            </w:pPr>
            <w:r>
              <w:rPr>
                <w:sz w:val="22"/>
              </w:rPr>
              <w:t>(a) MU-MIMO with DM-RS restriction</w:t>
            </w:r>
            <w:r>
              <w:rPr>
                <w:sz w:val="22"/>
              </w:rPr>
              <w:tab/>
            </w:r>
            <w:r>
              <w:rPr>
                <w:sz w:val="22"/>
              </w:rPr>
              <w:tab/>
            </w:r>
            <w:r>
              <w:rPr>
                <w:sz w:val="22"/>
              </w:rPr>
              <w:tab/>
              <w:t>(b) Proposed MU-MIMO w/o DM-RS restriction</w:t>
            </w:r>
          </w:p>
          <w:p w14:paraId="1B34296F" w14:textId="77777777" w:rsidR="00202BBC" w:rsidRDefault="00202BBC" w:rsidP="00202BBC">
            <w:pPr>
              <w:pStyle w:val="Caption"/>
              <w:jc w:val="center"/>
              <w:rPr>
                <w:sz w:val="22"/>
                <w:lang w:eastAsia="zh-CN"/>
              </w:rPr>
            </w:pPr>
            <w:r>
              <w:t xml:space="preserve">Figure </w:t>
            </w:r>
            <w:r>
              <w:fldChar w:fldCharType="begin"/>
            </w:r>
            <w:r>
              <w:instrText xml:space="preserve"> SEQ Figure \* ARABIC </w:instrText>
            </w:r>
            <w:r>
              <w:fldChar w:fldCharType="separate"/>
            </w:r>
            <w:r>
              <w:rPr>
                <w:noProof/>
              </w:rPr>
              <w:t>1</w:t>
            </w:r>
            <w:r>
              <w:fldChar w:fldCharType="end"/>
            </w:r>
            <w:r>
              <w:t xml:space="preserve"> Illustration of MU-MIMO support in FR2 with PTRS</w:t>
            </w:r>
          </w:p>
          <w:p w14:paraId="3B265A58" w14:textId="77777777" w:rsidR="00202BBC" w:rsidRDefault="00202BBC" w:rsidP="00202BBC">
            <w:pPr>
              <w:ind w:firstLine="284"/>
              <w:rPr>
                <w:sz w:val="22"/>
                <w:lang w:eastAsia="zh-CN"/>
              </w:rPr>
            </w:pPr>
            <w:r>
              <w:rPr>
                <w:sz w:val="22"/>
                <w:lang w:eastAsia="zh-CN"/>
              </w:rPr>
              <w:t>It should be noted that in spite of the above restriction, two symbol front-loaded DM-RS configuration is still allowed by specification for transmission of DM-RS ports 1000-1003 and 1000-1005 for DM-RS type 1 and type 2 respectively. Moreover, transmission of the additional DM-RS symbol in the later part of the slot is also allowed.</w:t>
            </w:r>
          </w:p>
          <w:p w14:paraId="4964C5B3" w14:textId="1FEBB5C6" w:rsidR="00202BBC" w:rsidRDefault="00202BBC" w:rsidP="00202BBC">
            <w:pPr>
              <w:keepNext/>
              <w:ind w:firstLine="284"/>
              <w:jc w:val="center"/>
              <w:rPr>
                <w:sz w:val="21"/>
              </w:rPr>
            </w:pPr>
            <w:r>
              <w:rPr>
                <w:noProof/>
              </w:rPr>
              <w:drawing>
                <wp:inline distT="0" distB="0" distL="0" distR="0" wp14:anchorId="0CB6F7A5" wp14:editId="2BD18518">
                  <wp:extent cx="1666875" cy="1200150"/>
                  <wp:effectExtent l="0" t="0" r="9525"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r>
              <w:tab/>
            </w:r>
            <w:r>
              <w:tab/>
            </w:r>
            <w:r>
              <w:tab/>
            </w:r>
            <w:r>
              <w:rPr>
                <w:noProof/>
              </w:rPr>
              <w:drawing>
                <wp:inline distT="0" distB="0" distL="0" distR="0" wp14:anchorId="62472E69" wp14:editId="00B906ED">
                  <wp:extent cx="1666875" cy="1200150"/>
                  <wp:effectExtent l="0" t="0" r="9525"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p>
          <w:p w14:paraId="3A0134CD" w14:textId="77777777" w:rsidR="00202BBC" w:rsidRDefault="00202BBC" w:rsidP="00202BBC">
            <w:pPr>
              <w:pStyle w:val="Caption"/>
              <w:jc w:val="center"/>
              <w:rPr>
                <w:sz w:val="22"/>
                <w:lang w:eastAsia="zh-CN"/>
              </w:rPr>
            </w:pPr>
            <w:bookmarkStart w:id="60" w:name="_Ref71571417"/>
            <w:r>
              <w:t xml:space="preserve">Figure </w:t>
            </w:r>
            <w:r>
              <w:fldChar w:fldCharType="begin"/>
            </w:r>
            <w:r>
              <w:instrText xml:space="preserve"> SEQ Figure \* ARABIC </w:instrText>
            </w:r>
            <w:r>
              <w:fldChar w:fldCharType="separate"/>
            </w:r>
            <w:r>
              <w:rPr>
                <w:noProof/>
              </w:rPr>
              <w:t>2</w:t>
            </w:r>
            <w:r>
              <w:fldChar w:fldCharType="end"/>
            </w:r>
            <w:bookmarkEnd w:id="60"/>
            <w:r>
              <w:t xml:space="preserve"> Illustration of used DM-RS configurations for LLS evaluations</w:t>
            </w:r>
          </w:p>
          <w:p w14:paraId="06956ADA" w14:textId="77777777" w:rsidR="00202BBC" w:rsidRDefault="00202BBC" w:rsidP="00202BBC">
            <w:pPr>
              <w:pStyle w:val="Caption"/>
              <w:rPr>
                <w:b w:val="0"/>
                <w:bCs/>
                <w:sz w:val="22"/>
                <w:lang w:eastAsia="zh-CN"/>
              </w:rPr>
            </w:pPr>
            <w:r w:rsidRPr="00202BBC">
              <w:rPr>
                <w:b w:val="0"/>
                <w:bCs/>
                <w:sz w:val="22"/>
                <w:lang w:eastAsia="zh-CN"/>
              </w:rPr>
              <w:t xml:space="preserve">To demonstrate the performance impact on PDSCH due to use of different DM-RS antenna ports, a link-level evaluation of NR system in FR2 were carried out for single-symbol and two-symbols front-loaded DM-RS configuration (see </w:t>
            </w:r>
            <w:r w:rsidRPr="00202BBC">
              <w:rPr>
                <w:b w:val="0"/>
                <w:bCs/>
                <w:sz w:val="22"/>
                <w:lang w:eastAsia="zh-CN"/>
              </w:rPr>
              <w:fldChar w:fldCharType="begin"/>
            </w:r>
            <w:r w:rsidRPr="00202BBC">
              <w:rPr>
                <w:b w:val="0"/>
                <w:bCs/>
                <w:sz w:val="22"/>
                <w:lang w:eastAsia="zh-CN"/>
              </w:rPr>
              <w:instrText xml:space="preserve"> REF _Ref71571417 \h  \* MERGEFORMAT </w:instrText>
            </w:r>
            <w:r w:rsidRPr="00202BBC">
              <w:rPr>
                <w:b w:val="0"/>
                <w:bCs/>
                <w:sz w:val="22"/>
                <w:lang w:eastAsia="zh-CN"/>
              </w:rPr>
            </w:r>
            <w:r w:rsidRPr="00202BBC">
              <w:rPr>
                <w:b w:val="0"/>
                <w:bCs/>
                <w:sz w:val="22"/>
                <w:lang w:eastAsia="zh-CN"/>
              </w:rPr>
              <w:fldChar w:fldCharType="separate"/>
            </w:r>
            <w:r w:rsidRPr="00202BBC">
              <w:rPr>
                <w:b w:val="0"/>
                <w:bCs/>
                <w:sz w:val="22"/>
              </w:rPr>
              <w:t xml:space="preserve">Figure </w:t>
            </w:r>
            <w:r w:rsidRPr="00202BBC">
              <w:rPr>
                <w:b w:val="0"/>
                <w:bCs/>
                <w:noProof/>
                <w:sz w:val="22"/>
              </w:rPr>
              <w:t>2</w:t>
            </w:r>
            <w:r w:rsidRPr="00202BBC">
              <w:rPr>
                <w:b w:val="0"/>
                <w:bCs/>
                <w:sz w:val="22"/>
                <w:lang w:eastAsia="zh-CN"/>
              </w:rPr>
              <w:fldChar w:fldCharType="end"/>
            </w:r>
            <w:r w:rsidRPr="00202BBC">
              <w:rPr>
                <w:b w:val="0"/>
                <w:bCs/>
                <w:sz w:val="22"/>
                <w:lang w:eastAsia="zh-CN"/>
              </w:rPr>
              <w:t>).</w:t>
            </w:r>
          </w:p>
          <w:p w14:paraId="5D8C2C54" w14:textId="77777777" w:rsidR="00202BBC" w:rsidRDefault="00202BBC" w:rsidP="00202BBC">
            <w:pPr>
              <w:rPr>
                <w:rFonts w:eastAsia="MS Mincho"/>
              </w:rPr>
            </w:pPr>
            <w:r>
              <w:rPr>
                <w:rFonts w:eastAsia="MS Mincho" w:hint="eastAsia"/>
              </w:rPr>
              <w:t>~</w:t>
            </w:r>
          </w:p>
          <w:p w14:paraId="17BBB351" w14:textId="77777777" w:rsidR="00202BBC" w:rsidRDefault="00202BBC" w:rsidP="00202BBC">
            <w:pPr>
              <w:ind w:firstLine="284"/>
              <w:rPr>
                <w:rFonts w:eastAsiaTheme="minorEastAsia"/>
                <w:sz w:val="22"/>
                <w:lang w:val="en-US" w:eastAsia="zh-CN"/>
              </w:rPr>
            </w:pPr>
            <w:r>
              <w:rPr>
                <w:sz w:val="22"/>
                <w:lang w:eastAsia="zh-CN"/>
              </w:rPr>
              <w:t xml:space="preserve">The BLER vs SNR performance results for PDSCH are presented in </w:t>
            </w:r>
            <w:r>
              <w:rPr>
                <w:sz w:val="22"/>
                <w:lang w:eastAsia="zh-CN"/>
              </w:rPr>
              <w:fldChar w:fldCharType="begin"/>
            </w:r>
            <w:r>
              <w:rPr>
                <w:sz w:val="22"/>
                <w:lang w:eastAsia="zh-CN"/>
              </w:rPr>
              <w:instrText xml:space="preserve"> REF _Ref71573639 \h  \* MERGEFORMAT </w:instrText>
            </w:r>
            <w:r>
              <w:rPr>
                <w:sz w:val="22"/>
                <w:lang w:eastAsia="zh-CN"/>
              </w:rPr>
            </w:r>
            <w:r>
              <w:rPr>
                <w:sz w:val="22"/>
                <w:lang w:eastAsia="zh-CN"/>
              </w:rPr>
              <w:fldChar w:fldCharType="separate"/>
            </w:r>
            <w:r>
              <w:rPr>
                <w:sz w:val="22"/>
              </w:rPr>
              <w:t xml:space="preserve">Figure </w:t>
            </w:r>
            <w:r>
              <w:rPr>
                <w:noProof/>
                <w:sz w:val="22"/>
              </w:rPr>
              <w:t>3</w:t>
            </w:r>
            <w:r>
              <w:rPr>
                <w:sz w:val="22"/>
                <w:lang w:eastAsia="zh-CN"/>
              </w:rPr>
              <w:fldChar w:fldCharType="end"/>
            </w:r>
            <w:r>
              <w:rPr>
                <w:sz w:val="22"/>
                <w:lang w:eastAsia="zh-CN"/>
              </w:rPr>
              <w:t>. It can be seen that DM-RS ports {0,4} shows better performance comparing to DM-RS ports {0,1}. The performance improvement can be explained by better channel estimation in the former DM-RS configuration. To this end, no clear impact of the phase noise tracking on the performance of DM-RS ports {0,4} comparing to DM-RS ports {0,1} was observed, questioning motivation of the exiting DM-RS restrictions.</w:t>
            </w:r>
          </w:p>
          <w:p w14:paraId="16DAE3C0" w14:textId="748A9520" w:rsidR="00202BBC" w:rsidRDefault="00202BBC" w:rsidP="00202BBC">
            <w:pPr>
              <w:keepNext/>
              <w:jc w:val="center"/>
              <w:rPr>
                <w:sz w:val="21"/>
              </w:rPr>
            </w:pPr>
            <w:r>
              <w:rPr>
                <w:noProof/>
              </w:rPr>
              <w:drawing>
                <wp:inline distT="0" distB="0" distL="0" distR="0" wp14:anchorId="530F945E" wp14:editId="04FCE284">
                  <wp:extent cx="3390900" cy="2562225"/>
                  <wp:effectExtent l="0" t="0" r="0" b="952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90900" cy="2562225"/>
                          </a:xfrm>
                          <a:prstGeom prst="rect">
                            <a:avLst/>
                          </a:prstGeom>
                          <a:noFill/>
                          <a:ln>
                            <a:noFill/>
                          </a:ln>
                        </pic:spPr>
                      </pic:pic>
                    </a:graphicData>
                  </a:graphic>
                </wp:inline>
              </w:drawing>
            </w:r>
          </w:p>
          <w:p w14:paraId="665FEE80" w14:textId="77777777" w:rsidR="00202BBC" w:rsidRDefault="00202BBC" w:rsidP="00202BBC">
            <w:pPr>
              <w:pStyle w:val="Caption"/>
              <w:jc w:val="center"/>
              <w:rPr>
                <w:b w:val="0"/>
                <w:highlight w:val="green"/>
                <w:lang w:eastAsia="x-none"/>
              </w:rPr>
            </w:pPr>
            <w:bookmarkStart w:id="61" w:name="_Ref71573639"/>
            <w:r>
              <w:t xml:space="preserve">Figure </w:t>
            </w:r>
            <w:r>
              <w:fldChar w:fldCharType="begin"/>
            </w:r>
            <w:r>
              <w:instrText xml:space="preserve"> SEQ Figure \* ARABIC </w:instrText>
            </w:r>
            <w:r>
              <w:fldChar w:fldCharType="separate"/>
            </w:r>
            <w:r>
              <w:rPr>
                <w:noProof/>
              </w:rPr>
              <w:t>3</w:t>
            </w:r>
            <w:r>
              <w:fldChar w:fldCharType="end"/>
            </w:r>
            <w:bookmarkEnd w:id="61"/>
            <w:r>
              <w:t xml:space="preserve"> Link-level performance of NR in the presence of phase noise for DM-RS antenna ports {0,1} and {0,4}</w:t>
            </w:r>
          </w:p>
          <w:p w14:paraId="094D95B8" w14:textId="77777777" w:rsidR="00202BBC" w:rsidRDefault="00202BBC" w:rsidP="00202BBC">
            <w:pPr>
              <w:rPr>
                <w:b/>
                <w:bCs/>
                <w:highlight w:val="green"/>
                <w:lang w:eastAsia="x-none"/>
              </w:rPr>
            </w:pPr>
          </w:p>
          <w:p w14:paraId="007578EF" w14:textId="77777777" w:rsidR="00202BBC" w:rsidRDefault="00202BBC" w:rsidP="00202BBC">
            <w:pPr>
              <w:ind w:firstLine="284"/>
              <w:rPr>
                <w:sz w:val="22"/>
                <w:lang w:eastAsia="zh-CN"/>
              </w:rPr>
            </w:pPr>
            <w:r>
              <w:rPr>
                <w:sz w:val="22"/>
                <w:lang w:eastAsia="zh-CN"/>
              </w:rPr>
              <w:t xml:space="preserve">Based on the above results, the existing DM-RS restriction in NR specification which doesn’t not allow DM-RS ports 1004-1007 or 1006-1011 usage with PT-RS ports is not well justified and should be considered for removal, </w:t>
            </w:r>
            <w:proofErr w:type="gramStart"/>
            <w:r>
              <w:rPr>
                <w:sz w:val="22"/>
                <w:lang w:eastAsia="zh-CN"/>
              </w:rPr>
              <w:t>since  it</w:t>
            </w:r>
            <w:proofErr w:type="gramEnd"/>
            <w:r>
              <w:rPr>
                <w:sz w:val="22"/>
                <w:lang w:eastAsia="zh-CN"/>
              </w:rPr>
              <w:t xml:space="preserve"> noticeably limits efficiency of MU-MIMO transmission in FR2.</w:t>
            </w:r>
          </w:p>
          <w:p w14:paraId="35AD0812" w14:textId="77777777" w:rsidR="00202BBC" w:rsidRDefault="00202BBC" w:rsidP="00202BBC">
            <w:pPr>
              <w:ind w:firstLine="284"/>
              <w:rPr>
                <w:b/>
                <w:bCs/>
                <w:i/>
                <w:iCs/>
                <w:sz w:val="22"/>
                <w:lang w:eastAsia="zh-CN"/>
              </w:rPr>
            </w:pPr>
            <w:r>
              <w:rPr>
                <w:b/>
                <w:bCs/>
                <w:i/>
                <w:iCs/>
                <w:sz w:val="22"/>
                <w:lang w:eastAsia="zh-CN"/>
              </w:rPr>
              <w:t xml:space="preserve">Observation: </w:t>
            </w:r>
          </w:p>
          <w:p w14:paraId="4A1B6A90" w14:textId="77777777" w:rsidR="00202BBC" w:rsidRDefault="00202BBC" w:rsidP="00B650B3">
            <w:pPr>
              <w:pStyle w:val="ListParagraph"/>
              <w:widowControl w:val="0"/>
              <w:numPr>
                <w:ilvl w:val="0"/>
                <w:numId w:val="25"/>
              </w:numPr>
              <w:ind w:leftChars="0"/>
              <w:jc w:val="both"/>
              <w:rPr>
                <w:i/>
                <w:iCs/>
                <w:sz w:val="22"/>
                <w:lang w:eastAsia="zh-CN"/>
              </w:rPr>
            </w:pPr>
            <w:r>
              <w:rPr>
                <w:i/>
                <w:iCs/>
                <w:lang w:eastAsia="zh-CN"/>
              </w:rPr>
              <w:t>DM-RS port restriction on use of ports 1004-1007 for type 1 and ports 1006-1011 for type 2 is not well justified while significantly limits MU-MIMO efficiency of NR system</w:t>
            </w:r>
          </w:p>
          <w:p w14:paraId="18D3FB52" w14:textId="77777777" w:rsidR="00202BBC" w:rsidRDefault="00202BBC" w:rsidP="00202BBC">
            <w:pPr>
              <w:rPr>
                <w:rFonts w:asciiTheme="minorHAnsi" w:hAnsiTheme="minorHAnsi"/>
                <w:lang w:eastAsia="zh-CN"/>
              </w:rPr>
            </w:pPr>
          </w:p>
          <w:p w14:paraId="175D2693" w14:textId="77777777" w:rsidR="00202BBC" w:rsidRDefault="00202BBC" w:rsidP="00202BBC">
            <w:pPr>
              <w:ind w:firstLine="284"/>
              <w:rPr>
                <w:sz w:val="22"/>
                <w:lang w:eastAsia="zh-CN"/>
              </w:rPr>
            </w:pPr>
            <w:r>
              <w:rPr>
                <w:sz w:val="22"/>
                <w:lang w:eastAsia="zh-CN"/>
              </w:rPr>
              <w:t>Based on the observations above the following proposal is made:</w:t>
            </w:r>
          </w:p>
          <w:p w14:paraId="6B9D8834" w14:textId="77777777" w:rsidR="00202BBC" w:rsidRDefault="00202BBC" w:rsidP="00202BBC">
            <w:pPr>
              <w:ind w:firstLine="284"/>
              <w:rPr>
                <w:b/>
                <w:bCs/>
                <w:i/>
                <w:iCs/>
                <w:sz w:val="22"/>
                <w:lang w:eastAsia="zh-CN"/>
              </w:rPr>
            </w:pPr>
            <w:r>
              <w:rPr>
                <w:b/>
                <w:bCs/>
                <w:i/>
                <w:iCs/>
                <w:sz w:val="22"/>
                <w:lang w:eastAsia="zh-CN"/>
              </w:rPr>
              <w:t>Proposal #1:</w:t>
            </w:r>
          </w:p>
          <w:p w14:paraId="157F1294" w14:textId="77777777" w:rsidR="00202BBC" w:rsidRDefault="00202BBC" w:rsidP="00B650B3">
            <w:pPr>
              <w:pStyle w:val="ListParagraph"/>
              <w:widowControl w:val="0"/>
              <w:numPr>
                <w:ilvl w:val="0"/>
                <w:numId w:val="25"/>
              </w:numPr>
              <w:ind w:leftChars="0"/>
              <w:jc w:val="both"/>
              <w:rPr>
                <w:i/>
                <w:iCs/>
                <w:sz w:val="22"/>
                <w:lang w:eastAsia="zh-CN"/>
              </w:rPr>
            </w:pPr>
            <w:r>
              <w:rPr>
                <w:i/>
                <w:iCs/>
                <w:lang w:eastAsia="zh-CN"/>
              </w:rPr>
              <w:t>For DL MU-MIMO enhancement in Rel-17:</w:t>
            </w:r>
          </w:p>
          <w:p w14:paraId="46F86998" w14:textId="77777777" w:rsidR="00202BBC" w:rsidRDefault="00202BBC" w:rsidP="00B650B3">
            <w:pPr>
              <w:pStyle w:val="ListParagraph"/>
              <w:widowControl w:val="0"/>
              <w:numPr>
                <w:ilvl w:val="1"/>
                <w:numId w:val="25"/>
              </w:numPr>
              <w:ind w:leftChars="0"/>
              <w:jc w:val="both"/>
              <w:rPr>
                <w:i/>
                <w:iCs/>
                <w:lang w:eastAsia="zh-CN"/>
              </w:rPr>
            </w:pPr>
            <w:r>
              <w:rPr>
                <w:i/>
                <w:iCs/>
                <w:lang w:eastAsia="zh-CN"/>
              </w:rPr>
              <w:t>Remove restriction on use of DM-RS ports 1004-1007 for type 1 and 1006-1011 for type 2 when PTRS is transmitted to the UE</w:t>
            </w:r>
          </w:p>
          <w:p w14:paraId="41017FFF" w14:textId="77777777" w:rsidR="00202BBC" w:rsidRPr="00202BBC" w:rsidRDefault="00202BBC" w:rsidP="00B650B3">
            <w:pPr>
              <w:pStyle w:val="ListParagraph"/>
              <w:widowControl w:val="0"/>
              <w:numPr>
                <w:ilvl w:val="1"/>
                <w:numId w:val="25"/>
              </w:numPr>
              <w:ind w:leftChars="0"/>
              <w:jc w:val="both"/>
              <w:rPr>
                <w:rFonts w:eastAsia="MS Mincho"/>
              </w:rPr>
            </w:pPr>
            <w:r>
              <w:rPr>
                <w:i/>
                <w:iCs/>
                <w:lang w:eastAsia="zh-CN"/>
              </w:rPr>
              <w:t xml:space="preserve">Define new Rel-17 UE capability for that feature </w:t>
            </w:r>
          </w:p>
          <w:p w14:paraId="3B86A142" w14:textId="2146BACD" w:rsidR="00202BBC" w:rsidRPr="000D6221" w:rsidRDefault="00202BBC" w:rsidP="00B650B3">
            <w:pPr>
              <w:pStyle w:val="ListParagraph"/>
              <w:widowControl w:val="0"/>
              <w:numPr>
                <w:ilvl w:val="1"/>
                <w:numId w:val="25"/>
              </w:numPr>
              <w:ind w:leftChars="0"/>
              <w:jc w:val="both"/>
              <w:rPr>
                <w:rFonts w:eastAsia="MS Mincho"/>
              </w:rPr>
            </w:pPr>
            <w:r>
              <w:rPr>
                <w:i/>
                <w:iCs/>
                <w:lang w:eastAsia="zh-CN"/>
              </w:rPr>
              <w:t>Adopt proposed TP in Section 1.2 as part of Rel-17 TEI</w:t>
            </w:r>
          </w:p>
        </w:tc>
      </w:tr>
    </w:tbl>
    <w:p w14:paraId="0FBB5BE2" w14:textId="77777777" w:rsidR="00202BBC" w:rsidRPr="00802399" w:rsidRDefault="00202BBC" w:rsidP="00202BBC">
      <w:pPr>
        <w:rPr>
          <w:b/>
        </w:rPr>
      </w:pPr>
    </w:p>
    <w:p w14:paraId="21C09856" w14:textId="77777777" w:rsidR="00202BBC" w:rsidRDefault="00202BBC" w:rsidP="00202BBC">
      <w:pPr>
        <w:rPr>
          <w:rFonts w:eastAsia="MS Mincho" w:cs="Batang"/>
          <w:sz w:val="22"/>
          <w:szCs w:val="22"/>
        </w:rPr>
      </w:pPr>
      <w:r>
        <w:rPr>
          <w:rFonts w:eastAsia="MS Mincho" w:cs="Batang"/>
          <w:sz w:val="22"/>
          <w:szCs w:val="22"/>
        </w:rPr>
        <w:t>Based on the above contribution, following TEI proposal can be discussed in RAN1#105-e meeting.</w:t>
      </w:r>
    </w:p>
    <w:p w14:paraId="74A0EDA9" w14:textId="77777777" w:rsidR="00202BBC" w:rsidRDefault="00202BBC" w:rsidP="00202BBC">
      <w:pPr>
        <w:rPr>
          <w:rFonts w:ascii="Arial" w:eastAsia="MS Mincho" w:hAnsi="Arial"/>
          <w:sz w:val="32"/>
          <w:szCs w:val="32"/>
        </w:rPr>
      </w:pPr>
    </w:p>
    <w:p w14:paraId="5CCA651A" w14:textId="2E6B0C7A" w:rsidR="00202BBC" w:rsidRPr="00AD5375" w:rsidRDefault="00202BBC" w:rsidP="00202BBC">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10</w:t>
      </w:r>
    </w:p>
    <w:p w14:paraId="09AFC937" w14:textId="77777777" w:rsidR="00202BBC" w:rsidRPr="000D6221" w:rsidRDefault="00202BBC" w:rsidP="00202BBC">
      <w:pPr>
        <w:pStyle w:val="ListParagraph"/>
        <w:numPr>
          <w:ilvl w:val="0"/>
          <w:numId w:val="13"/>
        </w:numPr>
        <w:ind w:leftChars="0"/>
        <w:rPr>
          <w:b/>
          <w:sz w:val="22"/>
          <w:szCs w:val="18"/>
        </w:rPr>
      </w:pPr>
      <w:r w:rsidRPr="000D6221">
        <w:rPr>
          <w:b/>
          <w:sz w:val="22"/>
          <w:szCs w:val="18"/>
        </w:rPr>
        <w:t>For DL MU-MIMO enhancement in Rel-17:</w:t>
      </w:r>
    </w:p>
    <w:p w14:paraId="37C6F2DC" w14:textId="77777777" w:rsidR="00202BBC" w:rsidRPr="000D6221" w:rsidRDefault="00202BBC" w:rsidP="00202BBC">
      <w:pPr>
        <w:pStyle w:val="ListParagraph"/>
        <w:numPr>
          <w:ilvl w:val="1"/>
          <w:numId w:val="13"/>
        </w:numPr>
        <w:ind w:leftChars="0"/>
        <w:rPr>
          <w:b/>
          <w:sz w:val="22"/>
          <w:szCs w:val="18"/>
        </w:rPr>
      </w:pPr>
      <w:r w:rsidRPr="000D6221">
        <w:rPr>
          <w:b/>
          <w:sz w:val="22"/>
          <w:szCs w:val="18"/>
        </w:rPr>
        <w:t>Remove restriction on use of DM-RS ports 1004-1007 for type 1 and 1006-1011 for type 2 when PTRS is transmitted to the UE</w:t>
      </w:r>
    </w:p>
    <w:p w14:paraId="665FBE62" w14:textId="77777777" w:rsidR="00202BBC" w:rsidRPr="000D6221" w:rsidRDefault="00202BBC" w:rsidP="00202BBC">
      <w:pPr>
        <w:pStyle w:val="ListParagraph"/>
        <w:numPr>
          <w:ilvl w:val="1"/>
          <w:numId w:val="13"/>
        </w:numPr>
        <w:ind w:leftChars="0"/>
        <w:rPr>
          <w:b/>
          <w:sz w:val="22"/>
          <w:szCs w:val="18"/>
        </w:rPr>
      </w:pPr>
      <w:r w:rsidRPr="000D6221">
        <w:rPr>
          <w:b/>
          <w:sz w:val="22"/>
          <w:szCs w:val="18"/>
        </w:rPr>
        <w:t xml:space="preserve">Define new Rel-17 UE capability for that feature </w:t>
      </w:r>
    </w:p>
    <w:p w14:paraId="6DB09146" w14:textId="1EA29A1A" w:rsidR="00202BBC" w:rsidRPr="000D6221" w:rsidRDefault="00202BBC" w:rsidP="00202BBC">
      <w:pPr>
        <w:pStyle w:val="ListParagraph"/>
        <w:numPr>
          <w:ilvl w:val="1"/>
          <w:numId w:val="13"/>
        </w:numPr>
        <w:ind w:leftChars="0"/>
        <w:rPr>
          <w:b/>
          <w:sz w:val="22"/>
          <w:szCs w:val="18"/>
        </w:rPr>
      </w:pPr>
      <w:r w:rsidRPr="000D6221">
        <w:rPr>
          <w:b/>
          <w:sz w:val="22"/>
          <w:szCs w:val="18"/>
        </w:rPr>
        <w:t>Adopt proposed TP in Section 1.2 in R1-2104939 as part of Rel-17 TEI</w:t>
      </w:r>
    </w:p>
    <w:p w14:paraId="129948CF" w14:textId="77777777" w:rsidR="00202BBC" w:rsidRPr="00202BBC" w:rsidRDefault="00202BBC" w:rsidP="00202BBC">
      <w:pPr>
        <w:rPr>
          <w:rFonts w:eastAsia="MS Mincho" w:cs="Batang"/>
          <w:sz w:val="22"/>
          <w:szCs w:val="22"/>
        </w:rPr>
      </w:pPr>
    </w:p>
    <w:p w14:paraId="1D8AF834" w14:textId="400BADFF" w:rsidR="00202BBC" w:rsidRDefault="00202BBC" w:rsidP="00202BBC">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w:t>
      </w:r>
    </w:p>
    <w:p w14:paraId="7760B5E8" w14:textId="77777777" w:rsidR="00202BBC" w:rsidRDefault="00202BBC" w:rsidP="00202BBC">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02BBC" w14:paraId="648660AB" w14:textId="77777777" w:rsidTr="00C64F5D">
        <w:tc>
          <w:tcPr>
            <w:tcW w:w="1945" w:type="dxa"/>
            <w:shd w:val="clear" w:color="auto" w:fill="F2F2F2" w:themeFill="background1" w:themeFillShade="F2"/>
          </w:tcPr>
          <w:p w14:paraId="542F8F60"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F9C26B9"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4504EFD2" w14:textId="77777777" w:rsidTr="00C64F5D">
        <w:tc>
          <w:tcPr>
            <w:tcW w:w="1945" w:type="dxa"/>
          </w:tcPr>
          <w:p w14:paraId="12377BAE" w14:textId="6130D7C6" w:rsidR="00202BBC" w:rsidRDefault="00C64F5D" w:rsidP="00C64F5D">
            <w:pPr>
              <w:spacing w:afterLines="50" w:after="120"/>
              <w:jc w:val="both"/>
              <w:rPr>
                <w:sz w:val="22"/>
                <w:lang w:val="en-US"/>
              </w:rPr>
            </w:pPr>
            <w:r>
              <w:rPr>
                <w:sz w:val="22"/>
                <w:lang w:val="en-US"/>
              </w:rPr>
              <w:t>vivo</w:t>
            </w:r>
          </w:p>
        </w:tc>
        <w:tc>
          <w:tcPr>
            <w:tcW w:w="7683" w:type="dxa"/>
          </w:tcPr>
          <w:p w14:paraId="759089D7" w14:textId="3DDED2ED" w:rsidR="00202BBC" w:rsidRDefault="00C64F5D" w:rsidP="00C64F5D">
            <w:pPr>
              <w:spacing w:afterLines="50" w:after="120"/>
              <w:jc w:val="both"/>
              <w:rPr>
                <w:sz w:val="22"/>
                <w:lang w:val="en-US"/>
              </w:rPr>
            </w:pPr>
            <w:r w:rsidRPr="00C64F5D">
              <w:rPr>
                <w:sz w:val="22"/>
                <w:lang w:val="en-US"/>
              </w:rPr>
              <w:t>it was discussed in Rel-15, orthogonality among DMRS ports within same CDM group with 2-symbol DMRS may not hold due to PN. It may be feasible, open for discussion.</w:t>
            </w:r>
          </w:p>
        </w:tc>
      </w:tr>
      <w:tr w:rsidR="00202BBC" w14:paraId="2DE6EB8A" w14:textId="77777777" w:rsidTr="00C64F5D">
        <w:tc>
          <w:tcPr>
            <w:tcW w:w="1945" w:type="dxa"/>
          </w:tcPr>
          <w:p w14:paraId="697128B9" w14:textId="77777777" w:rsidR="00202BBC" w:rsidRDefault="00202BBC" w:rsidP="00C64F5D">
            <w:pPr>
              <w:spacing w:afterLines="50" w:after="120"/>
              <w:jc w:val="both"/>
              <w:rPr>
                <w:sz w:val="22"/>
                <w:lang w:val="en-US"/>
              </w:rPr>
            </w:pPr>
          </w:p>
        </w:tc>
        <w:tc>
          <w:tcPr>
            <w:tcW w:w="7683" w:type="dxa"/>
          </w:tcPr>
          <w:p w14:paraId="35342E74" w14:textId="77777777" w:rsidR="00202BBC" w:rsidRPr="00F740AD" w:rsidRDefault="00202BBC" w:rsidP="00C64F5D">
            <w:pPr>
              <w:spacing w:afterLines="50" w:after="120"/>
              <w:jc w:val="both"/>
              <w:rPr>
                <w:sz w:val="22"/>
                <w:lang w:val="en-US"/>
              </w:rPr>
            </w:pPr>
          </w:p>
        </w:tc>
      </w:tr>
      <w:tr w:rsidR="00202BBC" w14:paraId="42FA1C11" w14:textId="77777777" w:rsidTr="00C64F5D">
        <w:tc>
          <w:tcPr>
            <w:tcW w:w="1945" w:type="dxa"/>
          </w:tcPr>
          <w:p w14:paraId="0EE6C6FB" w14:textId="77777777" w:rsidR="00202BBC" w:rsidRDefault="00202BBC" w:rsidP="00C64F5D">
            <w:pPr>
              <w:spacing w:afterLines="50" w:after="120"/>
              <w:jc w:val="both"/>
              <w:rPr>
                <w:sz w:val="22"/>
                <w:lang w:val="en-US"/>
              </w:rPr>
            </w:pPr>
          </w:p>
        </w:tc>
        <w:tc>
          <w:tcPr>
            <w:tcW w:w="7683" w:type="dxa"/>
          </w:tcPr>
          <w:p w14:paraId="466C475A" w14:textId="77777777" w:rsidR="00202BBC" w:rsidRPr="00F740AD" w:rsidRDefault="00202BBC" w:rsidP="00C64F5D">
            <w:pPr>
              <w:spacing w:afterLines="50" w:after="120"/>
              <w:jc w:val="both"/>
              <w:rPr>
                <w:sz w:val="22"/>
                <w:lang w:val="en-US"/>
              </w:rPr>
            </w:pPr>
          </w:p>
        </w:tc>
      </w:tr>
    </w:tbl>
    <w:p w14:paraId="4BAC9F50" w14:textId="6AA6FCC2" w:rsidR="00202BBC" w:rsidRDefault="00202BBC" w:rsidP="002753B9">
      <w:pPr>
        <w:rPr>
          <w:b/>
        </w:rPr>
      </w:pPr>
    </w:p>
    <w:p w14:paraId="233B89A0" w14:textId="3E1B8F39" w:rsidR="00202BBC" w:rsidRDefault="00202BBC" w:rsidP="002753B9">
      <w:pPr>
        <w:rPr>
          <w:b/>
        </w:rPr>
      </w:pPr>
    </w:p>
    <w:p w14:paraId="42525E37" w14:textId="6CF53C05" w:rsidR="00202BBC" w:rsidRDefault="00202BBC" w:rsidP="002753B9">
      <w:pPr>
        <w:rPr>
          <w:b/>
        </w:rPr>
      </w:pPr>
    </w:p>
    <w:p w14:paraId="541A3388" w14:textId="692A887F"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UL MU-MIMO enhancements for DSS</w:t>
      </w:r>
    </w:p>
    <w:p w14:paraId="0C37BB95" w14:textId="77777777" w:rsidR="00202BBC" w:rsidRDefault="00202BBC" w:rsidP="00202BBC">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202BBC" w14:paraId="2D816F6B" w14:textId="77777777" w:rsidTr="00C64F5D">
        <w:tc>
          <w:tcPr>
            <w:tcW w:w="562" w:type="dxa"/>
          </w:tcPr>
          <w:p w14:paraId="5123E811" w14:textId="4DF4C699" w:rsidR="00202BBC" w:rsidRPr="0016792D" w:rsidRDefault="00202BBC"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3F2FE073" w14:textId="77777777" w:rsidR="00202BBC" w:rsidRDefault="00202BBC" w:rsidP="00202BBC">
            <w:pPr>
              <w:tabs>
                <w:tab w:val="num" w:pos="720"/>
              </w:tabs>
              <w:ind w:firstLine="288"/>
              <w:rPr>
                <w:rFonts w:eastAsiaTheme="minorEastAsia"/>
                <w:sz w:val="22"/>
                <w:lang w:val="en-US"/>
              </w:rPr>
            </w:pPr>
            <w:r>
              <w:rPr>
                <w:sz w:val="22"/>
              </w:rPr>
              <w:t xml:space="preserve">Dynamic spectrum sharing (DSS) has attracted a lot of attention in 3GPP as a tool that provides efficient migration from LTE to NR radio access technology. DSS allows LTE and NR to share the same carrier by dynamically allocating resources to LTE or NR users depending on the traffic loading conditions. In 5G NR DSS is supported starting from Rel-15 and was further enhanced in Rel-16 / Rel-17. So far, the DSS enhancements in 3GPP are mainly focused on downlink transmission. At the same time MU-MIMO is considered as key multiplexing option for uplink transmission. The multiplexing in spatial domain between LTE and NR users may not be feasible in the existing NR system due to incompatible DM-RS. As the result spectral efficiency of the NR / LTE systems in the uplink may be degraded. The performance, however, can be improved by allowing uplink MU-MIMO transmission of LTE and NR users (see </w:t>
            </w:r>
            <w:r>
              <w:rPr>
                <w:sz w:val="22"/>
              </w:rPr>
              <w:fldChar w:fldCharType="begin"/>
            </w:r>
            <w:r>
              <w:rPr>
                <w:sz w:val="22"/>
              </w:rPr>
              <w:instrText xml:space="preserve"> REF _Ref71578016 \h  \* MERGEFORMAT </w:instrText>
            </w:r>
            <w:r>
              <w:rPr>
                <w:sz w:val="22"/>
              </w:rPr>
            </w:r>
            <w:r>
              <w:rPr>
                <w:sz w:val="22"/>
              </w:rPr>
              <w:fldChar w:fldCharType="separate"/>
            </w:r>
            <w:r>
              <w:rPr>
                <w:sz w:val="22"/>
              </w:rPr>
              <w:t xml:space="preserve">Figure </w:t>
            </w:r>
            <w:r>
              <w:rPr>
                <w:noProof/>
                <w:sz w:val="22"/>
              </w:rPr>
              <w:t>4</w:t>
            </w:r>
            <w:r>
              <w:rPr>
                <w:sz w:val="22"/>
              </w:rPr>
              <w:fldChar w:fldCharType="end"/>
            </w:r>
            <w:r>
              <w:rPr>
                <w:sz w:val="22"/>
              </w:rPr>
              <w:t xml:space="preserve">). To support efficient multiplexing, DM-RS enhancement based on orthogonal ports between LTE and NR is required.  </w:t>
            </w:r>
          </w:p>
          <w:p w14:paraId="2AC260F0" w14:textId="76209D61" w:rsidR="00202BBC" w:rsidRDefault="00202BBC" w:rsidP="00202BBC">
            <w:pPr>
              <w:keepNext/>
              <w:ind w:firstLine="360"/>
              <w:rPr>
                <w:sz w:val="22"/>
              </w:rPr>
            </w:pPr>
            <w:r>
              <w:rPr>
                <w:noProof/>
                <w:sz w:val="22"/>
              </w:rPr>
              <w:drawing>
                <wp:inline distT="0" distB="0" distL="0" distR="0" wp14:anchorId="2A91D7F2" wp14:editId="1B53BA59">
                  <wp:extent cx="2514600" cy="1019175"/>
                  <wp:effectExtent l="0" t="0" r="0" b="952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14600" cy="1019175"/>
                          </a:xfrm>
                          <a:prstGeom prst="rect">
                            <a:avLst/>
                          </a:prstGeom>
                          <a:noFill/>
                          <a:ln>
                            <a:noFill/>
                          </a:ln>
                        </pic:spPr>
                      </pic:pic>
                    </a:graphicData>
                  </a:graphic>
                </wp:inline>
              </w:drawing>
            </w:r>
            <w:r>
              <w:rPr>
                <w:sz w:val="22"/>
              </w:rPr>
              <w:tab/>
            </w:r>
            <w:r>
              <w:rPr>
                <w:sz w:val="22"/>
              </w:rPr>
              <w:tab/>
            </w:r>
            <w:r>
              <w:rPr>
                <w:sz w:val="22"/>
              </w:rPr>
              <w:tab/>
            </w:r>
            <w:r>
              <w:rPr>
                <w:sz w:val="22"/>
              </w:rPr>
              <w:tab/>
            </w:r>
            <w:r>
              <w:rPr>
                <w:noProof/>
                <w:sz w:val="22"/>
              </w:rPr>
              <w:drawing>
                <wp:inline distT="0" distB="0" distL="0" distR="0" wp14:anchorId="38162798" wp14:editId="55814F46">
                  <wp:extent cx="2562225" cy="1019175"/>
                  <wp:effectExtent l="0" t="0" r="9525" b="952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62225" cy="1019175"/>
                          </a:xfrm>
                          <a:prstGeom prst="rect">
                            <a:avLst/>
                          </a:prstGeom>
                          <a:noFill/>
                          <a:ln>
                            <a:noFill/>
                          </a:ln>
                        </pic:spPr>
                      </pic:pic>
                    </a:graphicData>
                  </a:graphic>
                </wp:inline>
              </w:drawing>
            </w:r>
          </w:p>
          <w:p w14:paraId="7E0DA3C3" w14:textId="77777777" w:rsidR="00202BBC" w:rsidRDefault="00202BBC" w:rsidP="00202BBC">
            <w:pPr>
              <w:keepNext/>
              <w:ind w:firstLine="360"/>
              <w:jc w:val="center"/>
              <w:rPr>
                <w:sz w:val="21"/>
              </w:rPr>
            </w:pPr>
            <w:r>
              <w:rPr>
                <w:sz w:val="22"/>
              </w:rPr>
              <w:t>(a) without uplink DSS</w:t>
            </w:r>
            <w:r>
              <w:rPr>
                <w:sz w:val="22"/>
              </w:rPr>
              <w:tab/>
            </w:r>
            <w:r>
              <w:rPr>
                <w:sz w:val="22"/>
              </w:rPr>
              <w:tab/>
            </w:r>
            <w:r>
              <w:rPr>
                <w:sz w:val="22"/>
              </w:rPr>
              <w:tab/>
            </w:r>
            <w:r>
              <w:rPr>
                <w:sz w:val="22"/>
              </w:rPr>
              <w:tab/>
            </w:r>
            <w:r>
              <w:rPr>
                <w:sz w:val="22"/>
              </w:rPr>
              <w:tab/>
            </w:r>
            <w:r>
              <w:rPr>
                <w:sz w:val="22"/>
              </w:rPr>
              <w:tab/>
              <w:t>(b) with proposed uplink DSS</w:t>
            </w:r>
          </w:p>
          <w:p w14:paraId="6C50621A" w14:textId="77777777" w:rsidR="00202BBC" w:rsidRDefault="00202BBC" w:rsidP="00202BBC">
            <w:pPr>
              <w:pStyle w:val="Caption"/>
              <w:jc w:val="center"/>
              <w:rPr>
                <w:sz w:val="22"/>
              </w:rPr>
            </w:pPr>
            <w:bookmarkStart w:id="62" w:name="_Ref71578016"/>
            <w:r>
              <w:t xml:space="preserve">Figure </w:t>
            </w:r>
            <w:r>
              <w:fldChar w:fldCharType="begin"/>
            </w:r>
            <w:r>
              <w:instrText xml:space="preserve"> SEQ Figure \* ARABIC </w:instrText>
            </w:r>
            <w:r>
              <w:fldChar w:fldCharType="separate"/>
            </w:r>
            <w:r>
              <w:rPr>
                <w:noProof/>
              </w:rPr>
              <w:t>4</w:t>
            </w:r>
            <w:r>
              <w:fldChar w:fldCharType="end"/>
            </w:r>
            <w:bookmarkEnd w:id="62"/>
            <w:r>
              <w:t xml:space="preserve"> Illustration of uplink MU-MIMO transmission scenarios</w:t>
            </w:r>
          </w:p>
          <w:p w14:paraId="62D07FCC" w14:textId="77777777" w:rsidR="00202BBC" w:rsidRDefault="00202BBC" w:rsidP="00202BBC">
            <w:pPr>
              <w:tabs>
                <w:tab w:val="num" w:pos="720"/>
              </w:tabs>
              <w:rPr>
                <w:sz w:val="22"/>
              </w:rPr>
            </w:pPr>
            <w:r>
              <w:rPr>
                <w:sz w:val="22"/>
              </w:rPr>
              <w:t xml:space="preserve">More specifically, to support DSS between LTE and NR users, 5G NR should support additional DM-RS pattern with the same DM-RS symbol positions as in LTE (see </w:t>
            </w:r>
            <w:r>
              <w:rPr>
                <w:sz w:val="22"/>
              </w:rPr>
              <w:fldChar w:fldCharType="begin"/>
            </w:r>
            <w:r>
              <w:rPr>
                <w:sz w:val="22"/>
              </w:rPr>
              <w:instrText xml:space="preserve"> REF _Ref71586311 \h  \* MERGEFORMAT </w:instrText>
            </w:r>
            <w:r>
              <w:rPr>
                <w:sz w:val="22"/>
              </w:rPr>
            </w:r>
            <w:r>
              <w:rPr>
                <w:sz w:val="22"/>
              </w:rPr>
              <w:fldChar w:fldCharType="separate"/>
            </w:r>
            <w:r>
              <w:rPr>
                <w:sz w:val="22"/>
              </w:rPr>
              <w:t xml:space="preserve">Figure </w:t>
            </w:r>
            <w:r>
              <w:rPr>
                <w:noProof/>
                <w:sz w:val="22"/>
              </w:rPr>
              <w:t>5</w:t>
            </w:r>
            <w:r>
              <w:rPr>
                <w:sz w:val="22"/>
              </w:rPr>
              <w:fldChar w:fldCharType="end"/>
            </w:r>
            <w:r>
              <w:rPr>
                <w:sz w:val="22"/>
              </w:rPr>
              <w:t>). In addition, NR DM-RS sequence should be the same within uplink slot.</w:t>
            </w:r>
          </w:p>
          <w:p w14:paraId="73C394CA" w14:textId="4DD0BB8B" w:rsidR="00202BBC" w:rsidRDefault="00202BBC" w:rsidP="00202BBC">
            <w:pPr>
              <w:keepNext/>
              <w:tabs>
                <w:tab w:val="num" w:pos="720"/>
              </w:tabs>
              <w:jc w:val="center"/>
              <w:rPr>
                <w:sz w:val="21"/>
              </w:rPr>
            </w:pPr>
            <w:r>
              <w:rPr>
                <w:noProof/>
                <w:sz w:val="22"/>
              </w:rPr>
              <w:drawing>
                <wp:inline distT="0" distB="0" distL="0" distR="0" wp14:anchorId="44F9D367" wp14:editId="393F55F0">
                  <wp:extent cx="4533900" cy="131445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33900" cy="1314450"/>
                          </a:xfrm>
                          <a:prstGeom prst="rect">
                            <a:avLst/>
                          </a:prstGeom>
                          <a:noFill/>
                          <a:ln>
                            <a:noFill/>
                          </a:ln>
                        </pic:spPr>
                      </pic:pic>
                    </a:graphicData>
                  </a:graphic>
                </wp:inline>
              </w:drawing>
            </w:r>
          </w:p>
          <w:p w14:paraId="313007DD" w14:textId="77777777" w:rsidR="00202BBC" w:rsidRDefault="00202BBC" w:rsidP="00202BBC">
            <w:pPr>
              <w:pStyle w:val="Caption"/>
              <w:jc w:val="center"/>
              <w:rPr>
                <w:sz w:val="22"/>
              </w:rPr>
            </w:pPr>
            <w:bookmarkStart w:id="63" w:name="_Ref71586311"/>
            <w:r>
              <w:t xml:space="preserve">Figure </w:t>
            </w:r>
            <w:r>
              <w:fldChar w:fldCharType="begin"/>
            </w:r>
            <w:r>
              <w:instrText xml:space="preserve"> SEQ Figure \* ARABIC </w:instrText>
            </w:r>
            <w:r>
              <w:fldChar w:fldCharType="separate"/>
            </w:r>
            <w:r>
              <w:rPr>
                <w:noProof/>
              </w:rPr>
              <w:t>5</w:t>
            </w:r>
            <w:r>
              <w:fldChar w:fldCharType="end"/>
            </w:r>
            <w:bookmarkEnd w:id="63"/>
            <w:r>
              <w:t xml:space="preserve"> New DM-RS positions to support orthogonal multiplexing of DM-RS ports for LTE and NR</w:t>
            </w:r>
          </w:p>
          <w:p w14:paraId="1AAA7424" w14:textId="77777777" w:rsidR="00202BBC" w:rsidRDefault="00202BBC" w:rsidP="00202BBC">
            <w:pPr>
              <w:tabs>
                <w:tab w:val="num" w:pos="720"/>
              </w:tabs>
              <w:rPr>
                <w:sz w:val="22"/>
              </w:rPr>
            </w:pPr>
            <w:r>
              <w:rPr>
                <w:sz w:val="22"/>
              </w:rPr>
              <w:t>The orthogonal multiplexing between NR and LTE DM-RS can be achieved, by relying on Rel-10 LTE DM-RS with time domain OCC (i.e., {</w:t>
            </w:r>
            <w:proofErr w:type="gramStart"/>
            <w:r>
              <w:rPr>
                <w:sz w:val="22"/>
              </w:rPr>
              <w:t>1,-</w:t>
            </w:r>
            <w:proofErr w:type="gramEnd"/>
            <w:r>
              <w:rPr>
                <w:sz w:val="22"/>
              </w:rPr>
              <w:t>1}) or using Rel-14 LTE DM-RS with comb structure. Since the corresponding DM-RS port multiplexing options (i.e. TD-OCC or different CDM group) can be supported for generic DM-RS sequences, the corresponding DM-RS multiplexing options should be applicable for different waveforms supported in NR (CP-OFDM) and DFT-s-OFDM (supported LTE and NR).</w:t>
            </w:r>
          </w:p>
          <w:p w14:paraId="18364E2A" w14:textId="77777777" w:rsidR="00202BBC" w:rsidRDefault="00202BBC" w:rsidP="00202BBC">
            <w:pPr>
              <w:ind w:firstLine="284"/>
              <w:rPr>
                <w:b/>
                <w:bCs/>
                <w:i/>
                <w:iCs/>
                <w:sz w:val="22"/>
                <w:lang w:eastAsia="zh-CN"/>
              </w:rPr>
            </w:pPr>
            <w:r>
              <w:rPr>
                <w:b/>
                <w:bCs/>
                <w:i/>
                <w:iCs/>
                <w:sz w:val="22"/>
                <w:lang w:eastAsia="zh-CN"/>
              </w:rPr>
              <w:t>Proposal #2:</w:t>
            </w:r>
          </w:p>
          <w:p w14:paraId="766166DD" w14:textId="77777777" w:rsidR="00202BBC" w:rsidRDefault="00202BBC" w:rsidP="00B650B3">
            <w:pPr>
              <w:pStyle w:val="ListParagraph"/>
              <w:widowControl w:val="0"/>
              <w:numPr>
                <w:ilvl w:val="0"/>
                <w:numId w:val="25"/>
              </w:numPr>
              <w:ind w:leftChars="0"/>
              <w:jc w:val="both"/>
              <w:rPr>
                <w:i/>
                <w:iCs/>
                <w:sz w:val="22"/>
                <w:lang w:eastAsia="zh-CN"/>
              </w:rPr>
            </w:pPr>
            <w:r>
              <w:rPr>
                <w:i/>
                <w:iCs/>
                <w:lang w:eastAsia="zh-CN"/>
              </w:rPr>
              <w:t>For UL MU-MIMO enhancement in Rel-17:</w:t>
            </w:r>
          </w:p>
          <w:p w14:paraId="11B422AD" w14:textId="77777777" w:rsidR="00202BBC" w:rsidRDefault="00202BBC" w:rsidP="00B650B3">
            <w:pPr>
              <w:pStyle w:val="ListParagraph"/>
              <w:widowControl w:val="0"/>
              <w:numPr>
                <w:ilvl w:val="1"/>
                <w:numId w:val="25"/>
              </w:numPr>
              <w:ind w:leftChars="0"/>
              <w:jc w:val="both"/>
              <w:rPr>
                <w:i/>
                <w:iCs/>
                <w:lang w:eastAsia="zh-CN"/>
              </w:rPr>
            </w:pPr>
            <w:r>
              <w:rPr>
                <w:i/>
                <w:iCs/>
                <w:lang w:eastAsia="zh-CN"/>
              </w:rPr>
              <w:t>Support MU-MIMO between LTE and NR users using orthogonal DM-RS antenna ports</w:t>
            </w:r>
          </w:p>
          <w:p w14:paraId="46A2FA06" w14:textId="77777777" w:rsidR="00202BBC" w:rsidRDefault="00202BBC" w:rsidP="00B650B3">
            <w:pPr>
              <w:pStyle w:val="ListParagraph"/>
              <w:widowControl w:val="0"/>
              <w:numPr>
                <w:ilvl w:val="1"/>
                <w:numId w:val="25"/>
              </w:numPr>
              <w:ind w:leftChars="0"/>
              <w:jc w:val="both"/>
              <w:rPr>
                <w:i/>
                <w:iCs/>
                <w:lang w:eastAsia="zh-CN"/>
              </w:rPr>
            </w:pPr>
            <w:r>
              <w:rPr>
                <w:i/>
                <w:iCs/>
                <w:lang w:eastAsia="zh-CN"/>
              </w:rPr>
              <w:t>Define new DM-RS position and the same DM-RS sequence in the slot for NR depending on higher layer configuration</w:t>
            </w:r>
          </w:p>
          <w:p w14:paraId="7F9C62A6" w14:textId="4F2239D8" w:rsidR="00202BBC" w:rsidRPr="00202BBC" w:rsidRDefault="00202BBC" w:rsidP="00B650B3">
            <w:pPr>
              <w:pStyle w:val="ListParagraph"/>
              <w:widowControl w:val="0"/>
              <w:numPr>
                <w:ilvl w:val="1"/>
                <w:numId w:val="25"/>
              </w:numPr>
              <w:ind w:leftChars="0"/>
              <w:jc w:val="both"/>
              <w:rPr>
                <w:i/>
                <w:iCs/>
                <w:lang w:eastAsia="zh-CN"/>
              </w:rPr>
            </w:pPr>
            <w:r>
              <w:rPr>
                <w:i/>
                <w:iCs/>
                <w:lang w:eastAsia="zh-CN"/>
              </w:rPr>
              <w:t>Adopt proposed TP in Section 2.2 as part of Rel-17 TEI</w:t>
            </w:r>
          </w:p>
        </w:tc>
      </w:tr>
    </w:tbl>
    <w:p w14:paraId="599C321D" w14:textId="77777777" w:rsidR="00202BBC" w:rsidRPr="00802399" w:rsidRDefault="00202BBC" w:rsidP="00202BBC">
      <w:pPr>
        <w:rPr>
          <w:b/>
        </w:rPr>
      </w:pPr>
    </w:p>
    <w:p w14:paraId="583B5EFF" w14:textId="77777777" w:rsidR="00202BBC" w:rsidRDefault="00202BBC" w:rsidP="00202BBC">
      <w:pPr>
        <w:rPr>
          <w:rFonts w:eastAsia="MS Mincho" w:cs="Batang"/>
          <w:sz w:val="22"/>
          <w:szCs w:val="22"/>
        </w:rPr>
      </w:pPr>
      <w:r>
        <w:rPr>
          <w:rFonts w:eastAsia="MS Mincho" w:cs="Batang"/>
          <w:sz w:val="22"/>
          <w:szCs w:val="22"/>
        </w:rPr>
        <w:t>Based on the above contribution, following TEI proposal can be discussed in RAN1#105-e meeting.</w:t>
      </w:r>
    </w:p>
    <w:p w14:paraId="78B83C04" w14:textId="77777777" w:rsidR="00202BBC" w:rsidRDefault="00202BBC" w:rsidP="00202BBC">
      <w:pPr>
        <w:rPr>
          <w:rFonts w:ascii="Arial" w:eastAsia="MS Mincho" w:hAnsi="Arial"/>
          <w:sz w:val="32"/>
          <w:szCs w:val="32"/>
        </w:rPr>
      </w:pPr>
    </w:p>
    <w:p w14:paraId="4EE36E6C" w14:textId="7119B4C5" w:rsidR="00202BBC" w:rsidRPr="00AD5375" w:rsidRDefault="00202BBC" w:rsidP="00202BBC">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11</w:t>
      </w:r>
    </w:p>
    <w:p w14:paraId="239FCF8E" w14:textId="77777777" w:rsidR="00202BBC" w:rsidRPr="000D6221" w:rsidRDefault="00202BBC" w:rsidP="00202BBC">
      <w:pPr>
        <w:pStyle w:val="ListParagraph"/>
        <w:numPr>
          <w:ilvl w:val="0"/>
          <w:numId w:val="13"/>
        </w:numPr>
        <w:ind w:leftChars="0"/>
        <w:rPr>
          <w:b/>
          <w:sz w:val="22"/>
          <w:szCs w:val="18"/>
        </w:rPr>
      </w:pPr>
      <w:r w:rsidRPr="000D6221">
        <w:rPr>
          <w:b/>
          <w:sz w:val="22"/>
          <w:szCs w:val="18"/>
        </w:rPr>
        <w:t>For UL MU-MIMO enhancement in Rel-17:</w:t>
      </w:r>
    </w:p>
    <w:p w14:paraId="44EA424B" w14:textId="77777777" w:rsidR="00202BBC" w:rsidRPr="000D6221" w:rsidRDefault="00202BBC" w:rsidP="00202BBC">
      <w:pPr>
        <w:pStyle w:val="ListParagraph"/>
        <w:numPr>
          <w:ilvl w:val="1"/>
          <w:numId w:val="13"/>
        </w:numPr>
        <w:ind w:leftChars="0"/>
        <w:rPr>
          <w:b/>
          <w:sz w:val="22"/>
          <w:szCs w:val="18"/>
        </w:rPr>
      </w:pPr>
      <w:r w:rsidRPr="000D6221">
        <w:rPr>
          <w:b/>
          <w:sz w:val="22"/>
          <w:szCs w:val="18"/>
        </w:rPr>
        <w:t>Support MU-MIMO between LTE and NR users using orthogonal DM-RS antenna ports</w:t>
      </w:r>
    </w:p>
    <w:p w14:paraId="69FE0A90" w14:textId="77777777" w:rsidR="00202BBC" w:rsidRPr="000D6221" w:rsidRDefault="00202BBC" w:rsidP="00202BBC">
      <w:pPr>
        <w:pStyle w:val="ListParagraph"/>
        <w:numPr>
          <w:ilvl w:val="1"/>
          <w:numId w:val="13"/>
        </w:numPr>
        <w:ind w:leftChars="0"/>
        <w:rPr>
          <w:b/>
          <w:sz w:val="22"/>
          <w:szCs w:val="18"/>
        </w:rPr>
      </w:pPr>
      <w:r w:rsidRPr="000D6221">
        <w:rPr>
          <w:b/>
          <w:sz w:val="22"/>
          <w:szCs w:val="18"/>
        </w:rPr>
        <w:t>Define new DM-RS position and the same DM-RS sequence in the slot for NR depending on higher layer configuration</w:t>
      </w:r>
    </w:p>
    <w:p w14:paraId="6C77B5BF" w14:textId="530953E6" w:rsidR="00202BBC" w:rsidRPr="000D6221" w:rsidRDefault="00202BBC" w:rsidP="00202BBC">
      <w:pPr>
        <w:pStyle w:val="ListParagraph"/>
        <w:numPr>
          <w:ilvl w:val="1"/>
          <w:numId w:val="13"/>
        </w:numPr>
        <w:ind w:leftChars="0"/>
        <w:rPr>
          <w:b/>
          <w:sz w:val="22"/>
          <w:szCs w:val="18"/>
        </w:rPr>
      </w:pPr>
      <w:r w:rsidRPr="000D6221">
        <w:rPr>
          <w:b/>
          <w:sz w:val="22"/>
          <w:szCs w:val="18"/>
        </w:rPr>
        <w:t xml:space="preserve">Adopt proposed TP in Section 2.2 </w:t>
      </w:r>
      <w:r w:rsidR="000D6221">
        <w:rPr>
          <w:b/>
          <w:sz w:val="22"/>
          <w:szCs w:val="18"/>
        </w:rPr>
        <w:t xml:space="preserve">in R1-2104939 </w:t>
      </w:r>
      <w:r w:rsidRPr="000D6221">
        <w:rPr>
          <w:b/>
          <w:sz w:val="22"/>
          <w:szCs w:val="18"/>
        </w:rPr>
        <w:t>as part of Rel-17 TEI</w:t>
      </w:r>
    </w:p>
    <w:p w14:paraId="2EF2CAFD" w14:textId="77777777" w:rsidR="00202BBC" w:rsidRDefault="00202BBC" w:rsidP="00202BBC">
      <w:pPr>
        <w:rPr>
          <w:rFonts w:eastAsia="MS Mincho" w:cs="Batang"/>
          <w:sz w:val="22"/>
          <w:szCs w:val="22"/>
        </w:rPr>
      </w:pPr>
    </w:p>
    <w:p w14:paraId="33621F9B" w14:textId="43A8978B" w:rsidR="00202BBC" w:rsidRDefault="00202BBC" w:rsidP="00202BBC">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D6221">
        <w:rPr>
          <w:rFonts w:eastAsia="MS Mincho" w:cs="Batang"/>
          <w:sz w:val="22"/>
          <w:szCs w:val="22"/>
        </w:rPr>
        <w:t>Intel</w:t>
      </w:r>
      <w:r>
        <w:rPr>
          <w:rFonts w:eastAsia="MS Mincho" w:cs="Batang"/>
          <w:sz w:val="22"/>
          <w:szCs w:val="22"/>
        </w:rPr>
        <w:t>.</w:t>
      </w:r>
    </w:p>
    <w:p w14:paraId="56635307" w14:textId="77777777" w:rsidR="00202BBC" w:rsidRDefault="00202BBC" w:rsidP="00202BBC">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02BBC" w14:paraId="09206432" w14:textId="77777777" w:rsidTr="00C64F5D">
        <w:tc>
          <w:tcPr>
            <w:tcW w:w="1945" w:type="dxa"/>
            <w:shd w:val="clear" w:color="auto" w:fill="F2F2F2" w:themeFill="background1" w:themeFillShade="F2"/>
          </w:tcPr>
          <w:p w14:paraId="3B750597"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36447BA"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6F9E2275" w14:textId="77777777" w:rsidTr="00C64F5D">
        <w:tc>
          <w:tcPr>
            <w:tcW w:w="1945" w:type="dxa"/>
          </w:tcPr>
          <w:p w14:paraId="3AB0796D" w14:textId="58065813" w:rsidR="00202BBC" w:rsidRDefault="004103C0" w:rsidP="00C64F5D">
            <w:pPr>
              <w:spacing w:afterLines="50" w:after="120"/>
              <w:jc w:val="both"/>
              <w:rPr>
                <w:sz w:val="22"/>
                <w:lang w:val="en-US"/>
              </w:rPr>
            </w:pPr>
            <w:r>
              <w:rPr>
                <w:sz w:val="22"/>
                <w:lang w:val="en-US"/>
              </w:rPr>
              <w:t>vivo</w:t>
            </w:r>
          </w:p>
        </w:tc>
        <w:tc>
          <w:tcPr>
            <w:tcW w:w="7683" w:type="dxa"/>
          </w:tcPr>
          <w:p w14:paraId="1F2F2B55" w14:textId="4DF055E1" w:rsidR="00202BBC" w:rsidRDefault="004103C0" w:rsidP="00C64F5D">
            <w:pPr>
              <w:spacing w:afterLines="50" w:after="120"/>
              <w:jc w:val="both"/>
              <w:rPr>
                <w:sz w:val="22"/>
                <w:lang w:val="en-US"/>
              </w:rPr>
            </w:pPr>
            <w:r w:rsidRPr="004103C0">
              <w:rPr>
                <w:sz w:val="22"/>
                <w:lang w:val="en-US"/>
              </w:rPr>
              <w:t xml:space="preserve">need </w:t>
            </w:r>
            <w:r>
              <w:rPr>
                <w:sz w:val="22"/>
                <w:lang w:val="en-US"/>
              </w:rPr>
              <w:t>more</w:t>
            </w:r>
            <w:r w:rsidRPr="004103C0">
              <w:rPr>
                <w:sz w:val="22"/>
                <w:lang w:val="en-US"/>
              </w:rPr>
              <w:t xml:space="preserve"> clarification on deployment scenario, motivation</w:t>
            </w:r>
            <w:r>
              <w:rPr>
                <w:sz w:val="22"/>
                <w:lang w:val="en-US"/>
              </w:rPr>
              <w:t>. DSS is mainly for co-existence?</w:t>
            </w:r>
          </w:p>
        </w:tc>
      </w:tr>
      <w:tr w:rsidR="00202BBC" w14:paraId="354A63F4" w14:textId="77777777" w:rsidTr="00C64F5D">
        <w:tc>
          <w:tcPr>
            <w:tcW w:w="1945" w:type="dxa"/>
          </w:tcPr>
          <w:p w14:paraId="209CE6C1" w14:textId="77777777" w:rsidR="00202BBC" w:rsidRDefault="00202BBC" w:rsidP="00C64F5D">
            <w:pPr>
              <w:spacing w:afterLines="50" w:after="120"/>
              <w:jc w:val="both"/>
              <w:rPr>
                <w:sz w:val="22"/>
                <w:lang w:val="en-US"/>
              </w:rPr>
            </w:pPr>
          </w:p>
        </w:tc>
        <w:tc>
          <w:tcPr>
            <w:tcW w:w="7683" w:type="dxa"/>
          </w:tcPr>
          <w:p w14:paraId="3E4D4484" w14:textId="77777777" w:rsidR="00202BBC" w:rsidRPr="00F740AD" w:rsidRDefault="00202BBC" w:rsidP="00C64F5D">
            <w:pPr>
              <w:spacing w:afterLines="50" w:after="120"/>
              <w:jc w:val="both"/>
              <w:rPr>
                <w:sz w:val="22"/>
                <w:lang w:val="en-US"/>
              </w:rPr>
            </w:pPr>
          </w:p>
        </w:tc>
      </w:tr>
      <w:tr w:rsidR="00202BBC" w14:paraId="1D4FB6E5" w14:textId="77777777" w:rsidTr="00C64F5D">
        <w:tc>
          <w:tcPr>
            <w:tcW w:w="1945" w:type="dxa"/>
          </w:tcPr>
          <w:p w14:paraId="01E965FB" w14:textId="77777777" w:rsidR="00202BBC" w:rsidRDefault="00202BBC" w:rsidP="00C64F5D">
            <w:pPr>
              <w:spacing w:afterLines="50" w:after="120"/>
              <w:jc w:val="both"/>
              <w:rPr>
                <w:sz w:val="22"/>
                <w:lang w:val="en-US"/>
              </w:rPr>
            </w:pPr>
          </w:p>
        </w:tc>
        <w:tc>
          <w:tcPr>
            <w:tcW w:w="7683" w:type="dxa"/>
          </w:tcPr>
          <w:p w14:paraId="71F9F598" w14:textId="77777777" w:rsidR="00202BBC" w:rsidRPr="00F740AD" w:rsidRDefault="00202BBC" w:rsidP="00C64F5D">
            <w:pPr>
              <w:spacing w:afterLines="50" w:after="120"/>
              <w:jc w:val="both"/>
              <w:rPr>
                <w:sz w:val="22"/>
                <w:lang w:val="en-US"/>
              </w:rPr>
            </w:pPr>
          </w:p>
        </w:tc>
      </w:tr>
    </w:tbl>
    <w:p w14:paraId="16281E2D" w14:textId="77777777" w:rsidR="00202BBC" w:rsidRDefault="00202BBC" w:rsidP="00202BBC">
      <w:pPr>
        <w:rPr>
          <w:b/>
        </w:rPr>
      </w:pPr>
    </w:p>
    <w:p w14:paraId="170C7611" w14:textId="7E175E4E" w:rsidR="00202BBC" w:rsidRDefault="00202BBC" w:rsidP="002753B9">
      <w:pPr>
        <w:rPr>
          <w:b/>
        </w:rPr>
      </w:pPr>
    </w:p>
    <w:p w14:paraId="6189DF14" w14:textId="013FEF24" w:rsidR="00EF50AD" w:rsidRDefault="00EF50AD" w:rsidP="002753B9">
      <w:pPr>
        <w:rPr>
          <w:b/>
        </w:rPr>
      </w:pPr>
    </w:p>
    <w:p w14:paraId="1F7A5D4E" w14:textId="2E4801F5" w:rsidR="00EF50AD" w:rsidRPr="005953A0" w:rsidRDefault="00EF50AD" w:rsidP="00EF50A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rPr>
        <w:t>M</w:t>
      </w:r>
      <w:proofErr w:type="spellStart"/>
      <w:r w:rsidRPr="00EF50AD">
        <w:rPr>
          <w:rFonts w:ascii="Arial" w:eastAsia="MS Mincho" w:hAnsi="Arial"/>
          <w:sz w:val="28"/>
          <w:szCs w:val="32"/>
          <w:lang w:val="en-US"/>
        </w:rPr>
        <w:t>itigating</w:t>
      </w:r>
      <w:proofErr w:type="spellEnd"/>
      <w:r w:rsidRPr="00EF50AD">
        <w:rPr>
          <w:rFonts w:ascii="Arial" w:eastAsia="MS Mincho" w:hAnsi="Arial"/>
          <w:sz w:val="28"/>
          <w:szCs w:val="32"/>
          <w:lang w:val="en-US"/>
        </w:rPr>
        <w:t xml:space="preserve"> half-duplex issue in NR V2X groupcast NACK-only case regime</w:t>
      </w:r>
    </w:p>
    <w:p w14:paraId="345A3F22" w14:textId="77777777" w:rsidR="00EF50AD" w:rsidRDefault="00EF50AD" w:rsidP="00EF50AD">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EF50AD" w14:paraId="634BBA36" w14:textId="77777777" w:rsidTr="00C64F5D">
        <w:tc>
          <w:tcPr>
            <w:tcW w:w="562" w:type="dxa"/>
          </w:tcPr>
          <w:p w14:paraId="0534C99E" w14:textId="102B9189" w:rsidR="00EF50AD" w:rsidRPr="0016792D" w:rsidRDefault="00EF50AD"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7]</w:t>
            </w:r>
          </w:p>
        </w:tc>
        <w:tc>
          <w:tcPr>
            <w:tcW w:w="9066" w:type="dxa"/>
          </w:tcPr>
          <w:p w14:paraId="06A17468" w14:textId="77777777" w:rsidR="00EF50AD" w:rsidRDefault="00EF50AD" w:rsidP="00EF50AD">
            <w:pPr>
              <w:pStyle w:val="3GPPText"/>
            </w:pPr>
            <w:r>
              <w:t>In V2X sidelink resource allocation Mode-1 and Mode-2, UEs can use groupcast transmissions with NACK only feedback. In this mode of operation, receivers within target communication range from the transmitter provide NACK feedback in case of unsuccessful reception and do not provide ACK in case of successful reception. The susceptibility to half-duplex collisions can be illustrated by the following simple example:</w:t>
            </w:r>
          </w:p>
          <w:p w14:paraId="7AFB5F9E" w14:textId="77777777" w:rsidR="00EF50AD" w:rsidRDefault="00EF50AD" w:rsidP="00B650B3">
            <w:pPr>
              <w:pStyle w:val="3GPPText"/>
              <w:numPr>
                <w:ilvl w:val="0"/>
                <w:numId w:val="30"/>
              </w:numPr>
              <w:textAlignment w:val="auto"/>
            </w:pPr>
            <w:r>
              <w:t>UE1, UE2, and UE3 operate with groupcast NACK only feedback and are group members (i.e., within target communication range from each other).</w:t>
            </w:r>
          </w:p>
          <w:p w14:paraId="18902630" w14:textId="77777777" w:rsidR="00EF50AD" w:rsidRDefault="00EF50AD" w:rsidP="00B650B3">
            <w:pPr>
              <w:pStyle w:val="3GPPText"/>
              <w:numPr>
                <w:ilvl w:val="0"/>
                <w:numId w:val="30"/>
              </w:numPr>
              <w:textAlignment w:val="auto"/>
            </w:pPr>
            <w:r>
              <w:t>UE1 and UE2 selected/were granted with resources in the same slot and transmitted in slot ‘</w:t>
            </w:r>
            <w:r>
              <w:rPr>
                <w:i/>
                <w:iCs/>
              </w:rPr>
              <w:t>n</w:t>
            </w:r>
            <w:r>
              <w:t>’.</w:t>
            </w:r>
          </w:p>
          <w:p w14:paraId="6D15C797" w14:textId="77777777" w:rsidR="00EF50AD" w:rsidRDefault="00EF50AD" w:rsidP="00B650B3">
            <w:pPr>
              <w:pStyle w:val="3GPPText"/>
              <w:numPr>
                <w:ilvl w:val="0"/>
                <w:numId w:val="30"/>
              </w:numPr>
              <w:textAlignment w:val="auto"/>
            </w:pPr>
            <w:r>
              <w:t>UE3 has successfully received UE1 and UE2 transmissions and thus has not provided HARQ feedback.</w:t>
            </w:r>
          </w:p>
          <w:p w14:paraId="7796E8FC" w14:textId="77777777" w:rsidR="00EF50AD" w:rsidRDefault="00EF50AD" w:rsidP="00B650B3">
            <w:pPr>
              <w:pStyle w:val="3GPPText"/>
              <w:numPr>
                <w:ilvl w:val="0"/>
                <w:numId w:val="30"/>
              </w:numPr>
              <w:textAlignment w:val="auto"/>
            </w:pPr>
            <w:r>
              <w:t>UE1 and UE2 were not able to receive each other transmissions.</w:t>
            </w:r>
          </w:p>
          <w:p w14:paraId="7374F292" w14:textId="77777777" w:rsidR="00EF50AD" w:rsidRDefault="00EF50AD" w:rsidP="00B650B3">
            <w:pPr>
              <w:pStyle w:val="3GPPText"/>
              <w:numPr>
                <w:ilvl w:val="0"/>
                <w:numId w:val="30"/>
              </w:numPr>
              <w:textAlignment w:val="auto"/>
            </w:pPr>
            <w:r>
              <w:t>Due to lack of NACK feedback UE1 and UE2 assume successful reception by UEs within target communication range.</w:t>
            </w:r>
          </w:p>
          <w:p w14:paraId="688AC1F3" w14:textId="77777777" w:rsidR="00EF50AD" w:rsidRDefault="00EF50AD" w:rsidP="00B650B3">
            <w:pPr>
              <w:pStyle w:val="3GPPText"/>
              <w:numPr>
                <w:ilvl w:val="1"/>
                <w:numId w:val="30"/>
              </w:numPr>
              <w:textAlignment w:val="auto"/>
            </w:pPr>
            <w:r>
              <w:t>In Mode-1, the UE reports ACK to gNB, and gNB considers successful transmission on SL, thus do not grant retransmissions</w:t>
            </w:r>
          </w:p>
          <w:p w14:paraId="2E3F6B4F" w14:textId="77777777" w:rsidR="00EF50AD" w:rsidRDefault="00EF50AD" w:rsidP="00B650B3">
            <w:pPr>
              <w:pStyle w:val="3GPPText"/>
              <w:numPr>
                <w:ilvl w:val="1"/>
                <w:numId w:val="30"/>
              </w:numPr>
              <w:textAlignment w:val="auto"/>
            </w:pPr>
            <w:r>
              <w:t>In Mode-2, the UE reports ACK to higher layer, and the higher layer does not grant retransmissions</w:t>
            </w:r>
          </w:p>
          <w:p w14:paraId="52047BFB" w14:textId="77777777" w:rsidR="00EF50AD" w:rsidRDefault="00EF50AD" w:rsidP="00B650B3">
            <w:pPr>
              <w:pStyle w:val="3GPPText"/>
              <w:numPr>
                <w:ilvl w:val="0"/>
                <w:numId w:val="30"/>
              </w:numPr>
              <w:textAlignment w:val="auto"/>
            </w:pPr>
            <w:r>
              <w:t>UE1 and UE2 stop transmissions of TBs without receiving each other transmissions.</w:t>
            </w:r>
          </w:p>
          <w:p w14:paraId="11153490" w14:textId="77777777" w:rsidR="00EF50AD" w:rsidRDefault="00EF50AD" w:rsidP="00EF50AD">
            <w:pPr>
              <w:pStyle w:val="3GPPText"/>
            </w:pPr>
          </w:p>
          <w:p w14:paraId="758E2CC2" w14:textId="77777777" w:rsidR="00EF50AD" w:rsidRDefault="00EF50AD" w:rsidP="00EF50AD">
            <w:pPr>
              <w:pStyle w:val="3GPPText"/>
            </w:pPr>
            <w:r>
              <w:t xml:space="preserve">The above problem was also confirmed by system level evaluations </w:t>
            </w:r>
            <w:r>
              <w:fldChar w:fldCharType="begin"/>
            </w:r>
            <w:r>
              <w:instrText xml:space="preserve"> REF _Ref71130967 \r \h </w:instrText>
            </w:r>
            <w:r>
              <w:fldChar w:fldCharType="separate"/>
            </w:r>
            <w:r>
              <w:t>[1]</w:t>
            </w:r>
            <w:r>
              <w:fldChar w:fldCharType="end"/>
            </w:r>
            <w:r>
              <w:fldChar w:fldCharType="begin"/>
            </w:r>
            <w:r>
              <w:instrText xml:space="preserve"> REF _Ref71131021 \r \h </w:instrText>
            </w:r>
            <w:r>
              <w:fldChar w:fldCharType="separate"/>
            </w:r>
            <w:r>
              <w:t>[3]</w:t>
            </w:r>
            <w:r>
              <w:fldChar w:fldCharType="end"/>
            </w:r>
            <w:r>
              <w:fldChar w:fldCharType="begin"/>
            </w:r>
            <w:r>
              <w:instrText xml:space="preserve"> REF _Ref68519421 \r \h </w:instrText>
            </w:r>
            <w:r>
              <w:fldChar w:fldCharType="separate"/>
            </w:r>
            <w:r>
              <w:t>[4]</w:t>
            </w:r>
            <w:r>
              <w:fldChar w:fldCharType="end"/>
            </w:r>
            <w:r>
              <w:t xml:space="preserve">. </w:t>
            </w:r>
            <w:r>
              <w:fldChar w:fldCharType="begin"/>
            </w:r>
            <w:r>
              <w:instrText xml:space="preserve"> REF _Ref68459151 \h </w:instrText>
            </w:r>
            <w:r>
              <w:fldChar w:fldCharType="separate"/>
            </w:r>
            <w:r>
              <w:t xml:space="preserve">Figure </w:t>
            </w:r>
            <w:r>
              <w:rPr>
                <w:noProof/>
              </w:rPr>
              <w:t>1</w:t>
            </w:r>
            <w:r>
              <w:fldChar w:fldCharType="end"/>
            </w:r>
            <w:r>
              <w:t xml:space="preserve"> shows comparative analysis of the current Rel.16 design vs scenario when two blind retransmissions are used for groupcast communication with NACK only feedback according assumptions listed in Annex. As it can be seen, the Rel.16 solution does not achieve PRR equal to 1 even at short communication distances.</w:t>
            </w:r>
          </w:p>
          <w:p w14:paraId="6A58145F" w14:textId="67AF2311" w:rsidR="00EF50AD" w:rsidRDefault="00EF50AD" w:rsidP="00EF50AD">
            <w:pPr>
              <w:pStyle w:val="3GPPText"/>
              <w:jc w:val="center"/>
            </w:pPr>
            <w:r>
              <w:rPr>
                <w:noProof/>
              </w:rPr>
              <w:drawing>
                <wp:inline distT="0" distB="0" distL="0" distR="0" wp14:anchorId="404087AB" wp14:editId="718DCAEF">
                  <wp:extent cx="3505200" cy="2524125"/>
                  <wp:effectExtent l="0" t="0" r="0" b="952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05200" cy="2524125"/>
                          </a:xfrm>
                          <a:prstGeom prst="rect">
                            <a:avLst/>
                          </a:prstGeom>
                          <a:noFill/>
                          <a:ln>
                            <a:noFill/>
                          </a:ln>
                        </pic:spPr>
                      </pic:pic>
                    </a:graphicData>
                  </a:graphic>
                </wp:inline>
              </w:drawing>
            </w:r>
          </w:p>
          <w:p w14:paraId="50127121" w14:textId="77777777" w:rsidR="00EF50AD" w:rsidRDefault="00EF50AD" w:rsidP="00EF50AD">
            <w:pPr>
              <w:pStyle w:val="3GPPText"/>
              <w:jc w:val="center"/>
            </w:pPr>
          </w:p>
          <w:p w14:paraId="6E8AD90D" w14:textId="77777777" w:rsidR="00EF50AD" w:rsidRDefault="00EF50AD" w:rsidP="00EF50AD">
            <w:pPr>
              <w:pStyle w:val="Caption"/>
              <w:jc w:val="center"/>
            </w:pPr>
            <w:bookmarkStart w:id="64" w:name="_Ref68459151"/>
            <w:r>
              <w:t xml:space="preserve">Figure </w:t>
            </w:r>
            <w:r>
              <w:fldChar w:fldCharType="begin"/>
            </w:r>
            <w:r>
              <w:instrText xml:space="preserve"> SEQ Figure \* ARABIC </w:instrText>
            </w:r>
            <w:r>
              <w:fldChar w:fldCharType="separate"/>
            </w:r>
            <w:r>
              <w:rPr>
                <w:noProof/>
              </w:rPr>
              <w:t>1</w:t>
            </w:r>
            <w:r>
              <w:fldChar w:fldCharType="end"/>
            </w:r>
            <w:bookmarkEnd w:id="64"/>
            <w:r>
              <w:t>: Illustration of the Rel.16 groupcast communication with NACK only feedback</w:t>
            </w:r>
          </w:p>
          <w:p w14:paraId="5FB5AE4C" w14:textId="77777777" w:rsidR="00EF50AD" w:rsidRDefault="00EF50AD" w:rsidP="00EF50AD">
            <w:pPr>
              <w:pStyle w:val="3GPPText"/>
            </w:pPr>
          </w:p>
          <w:p w14:paraId="57EC8D13" w14:textId="77777777" w:rsidR="00EF50AD" w:rsidRDefault="00EF50AD" w:rsidP="00EF50AD">
            <w:pPr>
              <w:pStyle w:val="3GPPText"/>
            </w:pPr>
            <w:r>
              <w:t>Since the half-duplex collision is a fundamental issue in distributed communication systems, it may not be possible to completely avoid it. But it is possible to apply a simple enhancement which reduces the issue dramatically. Such an enhancement is to allow a UE to transmit at least two TB (re-)transmissions w/o considering the feedback, thus increasing the chances that at least one of the two control channels were successfully received, as illustrated in the analysis above.</w:t>
            </w:r>
          </w:p>
          <w:p w14:paraId="28ECE839" w14:textId="77777777" w:rsidR="00EF50AD" w:rsidRDefault="00EF50AD" w:rsidP="00EF50AD">
            <w:pPr>
              <w:pStyle w:val="3GPPText"/>
            </w:pPr>
          </w:p>
          <w:p w14:paraId="23958FC7" w14:textId="77777777" w:rsidR="00EF50AD" w:rsidRDefault="00EF50AD" w:rsidP="00EF50AD">
            <w:pPr>
              <w:pStyle w:val="3GPPText"/>
              <w:rPr>
                <w:b/>
                <w:bCs/>
              </w:rPr>
            </w:pPr>
            <w:r>
              <w:rPr>
                <w:b/>
                <w:bCs/>
              </w:rPr>
              <w:t>Observation</w:t>
            </w:r>
          </w:p>
          <w:p w14:paraId="3BB97A31" w14:textId="77777777" w:rsidR="00EF50AD" w:rsidRDefault="00EF50AD" w:rsidP="00B650B3">
            <w:pPr>
              <w:pStyle w:val="3GPPText"/>
              <w:numPr>
                <w:ilvl w:val="0"/>
                <w:numId w:val="31"/>
              </w:numPr>
              <w:textAlignment w:val="auto"/>
              <w:rPr>
                <w:b/>
                <w:bCs/>
              </w:rPr>
            </w:pPr>
            <w:r>
              <w:rPr>
                <w:b/>
                <w:bCs/>
              </w:rPr>
              <w:t>Rel-16 groupcast sidelink communication with NACK-only is susceptible to half-duplex issue which could limit the achievable reliability even at very high SNR links</w:t>
            </w:r>
          </w:p>
          <w:p w14:paraId="3F91785E" w14:textId="77777777" w:rsidR="00EF50AD" w:rsidRDefault="00EF50AD" w:rsidP="00C64F5D">
            <w:pPr>
              <w:pStyle w:val="Caption"/>
              <w:rPr>
                <w:lang w:val="en-US"/>
              </w:rPr>
            </w:pPr>
          </w:p>
          <w:p w14:paraId="7AFDA3D9" w14:textId="77777777" w:rsidR="00EF50AD" w:rsidRDefault="00EF50AD" w:rsidP="00EF50AD">
            <w:pPr>
              <w:pStyle w:val="3GPPText"/>
            </w:pPr>
            <w:r>
              <w:t>To mitigate the illustrated half-duplex problem for groupcast NACK only sidelink communication, there could be different solution with difference spec impact. The following options are considered in descending order of spec impact / generalization:</w:t>
            </w:r>
          </w:p>
          <w:p w14:paraId="6F83B8CF" w14:textId="77777777" w:rsidR="00EF50AD" w:rsidRDefault="00EF50AD" w:rsidP="00B650B3">
            <w:pPr>
              <w:pStyle w:val="3GPPText"/>
              <w:numPr>
                <w:ilvl w:val="0"/>
                <w:numId w:val="32"/>
              </w:numPr>
              <w:textAlignment w:val="auto"/>
              <w:rPr>
                <w:u w:val="single"/>
              </w:rPr>
            </w:pPr>
            <w:r>
              <w:rPr>
                <w:u w:val="single"/>
              </w:rPr>
              <w:t>Option 1: Introduce a configurable minimum number of blind retransmissions N and support of mixing blind retransmissions and feedback-based retransmissions for a TB</w:t>
            </w:r>
          </w:p>
          <w:p w14:paraId="2B55DC81" w14:textId="77777777" w:rsidR="00EF50AD" w:rsidRDefault="00EF50AD" w:rsidP="00B650B3">
            <w:pPr>
              <w:pStyle w:val="3GPPText"/>
              <w:numPr>
                <w:ilvl w:val="1"/>
                <w:numId w:val="32"/>
              </w:numPr>
              <w:textAlignment w:val="auto"/>
            </w:pPr>
            <w:r>
              <w:t xml:space="preserve">In this case, it is fully controllable by configuration whether a UE explicitly performs </w:t>
            </w:r>
            <w:r>
              <w:rPr>
                <w:i/>
                <w:iCs/>
              </w:rPr>
              <w:t>N</w:t>
            </w:r>
            <w:r>
              <w:t xml:space="preserve"> blind retransmissions first and then switches to the feedback-based regime. Furthermore, when the feedback is not requested in SCI, redundant PSFCH are not generated on receivers.</w:t>
            </w:r>
          </w:p>
          <w:p w14:paraId="17F90BB8" w14:textId="77777777" w:rsidR="00EF50AD" w:rsidRDefault="00EF50AD" w:rsidP="00B650B3">
            <w:pPr>
              <w:pStyle w:val="3GPPText"/>
              <w:numPr>
                <w:ilvl w:val="1"/>
                <w:numId w:val="32"/>
              </w:numPr>
              <w:textAlignment w:val="auto"/>
            </w:pPr>
            <w:r>
              <w:t>Specification in this case needs to introduce RRC signaling of the minimum number of blind retransmissions as well as MAC support for switching between blind and feedback-based modes for the same logical channel after the minimum number of blind retransmissions.</w:t>
            </w:r>
          </w:p>
          <w:p w14:paraId="484356ED" w14:textId="77777777" w:rsidR="00EF50AD" w:rsidRDefault="00EF50AD" w:rsidP="00B650B3">
            <w:pPr>
              <w:pStyle w:val="3GPPText"/>
              <w:numPr>
                <w:ilvl w:val="0"/>
                <w:numId w:val="33"/>
              </w:numPr>
              <w:textAlignment w:val="auto"/>
              <w:rPr>
                <w:u w:val="single"/>
              </w:rPr>
            </w:pPr>
            <w:r>
              <w:rPr>
                <w:u w:val="single"/>
              </w:rPr>
              <w:t xml:space="preserve">Option 2: Introduce a configurable minimum number of retransmissions </w:t>
            </w:r>
            <w:r>
              <w:rPr>
                <w:i/>
                <w:iCs/>
                <w:u w:val="single"/>
              </w:rPr>
              <w:t>N</w:t>
            </w:r>
            <w:r>
              <w:rPr>
                <w:u w:val="single"/>
              </w:rPr>
              <w:t xml:space="preserve"> performed w/o considering the feedback from receivers</w:t>
            </w:r>
          </w:p>
          <w:p w14:paraId="5A6AAE11" w14:textId="77777777" w:rsidR="00EF50AD" w:rsidRDefault="00EF50AD" w:rsidP="00B650B3">
            <w:pPr>
              <w:pStyle w:val="3GPPText"/>
              <w:numPr>
                <w:ilvl w:val="1"/>
                <w:numId w:val="33"/>
              </w:numPr>
              <w:textAlignment w:val="auto"/>
            </w:pPr>
            <w:r>
              <w:t xml:space="preserve">In this case, it is fully controllable by configuration whether a UE implicitly performs </w:t>
            </w:r>
            <w:r>
              <w:rPr>
                <w:i/>
                <w:iCs/>
              </w:rPr>
              <w:t>N</w:t>
            </w:r>
            <w:r>
              <w:t xml:space="preserve"> blind retransmissions first and then switches to the feedback-based regime.</w:t>
            </w:r>
          </w:p>
          <w:p w14:paraId="49A4B890" w14:textId="77777777" w:rsidR="00EF50AD" w:rsidRDefault="00EF50AD" w:rsidP="00B650B3">
            <w:pPr>
              <w:pStyle w:val="3GPPText"/>
              <w:numPr>
                <w:ilvl w:val="1"/>
                <w:numId w:val="33"/>
              </w:numPr>
              <w:textAlignment w:val="auto"/>
            </w:pPr>
            <w:r>
              <w:t>Specification in this case needs to introduce RRC signaling of the minimum number of blind retransmissions. But since the feedback can be ignored, there is no evident impact on MAC specification.</w:t>
            </w:r>
          </w:p>
          <w:p w14:paraId="4F4945DA" w14:textId="77777777" w:rsidR="00EF50AD" w:rsidRDefault="00EF50AD" w:rsidP="00EF50AD">
            <w:pPr>
              <w:pStyle w:val="3GPPText"/>
              <w:jc w:val="center"/>
            </w:pPr>
            <w:r>
              <w:object w:dxaOrig="5475" w:dyaOrig="4500" w14:anchorId="4649097C">
                <v:shape id="_x0000_i1028" type="#_x0000_t75" style="width:273.75pt;height:225pt" o:ole="">
                  <v:imagedata r:id="rId47" o:title=""/>
                </v:shape>
                <o:OLEObject Type="Embed" ProgID="Visio.Drawing.15" ShapeID="_x0000_i1028" DrawAspect="Content" ObjectID="_1682948406" r:id="rId48"/>
              </w:object>
            </w:r>
          </w:p>
          <w:p w14:paraId="4909985B" w14:textId="77777777" w:rsidR="00EF50AD" w:rsidRDefault="00EF50AD" w:rsidP="00EF50AD">
            <w:pPr>
              <w:pStyle w:val="Caption"/>
              <w:jc w:val="center"/>
            </w:pPr>
            <w:r>
              <w:t xml:space="preserve">Figure </w:t>
            </w:r>
            <w:r>
              <w:fldChar w:fldCharType="begin"/>
            </w:r>
            <w:r>
              <w:instrText xml:space="preserve"> SEQ Figure \* ARABIC </w:instrText>
            </w:r>
            <w:r>
              <w:fldChar w:fldCharType="separate"/>
            </w:r>
            <w:r>
              <w:rPr>
                <w:noProof/>
              </w:rPr>
              <w:t>1</w:t>
            </w:r>
            <w:r>
              <w:fldChar w:fldCharType="end"/>
            </w:r>
            <w:r>
              <w:t>: Illustration of Option 1 and Option 2 mitigation of half-duplex for NACK-only feedback regime</w:t>
            </w:r>
          </w:p>
          <w:p w14:paraId="1026C4EF" w14:textId="77777777" w:rsidR="00EF50AD" w:rsidRDefault="00EF50AD" w:rsidP="00EF50AD">
            <w:pPr>
              <w:pStyle w:val="3GPPText"/>
              <w:jc w:val="center"/>
              <w:rPr>
                <w:lang w:val="en-GB"/>
              </w:rPr>
            </w:pPr>
          </w:p>
          <w:p w14:paraId="3A5DD18D" w14:textId="77777777" w:rsidR="00EF50AD" w:rsidRDefault="00EF50AD" w:rsidP="00B650B3">
            <w:pPr>
              <w:pStyle w:val="3GPPText"/>
              <w:numPr>
                <w:ilvl w:val="0"/>
                <w:numId w:val="33"/>
              </w:numPr>
              <w:textAlignment w:val="auto"/>
              <w:rPr>
                <w:u w:val="single"/>
              </w:rPr>
            </w:pPr>
            <w:r>
              <w:rPr>
                <w:u w:val="single"/>
              </w:rPr>
              <w:t>Option 3: Introduce a fixed number of minimum two retransmissions and support of mixing blind retransmissions and feedback-based retransmissions for a TB</w:t>
            </w:r>
          </w:p>
          <w:p w14:paraId="3C3CE810" w14:textId="77777777" w:rsidR="00EF50AD" w:rsidRDefault="00EF50AD" w:rsidP="00B650B3">
            <w:pPr>
              <w:pStyle w:val="3GPPText"/>
              <w:numPr>
                <w:ilvl w:val="1"/>
                <w:numId w:val="33"/>
              </w:numPr>
              <w:textAlignment w:val="auto"/>
            </w:pPr>
            <w:r>
              <w:t>This option is based on Option 1 without considering configurability of the minimum number of blind retransmissions, thus reducing or eliminating RRC spec impact but still requiring changes to MAC specifications as per Option 1</w:t>
            </w:r>
          </w:p>
          <w:p w14:paraId="079F7F7D"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0CEA9171" w14:textId="77777777" w:rsidR="00EF50AD" w:rsidRDefault="00EF50AD" w:rsidP="00B650B3">
            <w:pPr>
              <w:pStyle w:val="3GPPText"/>
              <w:numPr>
                <w:ilvl w:val="0"/>
                <w:numId w:val="33"/>
              </w:numPr>
              <w:textAlignment w:val="auto"/>
              <w:rPr>
                <w:u w:val="single"/>
              </w:rPr>
            </w:pPr>
            <w:r>
              <w:rPr>
                <w:u w:val="single"/>
              </w:rPr>
              <w:t>Option 4: Introduce a fixed number of minimum two retransmissions performed w/o considering the feedback from receivers</w:t>
            </w:r>
          </w:p>
          <w:p w14:paraId="1DDA43EA" w14:textId="77777777" w:rsidR="00EF50AD" w:rsidRDefault="00EF50AD" w:rsidP="00B650B3">
            <w:pPr>
              <w:pStyle w:val="3GPPText"/>
              <w:numPr>
                <w:ilvl w:val="1"/>
                <w:numId w:val="33"/>
              </w:numPr>
              <w:textAlignment w:val="auto"/>
            </w:pPr>
            <w:r>
              <w:t>This option is based on Option 2 without considering configurability of the minimum number of blind retransmissions, thus reducing or eliminating RRC spec impact.</w:t>
            </w:r>
          </w:p>
          <w:p w14:paraId="596C33C2"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270A8BD2" w14:textId="77777777" w:rsidR="00EF50AD" w:rsidRDefault="00EF50AD" w:rsidP="00EF50AD">
            <w:pPr>
              <w:pStyle w:val="3GPPText"/>
            </w:pPr>
            <w:r>
              <w:t>All of the above options are backward compatible with Release-16 receivers in the same resource pool.</w:t>
            </w:r>
          </w:p>
          <w:p w14:paraId="5AA2B1CF" w14:textId="77777777" w:rsidR="00EF50AD" w:rsidRDefault="00EF50AD" w:rsidP="00EF50AD">
            <w:pPr>
              <w:pStyle w:val="3GPPText"/>
            </w:pPr>
            <w:r>
              <w:t>At this point of TEI proposal discussion, it seems all options are viable with Option 1 having the most flexibility and spec impact, and other options providing less flexibility with smaller spec impact.</w:t>
            </w:r>
          </w:p>
          <w:p w14:paraId="2E8C26B8" w14:textId="77777777" w:rsidR="00EF50AD" w:rsidRDefault="00EF50AD" w:rsidP="00EF50AD">
            <w:pPr>
              <w:pStyle w:val="3GPPText"/>
            </w:pPr>
          </w:p>
          <w:p w14:paraId="51B6367C" w14:textId="77777777" w:rsidR="00EF50AD" w:rsidRDefault="00EF50AD" w:rsidP="00EF50AD">
            <w:pPr>
              <w:pStyle w:val="3GPPText"/>
              <w:rPr>
                <w:b/>
                <w:bCs/>
              </w:rPr>
            </w:pPr>
            <w:r>
              <w:rPr>
                <w:b/>
                <w:bCs/>
              </w:rPr>
              <w:t>Proposal</w:t>
            </w:r>
          </w:p>
          <w:p w14:paraId="598F2358" w14:textId="69BAE575" w:rsidR="00EF50AD" w:rsidRPr="00EF50AD" w:rsidRDefault="00EF50AD" w:rsidP="00B650B3">
            <w:pPr>
              <w:pStyle w:val="3GPPText"/>
              <w:numPr>
                <w:ilvl w:val="0"/>
                <w:numId w:val="31"/>
              </w:numPr>
              <w:textAlignment w:val="auto"/>
              <w:rPr>
                <w:b/>
                <w:bCs/>
              </w:rPr>
            </w:pPr>
            <w:r>
              <w:rPr>
                <w:b/>
                <w:bCs/>
              </w:rPr>
              <w:t>Agree on Release 17 TEI work to introduce mitigation of half-duplex issue for sidelink V2X communication in groupcast NACK-only feedback regime by introducing a fixed number of minimum two retransmissions performed without considering the feedback from receivers</w:t>
            </w:r>
          </w:p>
        </w:tc>
      </w:tr>
    </w:tbl>
    <w:p w14:paraId="6B33A240" w14:textId="77777777" w:rsidR="00EF50AD" w:rsidRPr="00802399" w:rsidRDefault="00EF50AD" w:rsidP="00EF50AD">
      <w:pPr>
        <w:rPr>
          <w:b/>
        </w:rPr>
      </w:pPr>
    </w:p>
    <w:p w14:paraId="36E45C06" w14:textId="77777777" w:rsidR="00EF50AD" w:rsidRDefault="00EF50AD" w:rsidP="00EF50AD">
      <w:pPr>
        <w:rPr>
          <w:rFonts w:eastAsia="MS Mincho" w:cs="Batang"/>
          <w:sz w:val="22"/>
          <w:szCs w:val="22"/>
        </w:rPr>
      </w:pPr>
      <w:r>
        <w:rPr>
          <w:rFonts w:eastAsia="MS Mincho" w:cs="Batang"/>
          <w:sz w:val="22"/>
          <w:szCs w:val="22"/>
        </w:rPr>
        <w:t>Based on the above contribution, following TEI proposal can be discussed in RAN1#105-e meeting.</w:t>
      </w:r>
    </w:p>
    <w:p w14:paraId="71AB25DF" w14:textId="77777777" w:rsidR="00EF50AD" w:rsidRDefault="00EF50AD" w:rsidP="00EF50AD">
      <w:pPr>
        <w:rPr>
          <w:rFonts w:ascii="Arial" w:eastAsia="MS Mincho" w:hAnsi="Arial"/>
          <w:sz w:val="32"/>
          <w:szCs w:val="32"/>
        </w:rPr>
      </w:pPr>
    </w:p>
    <w:p w14:paraId="4DD8D818" w14:textId="7AC580AC" w:rsidR="00EF50AD" w:rsidRPr="00AD5375" w:rsidRDefault="00EF50AD" w:rsidP="00EF50A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12E6E2C5" w14:textId="0B7D141B" w:rsidR="00EF50AD" w:rsidRPr="00EF50AD" w:rsidRDefault="00EF50AD" w:rsidP="00EF50AD">
      <w:pPr>
        <w:pStyle w:val="ListParagraph"/>
        <w:numPr>
          <w:ilvl w:val="0"/>
          <w:numId w:val="13"/>
        </w:numPr>
        <w:ind w:leftChars="0"/>
        <w:rPr>
          <w:b/>
          <w:sz w:val="22"/>
          <w:szCs w:val="22"/>
        </w:rPr>
      </w:pPr>
      <w:r w:rsidRPr="00EF50AD">
        <w:rPr>
          <w:rFonts w:eastAsia="MS Mincho" w:cs="Batang"/>
          <w:b/>
          <w:bCs/>
          <w:sz w:val="22"/>
          <w:szCs w:val="22"/>
        </w:rPr>
        <w:t>I</w:t>
      </w:r>
      <w:r w:rsidRPr="00EF50AD">
        <w:rPr>
          <w:b/>
          <w:bCs/>
          <w:sz w:val="22"/>
          <w:szCs w:val="22"/>
        </w:rPr>
        <w:t>ntroduce mitigation of half-duplex issue for sidelink V2X communication in groupcast NACK-only feedback regime by introducing a fixed number of minimum two retransmissions performed without considering the feedback from receivers</w:t>
      </w:r>
    </w:p>
    <w:p w14:paraId="3E964F12" w14:textId="77777777" w:rsidR="00EF50AD" w:rsidRDefault="00EF50AD" w:rsidP="00EF50AD">
      <w:pPr>
        <w:rPr>
          <w:rFonts w:eastAsia="MS Mincho" w:cs="Batang"/>
          <w:sz w:val="22"/>
          <w:szCs w:val="22"/>
        </w:rPr>
      </w:pPr>
    </w:p>
    <w:p w14:paraId="27644586" w14:textId="17038112" w:rsidR="00EF50AD" w:rsidRDefault="00EF50AD" w:rsidP="00EF50AD">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 and Qualcomm.</w:t>
      </w:r>
    </w:p>
    <w:p w14:paraId="4CCBF34E" w14:textId="77777777" w:rsidR="00EF50AD" w:rsidRDefault="00EF50AD" w:rsidP="00EF50A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F50AD" w14:paraId="72D11025" w14:textId="77777777" w:rsidTr="00C64F5D">
        <w:tc>
          <w:tcPr>
            <w:tcW w:w="1945" w:type="dxa"/>
            <w:shd w:val="clear" w:color="auto" w:fill="F2F2F2" w:themeFill="background1" w:themeFillShade="F2"/>
          </w:tcPr>
          <w:p w14:paraId="4741D811" w14:textId="77777777" w:rsidR="00EF50AD" w:rsidRDefault="00EF50AD"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40AF11F" w14:textId="77777777" w:rsidR="00EF50AD" w:rsidRDefault="00EF50AD" w:rsidP="00C64F5D">
            <w:pPr>
              <w:spacing w:afterLines="50" w:after="120"/>
              <w:jc w:val="both"/>
              <w:rPr>
                <w:sz w:val="22"/>
                <w:lang w:val="en-US"/>
              </w:rPr>
            </w:pPr>
            <w:r>
              <w:rPr>
                <w:rFonts w:hint="eastAsia"/>
                <w:sz w:val="22"/>
                <w:lang w:val="en-US"/>
              </w:rPr>
              <w:t>C</w:t>
            </w:r>
            <w:r>
              <w:rPr>
                <w:sz w:val="22"/>
                <w:lang w:val="en-US"/>
              </w:rPr>
              <w:t>omment</w:t>
            </w:r>
          </w:p>
        </w:tc>
      </w:tr>
      <w:tr w:rsidR="00EF50AD" w14:paraId="493DB30F" w14:textId="77777777" w:rsidTr="00C64F5D">
        <w:tc>
          <w:tcPr>
            <w:tcW w:w="1945" w:type="dxa"/>
          </w:tcPr>
          <w:p w14:paraId="59654C22" w14:textId="77777777" w:rsidR="00EF50AD" w:rsidRDefault="00EF50AD" w:rsidP="00C64F5D">
            <w:pPr>
              <w:spacing w:afterLines="50" w:after="120"/>
              <w:jc w:val="both"/>
              <w:rPr>
                <w:sz w:val="22"/>
                <w:lang w:val="en-US"/>
              </w:rPr>
            </w:pPr>
          </w:p>
        </w:tc>
        <w:tc>
          <w:tcPr>
            <w:tcW w:w="7683" w:type="dxa"/>
          </w:tcPr>
          <w:p w14:paraId="1E269563" w14:textId="77777777" w:rsidR="00EF50AD" w:rsidRDefault="00EF50AD" w:rsidP="00C64F5D">
            <w:pPr>
              <w:spacing w:afterLines="50" w:after="120"/>
              <w:jc w:val="both"/>
              <w:rPr>
                <w:sz w:val="22"/>
                <w:lang w:val="en-US"/>
              </w:rPr>
            </w:pPr>
          </w:p>
        </w:tc>
      </w:tr>
      <w:tr w:rsidR="00EF50AD" w14:paraId="33F4DF20" w14:textId="77777777" w:rsidTr="00C64F5D">
        <w:tc>
          <w:tcPr>
            <w:tcW w:w="1945" w:type="dxa"/>
          </w:tcPr>
          <w:p w14:paraId="5F0B13D9" w14:textId="77777777" w:rsidR="00EF50AD" w:rsidRDefault="00EF50AD" w:rsidP="00C64F5D">
            <w:pPr>
              <w:spacing w:afterLines="50" w:after="120"/>
              <w:jc w:val="both"/>
              <w:rPr>
                <w:sz w:val="22"/>
                <w:lang w:val="en-US"/>
              </w:rPr>
            </w:pPr>
          </w:p>
        </w:tc>
        <w:tc>
          <w:tcPr>
            <w:tcW w:w="7683" w:type="dxa"/>
          </w:tcPr>
          <w:p w14:paraId="47055E06" w14:textId="77777777" w:rsidR="00EF50AD" w:rsidRPr="00F740AD" w:rsidRDefault="00EF50AD" w:rsidP="00C64F5D">
            <w:pPr>
              <w:spacing w:afterLines="50" w:after="120"/>
              <w:jc w:val="both"/>
              <w:rPr>
                <w:sz w:val="22"/>
                <w:lang w:val="en-US"/>
              </w:rPr>
            </w:pPr>
          </w:p>
        </w:tc>
      </w:tr>
      <w:tr w:rsidR="00EF50AD" w14:paraId="505BCF0B" w14:textId="77777777" w:rsidTr="00C64F5D">
        <w:tc>
          <w:tcPr>
            <w:tcW w:w="1945" w:type="dxa"/>
          </w:tcPr>
          <w:p w14:paraId="5420AB63" w14:textId="77777777" w:rsidR="00EF50AD" w:rsidRDefault="00EF50AD" w:rsidP="00C64F5D">
            <w:pPr>
              <w:spacing w:afterLines="50" w:after="120"/>
              <w:jc w:val="both"/>
              <w:rPr>
                <w:sz w:val="22"/>
                <w:lang w:val="en-US"/>
              </w:rPr>
            </w:pPr>
          </w:p>
        </w:tc>
        <w:tc>
          <w:tcPr>
            <w:tcW w:w="7683" w:type="dxa"/>
          </w:tcPr>
          <w:p w14:paraId="045BC9DD" w14:textId="77777777" w:rsidR="00EF50AD" w:rsidRPr="00F740AD" w:rsidRDefault="00EF50AD" w:rsidP="00C64F5D">
            <w:pPr>
              <w:spacing w:afterLines="50" w:after="120"/>
              <w:jc w:val="both"/>
              <w:rPr>
                <w:sz w:val="22"/>
                <w:lang w:val="en-US"/>
              </w:rPr>
            </w:pPr>
          </w:p>
        </w:tc>
      </w:tr>
    </w:tbl>
    <w:p w14:paraId="0CC5E8A3" w14:textId="77777777" w:rsidR="00EF50AD" w:rsidRDefault="00EF50AD" w:rsidP="002753B9">
      <w:pPr>
        <w:rPr>
          <w:b/>
        </w:rPr>
      </w:pPr>
    </w:p>
    <w:p w14:paraId="1E2A5882" w14:textId="0E65178A" w:rsidR="00202BBC" w:rsidRDefault="00202BBC" w:rsidP="002753B9">
      <w:pPr>
        <w:rPr>
          <w:b/>
        </w:rPr>
      </w:pPr>
    </w:p>
    <w:p w14:paraId="5744CEBD" w14:textId="20969BB8" w:rsidR="00FD444E" w:rsidRDefault="00FD444E" w:rsidP="002753B9">
      <w:pPr>
        <w:rPr>
          <w:b/>
        </w:rPr>
      </w:pPr>
    </w:p>
    <w:p w14:paraId="613460C9" w14:textId="685A9BA6" w:rsidR="00FD444E" w:rsidRPr="005953A0" w:rsidRDefault="00FD444E" w:rsidP="00FD444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Support of 2 Tx codebook configuration to 4Tx capable UE in UL</w:t>
      </w:r>
    </w:p>
    <w:p w14:paraId="3171D8DC" w14:textId="77777777" w:rsidR="00FD444E" w:rsidRDefault="00FD444E" w:rsidP="00FD444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83"/>
        <w:gridCol w:w="9045"/>
      </w:tblGrid>
      <w:tr w:rsidR="00FD444E" w14:paraId="3AD692C5" w14:textId="77777777" w:rsidTr="00C64F5D">
        <w:tc>
          <w:tcPr>
            <w:tcW w:w="562" w:type="dxa"/>
          </w:tcPr>
          <w:p w14:paraId="77994197" w14:textId="4150EB6E" w:rsidR="00FD444E" w:rsidRPr="0016792D" w:rsidRDefault="00FD444E"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10]</w:t>
            </w:r>
          </w:p>
        </w:tc>
        <w:tc>
          <w:tcPr>
            <w:tcW w:w="9066" w:type="dxa"/>
          </w:tcPr>
          <w:p w14:paraId="3709F4A3" w14:textId="77777777" w:rsidR="00FD444E" w:rsidRDefault="00FD444E" w:rsidP="00FD444E">
            <w:pPr>
              <w:rPr>
                <w:rFonts w:eastAsiaTheme="minorEastAsia"/>
                <w:sz w:val="21"/>
                <w:lang w:val="en-US"/>
              </w:rPr>
            </w:pPr>
            <w:r>
              <w:t xml:space="preserve">Rel-15 NR specified 4Tx UL MIMO transmission while supporting various UE implementations. Depending on hardware implementation, UE Tx chains could be fully-coherent, partially-coherent or non-coherent and hence corresponding codebook subsets are specified. Rel-15 also supports coherent or non-coherent codebook subsets for 2Tx UL MIMO corresponding to coherent or non-coherent Tx chains capability. If </w:t>
            </w:r>
            <w:proofErr w:type="gramStart"/>
            <w:r>
              <w:t>an</w:t>
            </w:r>
            <w:proofErr w:type="gramEnd"/>
            <w:r>
              <w:t xml:space="preserve"> UE is capable of coherent 4Tx chains supporting coherent codebook subset for 4Tx UL MIMO, it can be straight forward to assume that the same UE can support coherent codebook subset for 2Tx UL MIMO from 2 out of 4 antennas; similarly UE supporting non-coherent 4Tx codebook subset can support non-coherent 2Tx codebook subset. However, for </w:t>
            </w:r>
            <w:proofErr w:type="gramStart"/>
            <w:r>
              <w:t>an</w:t>
            </w:r>
            <w:proofErr w:type="gramEnd"/>
            <w:r>
              <w:t xml:space="preserve"> UE capable of partial-coherent 4 Tx chains, it could support either coherent 2Tx codebook subset with 2 coherent Tx chains or non-coherent 2Tx codebook subset with 2 non-coherent Tx chains. </w:t>
            </w:r>
          </w:p>
          <w:p w14:paraId="13FAD8A0" w14:textId="77777777" w:rsidR="00FD444E" w:rsidRDefault="00FD444E" w:rsidP="00FD444E">
            <w:r>
              <w:t>In 38.214, following is specified,</w:t>
            </w:r>
          </w:p>
          <w:p w14:paraId="19552993" w14:textId="77777777" w:rsidR="00FD444E" w:rsidRDefault="00FD444E" w:rsidP="00FD444E">
            <w:pPr>
              <w:ind w:leftChars="100" w:left="240"/>
            </w:pPr>
            <w:r>
              <w:t>“</w:t>
            </w:r>
            <w:r>
              <w:rPr>
                <w:color w:val="000000"/>
              </w:rPr>
              <w:t>A UE reporting its UE capability of '</w:t>
            </w:r>
            <w:proofErr w:type="spellStart"/>
            <w:r>
              <w:t>partialAndNonCoherent</w:t>
            </w:r>
            <w:proofErr w:type="spellEnd"/>
            <w:r>
              <w:rPr>
                <w:color w:val="000000"/>
              </w:rPr>
              <w:t xml:space="preserve">' transmission shall not expect to be configured by either </w:t>
            </w:r>
            <w:proofErr w:type="spellStart"/>
            <w:r>
              <w:rPr>
                <w:i/>
              </w:rPr>
              <w:t>codebookSubset</w:t>
            </w:r>
            <w:proofErr w:type="spellEnd"/>
            <w:r>
              <w:rPr>
                <w:color w:val="000000"/>
              </w:rPr>
              <w:t xml:space="preserve"> or </w:t>
            </w:r>
            <w:r>
              <w:rPr>
                <w:i/>
                <w:color w:val="000000"/>
              </w:rPr>
              <w:t>codebookSubsetForDCI-Format0-2</w:t>
            </w:r>
            <w:r>
              <w:rPr>
                <w:color w:val="000000"/>
              </w:rPr>
              <w:t xml:space="preserve"> with '</w:t>
            </w:r>
            <w:proofErr w:type="spellStart"/>
            <w:r>
              <w:rPr>
                <w:rFonts w:eastAsia="Malgun Gothic"/>
              </w:rPr>
              <w:t>fullyAndPartialAndNonCoherent</w:t>
            </w:r>
            <w:proofErr w:type="spellEnd"/>
            <w:r>
              <w:rPr>
                <w:rFonts w:eastAsia="Malgun Gothic"/>
                <w:i/>
              </w:rPr>
              <w:t>'</w:t>
            </w:r>
            <w:r>
              <w:rPr>
                <w:color w:val="000000"/>
              </w:rPr>
              <w:t>.</w:t>
            </w:r>
            <w:r>
              <w:t>”</w:t>
            </w:r>
          </w:p>
          <w:p w14:paraId="7328AFC3" w14:textId="77777777" w:rsidR="00FD444E" w:rsidRDefault="00FD444E" w:rsidP="00FD444E">
            <w:r>
              <w:t xml:space="preserve">The intention of the above statement is to prevent gNB configuring 4Tx full-coherent codebook subset to </w:t>
            </w:r>
            <w:proofErr w:type="gramStart"/>
            <w:r>
              <w:t>an</w:t>
            </w:r>
            <w:proofErr w:type="gramEnd"/>
            <w:r>
              <w:t xml:space="preserve"> UE capable of 4Tx partial-coherent chains. It is not clear from the current spec whether 2Tx coherent codebook subset can be configured for </w:t>
            </w:r>
            <w:proofErr w:type="gramStart"/>
            <w:r>
              <w:t>an</w:t>
            </w:r>
            <w:proofErr w:type="gramEnd"/>
            <w:r>
              <w:t xml:space="preserve"> UE supporting 4Tx partial codebook subset.</w:t>
            </w:r>
          </w:p>
          <w:p w14:paraId="7AEBB0FD" w14:textId="77777777" w:rsidR="00FD444E" w:rsidRDefault="00FD444E" w:rsidP="00FD444E">
            <w:r>
              <w:t>Furthermore, NR Rel-16 specified UL full power transmission schemes with mode0, mode1 and mode2. UL full power transmission is mainly introduced for non-coherent and partial-coherent UEs. 4Tx partial-coherent UE supporting UL full power transmission mode0 can support 2Tx coherent or non-coherent and UL full power transmission mode0 since power scaling s=1 is specified in 38.213. Similarly, 4Tx partial-coherent UE supporting UL full power transmission mode2 can support 2Tx non-coherent UL full power mode2 with antenna virtualization or full power TPMI indication. Following is specified in 38.214</w:t>
            </w:r>
          </w:p>
          <w:p w14:paraId="3EF1E281" w14:textId="77777777" w:rsidR="00FD444E" w:rsidRDefault="00FD444E" w:rsidP="00FD444E">
            <w:pPr>
              <w:ind w:leftChars="100" w:left="240"/>
            </w:pPr>
            <w:r>
              <w:t>“</w:t>
            </w:r>
            <w:r>
              <w:rPr>
                <w:color w:val="000000" w:themeColor="text1"/>
              </w:rPr>
              <w:t>When higher layer parameter</w:t>
            </w:r>
            <w:r>
              <w:rPr>
                <w:rStyle w:val="Emphasis"/>
                <w:color w:val="000000" w:themeColor="text1"/>
              </w:rPr>
              <w:t xml:space="preserve"> ul-</w:t>
            </w:r>
            <w:proofErr w:type="spellStart"/>
            <w:r>
              <w:rPr>
                <w:rStyle w:val="Emphasis"/>
                <w:color w:val="000000" w:themeColor="text1"/>
              </w:rPr>
              <w:t>FullPowerTransmission</w:t>
            </w:r>
            <w:proofErr w:type="spellEnd"/>
            <w:r>
              <w:rPr>
                <w:rStyle w:val="apple-converted-space"/>
                <w:color w:val="000000" w:themeColor="text1"/>
              </w:rPr>
              <w:t xml:space="preserve"> </w:t>
            </w:r>
            <w:r>
              <w:rPr>
                <w:color w:val="000000" w:themeColor="text1"/>
              </w:rPr>
              <w:t>is set to '</w:t>
            </w:r>
            <w:r>
              <w:rPr>
                <w:rStyle w:val="Emphasis"/>
                <w:color w:val="000000" w:themeColor="text1"/>
              </w:rPr>
              <w:t>fullpowerMode2'</w:t>
            </w:r>
            <w:r>
              <w:rPr>
                <w:rStyle w:val="apple-converted-space"/>
                <w:i/>
                <w:iCs/>
                <w:color w:val="000000" w:themeColor="text1"/>
              </w:rPr>
              <w:t xml:space="preserve"> </w:t>
            </w:r>
            <w:r>
              <w:rPr>
                <w:color w:val="000000" w:themeColor="text1"/>
              </w:rPr>
              <w:t>and the higher layer parameter</w:t>
            </w:r>
            <w:r>
              <w:rPr>
                <w:rStyle w:val="apple-converted-space"/>
                <w:color w:val="000000" w:themeColor="text1"/>
              </w:rPr>
              <w:t xml:space="preserve"> </w:t>
            </w:r>
            <w:proofErr w:type="spellStart"/>
            <w:r>
              <w:rPr>
                <w:rStyle w:val="Emphasis"/>
                <w:color w:val="000000" w:themeColor="text1"/>
              </w:rPr>
              <w:t>codebookSubset</w:t>
            </w:r>
            <w:proofErr w:type="spellEnd"/>
            <w:r>
              <w:rPr>
                <w:rStyle w:val="apple-converted-space"/>
                <w:color w:val="000000" w:themeColor="text1"/>
              </w:rPr>
              <w:t xml:space="preserve"> </w:t>
            </w:r>
            <w:r>
              <w:rPr>
                <w:color w:val="000000" w:themeColor="text1"/>
              </w:rPr>
              <w:t>or the higher layer parameter</w:t>
            </w:r>
            <w:r>
              <w:rPr>
                <w:rStyle w:val="apple-converted-space"/>
                <w:color w:val="000000" w:themeColor="text1"/>
              </w:rPr>
              <w:t xml:space="preserve"> </w:t>
            </w:r>
            <w:r>
              <w:rPr>
                <w:rStyle w:val="Emphasis"/>
                <w:color w:val="000000" w:themeColor="text1"/>
              </w:rPr>
              <w:t>codebookSubsetForDCI-Format0-2</w:t>
            </w:r>
            <w:r>
              <w:rPr>
                <w:rStyle w:val="apple-converted-space"/>
                <w:color w:val="000000" w:themeColor="text1"/>
              </w:rPr>
              <w:t xml:space="preserve"> is </w:t>
            </w:r>
            <w:r>
              <w:rPr>
                <w:color w:val="000000" w:themeColor="text1"/>
              </w:rPr>
              <w:t>set to</w:t>
            </w:r>
            <w:r>
              <w:rPr>
                <w:rStyle w:val="apple-converted-space"/>
                <w:color w:val="000000" w:themeColor="text1"/>
              </w:rPr>
              <w:t xml:space="preserve"> </w:t>
            </w:r>
            <w:r>
              <w:rPr>
                <w:rStyle w:val="Emphasis"/>
                <w:color w:val="000000" w:themeColor="text1"/>
              </w:rPr>
              <w:t>'</w:t>
            </w:r>
            <w:proofErr w:type="spellStart"/>
            <w:r>
              <w:rPr>
                <w:color w:val="000000" w:themeColor="text1"/>
              </w:rPr>
              <w:t>partialAndNonCoherent</w:t>
            </w:r>
            <w:proofErr w:type="spellEnd"/>
            <w:r>
              <w:rPr>
                <w:color w:val="000000" w:themeColor="text1"/>
              </w:rPr>
              <w:t>', and when the SRS-</w:t>
            </w:r>
            <w:proofErr w:type="spellStart"/>
            <w:r>
              <w:rPr>
                <w:color w:val="000000" w:themeColor="text1"/>
              </w:rPr>
              <w:t>resourceSet</w:t>
            </w:r>
            <w:proofErr w:type="spellEnd"/>
            <w:r>
              <w:rPr>
                <w:color w:val="000000" w:themeColor="text1"/>
              </w:rPr>
              <w:t xml:space="preserve"> with usage set to "codebook" includes at least one SRS resource with 4 ports and one SRS resource with 2 ports, the </w:t>
            </w:r>
            <w:proofErr w:type="spellStart"/>
            <w:r>
              <w:rPr>
                <w:color w:val="000000" w:themeColor="text1"/>
              </w:rPr>
              <w:t>codebookSubset</w:t>
            </w:r>
            <w:proofErr w:type="spellEnd"/>
            <w:r>
              <w:rPr>
                <w:color w:val="000000" w:themeColor="text1"/>
              </w:rPr>
              <w:t xml:space="preserve"> associated with the 2-port SRS resource is '</w:t>
            </w:r>
            <w:proofErr w:type="spellStart"/>
            <w:r>
              <w:rPr>
                <w:color w:val="000000" w:themeColor="text1"/>
              </w:rPr>
              <w:t>nonCoherent</w:t>
            </w:r>
            <w:proofErr w:type="spellEnd"/>
            <w:r>
              <w:rPr>
                <w:color w:val="000000" w:themeColor="text1"/>
              </w:rPr>
              <w:t>'.</w:t>
            </w:r>
            <w:r>
              <w:t>”</w:t>
            </w:r>
          </w:p>
          <w:p w14:paraId="608B4DCC" w14:textId="77777777" w:rsidR="00FD444E" w:rsidRDefault="00FD444E" w:rsidP="00FD444E">
            <w:r>
              <w:t xml:space="preserve">And, power scaling s=1 for full power TPMIs or scaled by the ratio of number of non-zero PUSCH ports to number SRS ports corresponding SRS resource. </w:t>
            </w:r>
          </w:p>
          <w:p w14:paraId="5B346A44" w14:textId="77777777" w:rsidR="00FD444E" w:rsidRDefault="00FD444E" w:rsidP="00FD444E">
            <w:r>
              <w:t>In current spec, when 2-port SRS is configured for an UE supporting 4Tx in UL, no matter the codebook subset is coherent or non-coherent, the UE cannot deliver full power with mode1 since the power is scaled by the ratio of non-zero PUSCH ports number to maximum number of SRS ports supported by the UE in one SRS resource, for non-coherent rank=1 transmission the output power is scaled either by 1/4 or 2/4 depending on indicated TPMI.</w:t>
            </w:r>
          </w:p>
          <w:p w14:paraId="4143FE5E" w14:textId="77777777" w:rsidR="00FD444E" w:rsidRDefault="00FD444E" w:rsidP="00C64F5D">
            <w:pPr>
              <w:pStyle w:val="Caption"/>
            </w:pPr>
          </w:p>
          <w:p w14:paraId="5F7FC19A" w14:textId="77777777" w:rsidR="00FD444E" w:rsidRDefault="00FD444E" w:rsidP="00FD444E">
            <w:pPr>
              <w:rPr>
                <w:rFonts w:eastAsiaTheme="minorEastAsia"/>
                <w:sz w:val="21"/>
                <w:lang w:val="en-US"/>
              </w:rPr>
            </w:pPr>
            <w:r>
              <w:t xml:space="preserve">gNB may configure 2-port SRS for </w:t>
            </w:r>
            <w:proofErr w:type="gramStart"/>
            <w:r>
              <w:t>an</w:t>
            </w:r>
            <w:proofErr w:type="gramEnd"/>
            <w:r>
              <w:t xml:space="preserve"> UE supporting 4Tx in UL for different reasons; it could be for UE power saving purpose, gNB may configure fewer number of SRS ports than max number of ports UE supported in different BWPs, or it could be due to overall SRS overhead in the cell. </w:t>
            </w:r>
          </w:p>
          <w:p w14:paraId="433326A8" w14:textId="77777777" w:rsidR="00FD444E" w:rsidRDefault="00FD444E" w:rsidP="00FD444E">
            <w:r>
              <w:t xml:space="preserve">For 4Tx partial-coherent UE not supporting Rel-16 UL full power transmission, if configured with 2-port SRS, maximum deliverable output power could be different with coherent codebook subset and non-coherent codebook subset. Let’s assume PC3 UE, 2Tx non-coherent codebook subset contains only antenna selection TPMIs, that means the maximum output power for rank=1 transmission is scaled by 1/4, if 2Tx coherent codebook subset can be configured then the maximum output power for rank=1 transmission with non-antenna selection TPMIs is scaled by 2/4 since there are 2 non-zero PUSCH ports, which means 3dB more power. </w:t>
            </w:r>
          </w:p>
          <w:p w14:paraId="1C5EE296" w14:textId="77777777" w:rsidR="00FD444E" w:rsidRDefault="00FD444E" w:rsidP="00FD444E">
            <w:r>
              <w:t xml:space="preserve">For example, as shown in figure 1 below, for 4Tx partial-coherent UE (with 17dBm PAs), by virtualizing 2 antennas it can operate as 2Tx coherent or non-coherent UE. If it is assumed 2Tx non-coherent UE after virtualization, due to power scaling mechanism, for rank=1 transmission the maximum output power is 1/4 of </w:t>
            </w:r>
            <w:proofErr w:type="spellStart"/>
            <w:r>
              <w:t>Pc_max</w:t>
            </w:r>
            <w:proofErr w:type="spellEnd"/>
            <w:r>
              <w:t xml:space="preserve">, i.e. 17dBm for PC3 UE and if assuming 2Tx coherent UE after virtualization, the non-antenna selection TPMIs can deliver 1/2 of </w:t>
            </w:r>
            <w:proofErr w:type="spellStart"/>
            <w:r>
              <w:t>Pc_max</w:t>
            </w:r>
            <w:proofErr w:type="spellEnd"/>
            <w:r>
              <w:t xml:space="preserve">, i.e. 20dBm for PC3 UE. On the other hand, if such </w:t>
            </w:r>
            <w:proofErr w:type="gramStart"/>
            <w:r>
              <w:t>an</w:t>
            </w:r>
            <w:proofErr w:type="gramEnd"/>
            <w:r>
              <w:t xml:space="preserve"> UE chooses two coherent antenna pair without antenna virtualization for 2Tx operation, the non-antenna selection TPMIs can also deliver 1/2 of </w:t>
            </w:r>
            <w:proofErr w:type="spellStart"/>
            <w:r>
              <w:t>Pc_max</w:t>
            </w:r>
            <w:proofErr w:type="spellEnd"/>
            <w:r>
              <w:t xml:space="preserve">. </w:t>
            </w:r>
          </w:p>
          <w:p w14:paraId="7F274903" w14:textId="6A52B34E" w:rsidR="00FD444E" w:rsidRDefault="00FD444E" w:rsidP="00FD444E">
            <w:pPr>
              <w:jc w:val="center"/>
            </w:pPr>
            <w:r>
              <w:rPr>
                <w:noProof/>
              </w:rPr>
              <w:drawing>
                <wp:inline distT="0" distB="0" distL="0" distR="0" wp14:anchorId="5B947F64" wp14:editId="0DBB6D09">
                  <wp:extent cx="3838575" cy="2486025"/>
                  <wp:effectExtent l="0" t="0" r="9525"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38575" cy="2486025"/>
                          </a:xfrm>
                          <a:prstGeom prst="rect">
                            <a:avLst/>
                          </a:prstGeom>
                          <a:noFill/>
                          <a:ln>
                            <a:noFill/>
                          </a:ln>
                        </pic:spPr>
                      </pic:pic>
                    </a:graphicData>
                  </a:graphic>
                </wp:inline>
              </w:drawing>
            </w:r>
          </w:p>
          <w:p w14:paraId="212904F5" w14:textId="77777777" w:rsidR="00FD444E" w:rsidRDefault="00FD444E" w:rsidP="00FD444E">
            <w:pPr>
              <w:jc w:val="center"/>
            </w:pPr>
            <w:r>
              <w:t>Figure 1, 4Tx partial-coherent UE operating as 2Tx UE</w:t>
            </w:r>
          </w:p>
          <w:p w14:paraId="3DAFF110" w14:textId="77777777" w:rsidR="00FD444E" w:rsidRDefault="00FD444E" w:rsidP="00FD444E"/>
          <w:p w14:paraId="21BFC649" w14:textId="77777777" w:rsidR="00FD444E" w:rsidRDefault="00FD444E" w:rsidP="00FD444E">
            <w:r>
              <w:t>Hence, following proposal is made.</w:t>
            </w:r>
          </w:p>
          <w:p w14:paraId="55269F55" w14:textId="77777777" w:rsidR="00FD444E" w:rsidRDefault="00FD444E" w:rsidP="00FD444E"/>
          <w:p w14:paraId="45BB5E4A" w14:textId="77777777" w:rsidR="00FD444E" w:rsidRDefault="00FD444E" w:rsidP="00FD444E">
            <w:r>
              <w:t>Proposal 1:</w:t>
            </w:r>
          </w:p>
          <w:p w14:paraId="401D11A1" w14:textId="77777777" w:rsidR="00FD444E" w:rsidRDefault="00FD444E" w:rsidP="00B650B3">
            <w:pPr>
              <w:pStyle w:val="ListParagraph"/>
              <w:widowControl w:val="0"/>
              <w:numPr>
                <w:ilvl w:val="0"/>
                <w:numId w:val="34"/>
              </w:numPr>
              <w:ind w:leftChars="0"/>
              <w:jc w:val="both"/>
            </w:pPr>
            <w:bookmarkStart w:id="65" w:name="_Hlk71832119"/>
            <w:r>
              <w:t>For 4Tx partial-coherent capable UE, 2Tx coherent codebook subset is supported when the network configures 2-port SRS (for codebook) and SRS resource set includes 1 SRS resource or configured with same number of ports for all resources.</w:t>
            </w:r>
          </w:p>
          <w:bookmarkEnd w:id="65"/>
          <w:p w14:paraId="363A11AD" w14:textId="77777777" w:rsidR="00FD444E" w:rsidRDefault="00FD444E" w:rsidP="00FD444E"/>
          <w:p w14:paraId="6CC4D88F" w14:textId="77777777" w:rsidR="00FD444E" w:rsidRDefault="00FD444E" w:rsidP="00FD444E">
            <w:r>
              <w:t xml:space="preserve">For 4Tx UEs with architecture as shown in Figure 2, it is also possible to support full power transmission through antenna selection. For example, for 4Tx partial-coherent or non-coherent UE supporting only Rel-16 UL full power transmission mode1, UE may select Tx chains to operate as 2Tx non-coherent UE (as shown in figure 2), to deliver full power with rank=1 and 2. Power scaling can be enhanced accordingly. </w:t>
            </w:r>
          </w:p>
          <w:p w14:paraId="56B4E76D" w14:textId="631FF16C" w:rsidR="00FD444E" w:rsidRDefault="00FD444E" w:rsidP="00FD444E">
            <w:pPr>
              <w:jc w:val="center"/>
            </w:pPr>
            <w:r>
              <w:rPr>
                <w:noProof/>
              </w:rPr>
              <w:drawing>
                <wp:inline distT="0" distB="0" distL="0" distR="0" wp14:anchorId="6AE7F3C5" wp14:editId="162D4E42">
                  <wp:extent cx="3505200" cy="22669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05200" cy="2266950"/>
                          </a:xfrm>
                          <a:prstGeom prst="rect">
                            <a:avLst/>
                          </a:prstGeom>
                          <a:noFill/>
                          <a:ln>
                            <a:noFill/>
                          </a:ln>
                        </pic:spPr>
                      </pic:pic>
                    </a:graphicData>
                  </a:graphic>
                </wp:inline>
              </w:drawing>
            </w:r>
          </w:p>
          <w:p w14:paraId="751F15A3" w14:textId="77777777" w:rsidR="00FD444E" w:rsidRDefault="00FD444E" w:rsidP="00FD444E">
            <w:pPr>
              <w:jc w:val="center"/>
            </w:pPr>
            <w:r>
              <w:t>Figure 2, 4Tx partial-coherent UE operating as 2Tx non-coherent UE</w:t>
            </w:r>
          </w:p>
          <w:p w14:paraId="448E14A3" w14:textId="77777777" w:rsidR="00FD444E" w:rsidRDefault="00FD444E" w:rsidP="00FD444E"/>
          <w:p w14:paraId="19BA85F6" w14:textId="77777777" w:rsidR="00FD444E" w:rsidRDefault="00FD444E" w:rsidP="00FD444E">
            <w:r>
              <w:t>Proposal 2:</w:t>
            </w:r>
          </w:p>
          <w:p w14:paraId="6CECB5D8" w14:textId="77777777" w:rsidR="00FD444E" w:rsidRDefault="00FD444E" w:rsidP="00B650B3">
            <w:pPr>
              <w:pStyle w:val="ListParagraph"/>
              <w:widowControl w:val="0"/>
              <w:numPr>
                <w:ilvl w:val="0"/>
                <w:numId w:val="34"/>
              </w:numPr>
              <w:ind w:leftChars="0"/>
              <w:jc w:val="both"/>
            </w:pPr>
            <w:r>
              <w:t>For 4Tx partial-coherent or non-coherent UE supporting UL full power transmission mode1, UL full power mode1 can be supported with 2-port SRS configured.</w:t>
            </w:r>
          </w:p>
          <w:p w14:paraId="7DBC4601" w14:textId="4345EEF3" w:rsidR="00FD444E" w:rsidRPr="00FD444E" w:rsidRDefault="00FD444E" w:rsidP="00B650B3">
            <w:pPr>
              <w:pStyle w:val="ListParagraph"/>
              <w:widowControl w:val="0"/>
              <w:numPr>
                <w:ilvl w:val="1"/>
                <w:numId w:val="34"/>
              </w:numPr>
              <w:ind w:leftChars="0"/>
              <w:jc w:val="both"/>
            </w:pPr>
            <w:r>
              <w:t>New UE capability is introduced</w:t>
            </w:r>
          </w:p>
        </w:tc>
      </w:tr>
    </w:tbl>
    <w:p w14:paraId="54C95387" w14:textId="77777777" w:rsidR="00FD444E" w:rsidRPr="00802399" w:rsidRDefault="00FD444E" w:rsidP="00FD444E">
      <w:pPr>
        <w:rPr>
          <w:b/>
        </w:rPr>
      </w:pPr>
    </w:p>
    <w:p w14:paraId="4A963237" w14:textId="77777777" w:rsidR="00FD444E" w:rsidRDefault="00FD444E" w:rsidP="00FD444E">
      <w:pPr>
        <w:rPr>
          <w:rFonts w:eastAsia="MS Mincho" w:cs="Batang"/>
          <w:sz w:val="22"/>
          <w:szCs w:val="22"/>
        </w:rPr>
      </w:pPr>
      <w:r>
        <w:rPr>
          <w:rFonts w:eastAsia="MS Mincho" w:cs="Batang"/>
          <w:sz w:val="22"/>
          <w:szCs w:val="22"/>
        </w:rPr>
        <w:t>Based on the above contribution, following TEI proposal can be discussed in RAN1#105-e meeting.</w:t>
      </w:r>
    </w:p>
    <w:p w14:paraId="7F114F74" w14:textId="77777777" w:rsidR="00FD444E" w:rsidRDefault="00FD444E" w:rsidP="00FD444E">
      <w:pPr>
        <w:rPr>
          <w:rFonts w:ascii="Arial" w:eastAsia="MS Mincho" w:hAnsi="Arial"/>
          <w:sz w:val="32"/>
          <w:szCs w:val="32"/>
        </w:rPr>
      </w:pPr>
    </w:p>
    <w:p w14:paraId="56220F6C" w14:textId="22578CEE" w:rsidR="00FD444E" w:rsidRPr="00AD5375" w:rsidRDefault="00FD444E" w:rsidP="00FD444E">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13</w:t>
      </w:r>
    </w:p>
    <w:p w14:paraId="20973BA3" w14:textId="77777777" w:rsidR="00FD444E" w:rsidRPr="00FD444E" w:rsidRDefault="00FD444E" w:rsidP="00FD444E">
      <w:pPr>
        <w:pStyle w:val="ListParagraph"/>
        <w:numPr>
          <w:ilvl w:val="0"/>
          <w:numId w:val="13"/>
        </w:numPr>
        <w:ind w:leftChars="0"/>
        <w:rPr>
          <w:b/>
          <w:sz w:val="22"/>
          <w:szCs w:val="18"/>
        </w:rPr>
      </w:pPr>
      <w:r w:rsidRPr="00FD444E">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171F28E8" w14:textId="77777777" w:rsidR="00FD444E" w:rsidRPr="00FD444E" w:rsidRDefault="00FD444E" w:rsidP="00FD444E">
      <w:pPr>
        <w:pStyle w:val="ListParagraph"/>
        <w:numPr>
          <w:ilvl w:val="0"/>
          <w:numId w:val="13"/>
        </w:numPr>
        <w:ind w:leftChars="0"/>
        <w:rPr>
          <w:b/>
          <w:sz w:val="22"/>
          <w:szCs w:val="18"/>
        </w:rPr>
      </w:pPr>
      <w:r w:rsidRPr="00FD444E">
        <w:rPr>
          <w:b/>
          <w:sz w:val="22"/>
          <w:szCs w:val="18"/>
        </w:rPr>
        <w:t>For 4Tx partial-coherent or non-coherent UE supporting UL full power transmission mode1, UL full power mode1 can be supported with 2-port SRS configured.</w:t>
      </w:r>
    </w:p>
    <w:p w14:paraId="63B0C90C" w14:textId="2170FA37" w:rsidR="00FD444E" w:rsidRPr="00FD444E" w:rsidRDefault="00FD444E" w:rsidP="00FD444E">
      <w:pPr>
        <w:pStyle w:val="ListParagraph"/>
        <w:numPr>
          <w:ilvl w:val="1"/>
          <w:numId w:val="13"/>
        </w:numPr>
        <w:ind w:leftChars="0"/>
        <w:rPr>
          <w:b/>
          <w:sz w:val="22"/>
          <w:szCs w:val="18"/>
        </w:rPr>
      </w:pPr>
      <w:r w:rsidRPr="00FD444E">
        <w:rPr>
          <w:b/>
          <w:sz w:val="22"/>
          <w:szCs w:val="18"/>
        </w:rPr>
        <w:t>New UE capability is introduced</w:t>
      </w:r>
    </w:p>
    <w:p w14:paraId="3D46999B" w14:textId="77777777" w:rsidR="00FD444E" w:rsidRDefault="00FD444E" w:rsidP="00FD444E">
      <w:pPr>
        <w:rPr>
          <w:rFonts w:eastAsia="MS Mincho" w:cs="Batang"/>
          <w:sz w:val="22"/>
          <w:szCs w:val="22"/>
        </w:rPr>
      </w:pPr>
    </w:p>
    <w:p w14:paraId="587FA673" w14:textId="7474AB12" w:rsidR="00FD444E" w:rsidRDefault="00FD444E" w:rsidP="00FD444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vivo, ZTE, CMCC, Samsung</w:t>
      </w:r>
      <w:r>
        <w:rPr>
          <w:rFonts w:eastAsia="MS Mincho" w:cs="Batang"/>
          <w:sz w:val="22"/>
          <w:szCs w:val="22"/>
        </w:rPr>
        <w:t>.</w:t>
      </w:r>
    </w:p>
    <w:p w14:paraId="34216D22" w14:textId="77777777" w:rsidR="00FD444E" w:rsidRDefault="00FD444E" w:rsidP="00FD444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FD444E" w14:paraId="16BD6771" w14:textId="77777777" w:rsidTr="00C64F5D">
        <w:tc>
          <w:tcPr>
            <w:tcW w:w="1945" w:type="dxa"/>
            <w:shd w:val="clear" w:color="auto" w:fill="F2F2F2" w:themeFill="background1" w:themeFillShade="F2"/>
          </w:tcPr>
          <w:p w14:paraId="016485A6" w14:textId="77777777" w:rsidR="00FD444E" w:rsidRDefault="00FD444E"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867F20C" w14:textId="77777777" w:rsidR="00FD444E" w:rsidRDefault="00FD444E" w:rsidP="00C64F5D">
            <w:pPr>
              <w:spacing w:afterLines="50" w:after="120"/>
              <w:jc w:val="both"/>
              <w:rPr>
                <w:sz w:val="22"/>
                <w:lang w:val="en-US"/>
              </w:rPr>
            </w:pPr>
            <w:r>
              <w:rPr>
                <w:rFonts w:hint="eastAsia"/>
                <w:sz w:val="22"/>
                <w:lang w:val="en-US"/>
              </w:rPr>
              <w:t>C</w:t>
            </w:r>
            <w:r>
              <w:rPr>
                <w:sz w:val="22"/>
                <w:lang w:val="en-US"/>
              </w:rPr>
              <w:t>omment</w:t>
            </w:r>
          </w:p>
        </w:tc>
      </w:tr>
      <w:tr w:rsidR="00FD444E" w14:paraId="3B9FF49F" w14:textId="77777777" w:rsidTr="00C64F5D">
        <w:tc>
          <w:tcPr>
            <w:tcW w:w="1945" w:type="dxa"/>
          </w:tcPr>
          <w:p w14:paraId="7B36180D" w14:textId="77777777" w:rsidR="00FD444E" w:rsidRDefault="00FD444E" w:rsidP="00C64F5D">
            <w:pPr>
              <w:spacing w:afterLines="50" w:after="120"/>
              <w:jc w:val="both"/>
              <w:rPr>
                <w:sz w:val="22"/>
                <w:lang w:val="en-US"/>
              </w:rPr>
            </w:pPr>
          </w:p>
        </w:tc>
        <w:tc>
          <w:tcPr>
            <w:tcW w:w="7683" w:type="dxa"/>
          </w:tcPr>
          <w:p w14:paraId="6545A38B" w14:textId="46FE6A5A" w:rsidR="00FD444E" w:rsidRDefault="00FD444E" w:rsidP="00C64F5D">
            <w:pPr>
              <w:spacing w:afterLines="50" w:after="120"/>
              <w:jc w:val="both"/>
              <w:rPr>
                <w:sz w:val="22"/>
                <w:lang w:val="en-US"/>
              </w:rPr>
            </w:pPr>
          </w:p>
        </w:tc>
      </w:tr>
      <w:tr w:rsidR="00FD444E" w14:paraId="1A29CFA6" w14:textId="77777777" w:rsidTr="00C64F5D">
        <w:tc>
          <w:tcPr>
            <w:tcW w:w="1945" w:type="dxa"/>
          </w:tcPr>
          <w:p w14:paraId="02784B89" w14:textId="77777777" w:rsidR="00FD444E" w:rsidRDefault="00FD444E" w:rsidP="00C64F5D">
            <w:pPr>
              <w:spacing w:afterLines="50" w:after="120"/>
              <w:jc w:val="both"/>
              <w:rPr>
                <w:sz w:val="22"/>
                <w:lang w:val="en-US"/>
              </w:rPr>
            </w:pPr>
          </w:p>
        </w:tc>
        <w:tc>
          <w:tcPr>
            <w:tcW w:w="7683" w:type="dxa"/>
          </w:tcPr>
          <w:p w14:paraId="5BF67D17" w14:textId="77777777" w:rsidR="00FD444E" w:rsidRPr="00F740AD" w:rsidRDefault="00FD444E" w:rsidP="00C64F5D">
            <w:pPr>
              <w:spacing w:afterLines="50" w:after="120"/>
              <w:jc w:val="both"/>
              <w:rPr>
                <w:sz w:val="22"/>
                <w:lang w:val="en-US"/>
              </w:rPr>
            </w:pPr>
          </w:p>
        </w:tc>
      </w:tr>
      <w:tr w:rsidR="00FD444E" w14:paraId="696E6996" w14:textId="77777777" w:rsidTr="00C64F5D">
        <w:tc>
          <w:tcPr>
            <w:tcW w:w="1945" w:type="dxa"/>
          </w:tcPr>
          <w:p w14:paraId="510FDA30" w14:textId="77777777" w:rsidR="00FD444E" w:rsidRDefault="00FD444E" w:rsidP="00C64F5D">
            <w:pPr>
              <w:spacing w:afterLines="50" w:after="120"/>
              <w:jc w:val="both"/>
              <w:rPr>
                <w:sz w:val="22"/>
                <w:lang w:val="en-US"/>
              </w:rPr>
            </w:pPr>
          </w:p>
        </w:tc>
        <w:tc>
          <w:tcPr>
            <w:tcW w:w="7683" w:type="dxa"/>
          </w:tcPr>
          <w:p w14:paraId="683236D5" w14:textId="77777777" w:rsidR="00FD444E" w:rsidRPr="00F740AD" w:rsidRDefault="00FD444E" w:rsidP="00C64F5D">
            <w:pPr>
              <w:spacing w:afterLines="50" w:after="120"/>
              <w:jc w:val="both"/>
              <w:rPr>
                <w:sz w:val="22"/>
                <w:lang w:val="en-US"/>
              </w:rPr>
            </w:pPr>
          </w:p>
        </w:tc>
      </w:tr>
    </w:tbl>
    <w:p w14:paraId="4CE0A55B" w14:textId="77777777" w:rsidR="00FD444E" w:rsidRDefault="00FD444E" w:rsidP="002753B9">
      <w:pPr>
        <w:rPr>
          <w:b/>
        </w:rPr>
      </w:pPr>
    </w:p>
    <w:p w14:paraId="1CFFE8E7" w14:textId="77777777" w:rsidR="00FD444E" w:rsidRDefault="00FD444E" w:rsidP="002753B9">
      <w:pPr>
        <w:rPr>
          <w:b/>
        </w:rPr>
      </w:pPr>
    </w:p>
    <w:p w14:paraId="7A586CCF" w14:textId="4F37CB92" w:rsidR="00974662" w:rsidRPr="00E34C18" w:rsidRDefault="00DA3A05"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1291C697" w14:textId="77777777" w:rsidR="0001312D" w:rsidRPr="0001312D" w:rsidRDefault="0001312D"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Batang" w:hAnsi="Arial"/>
          <w:vanish/>
          <w:sz w:val="28"/>
          <w:szCs w:val="32"/>
          <w:lang w:val="en-US" w:eastAsia="ko-KR"/>
        </w:rPr>
      </w:pPr>
    </w:p>
    <w:p w14:paraId="55CA2209" w14:textId="17D5706B" w:rsidR="006744D2" w:rsidRPr="00695F74" w:rsidRDefault="00695F74" w:rsidP="002753B9">
      <w:pPr>
        <w:rPr>
          <w:bCs/>
        </w:rPr>
      </w:pPr>
      <w:r w:rsidRPr="00695F74">
        <w:rPr>
          <w:rFonts w:hint="eastAsia"/>
          <w:bCs/>
        </w:rPr>
        <w:t>T</w:t>
      </w:r>
      <w:r w:rsidRPr="00695F74">
        <w:rPr>
          <w:bCs/>
        </w:rPr>
        <w:t>BD</w:t>
      </w:r>
    </w:p>
    <w:p w14:paraId="406F93AD" w14:textId="77777777" w:rsidR="000B2379" w:rsidRPr="000B2379" w:rsidRDefault="000B2379" w:rsidP="002753B9">
      <w:pPr>
        <w:rPr>
          <w:b/>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1803A8E9" w14:textId="77777777" w:rsidR="006D27B7" w:rsidRPr="006D27B7" w:rsidRDefault="00974662" w:rsidP="006D27B7">
      <w:pPr>
        <w:rPr>
          <w:bCs/>
          <w:sz w:val="22"/>
          <w:szCs w:val="18"/>
        </w:rPr>
      </w:pPr>
      <w:r>
        <w:rPr>
          <w:bCs/>
          <w:sz w:val="22"/>
          <w:szCs w:val="18"/>
        </w:rPr>
        <w:t>[1]</w:t>
      </w:r>
      <w:r>
        <w:rPr>
          <w:bCs/>
          <w:sz w:val="22"/>
          <w:szCs w:val="18"/>
        </w:rPr>
        <w:tab/>
      </w:r>
      <w:r w:rsidR="006D27B7" w:rsidRPr="006D27B7">
        <w:rPr>
          <w:bCs/>
          <w:sz w:val="22"/>
          <w:szCs w:val="18"/>
        </w:rPr>
        <w:t>R1-2104473</w:t>
      </w:r>
      <w:r w:rsidR="006D27B7" w:rsidRPr="006D27B7">
        <w:rPr>
          <w:bCs/>
          <w:sz w:val="22"/>
          <w:szCs w:val="18"/>
        </w:rPr>
        <w:tab/>
        <w:t>Discussion on SSB resources for RLM</w:t>
      </w:r>
      <w:r w:rsidR="006D27B7" w:rsidRPr="006D27B7">
        <w:rPr>
          <w:bCs/>
          <w:sz w:val="22"/>
          <w:szCs w:val="18"/>
        </w:rPr>
        <w:tab/>
        <w:t>CATT</w:t>
      </w:r>
    </w:p>
    <w:p w14:paraId="5F73BBFF" w14:textId="1466164A" w:rsidR="006D27B7" w:rsidRPr="006D27B7" w:rsidRDefault="006D27B7" w:rsidP="006D27B7">
      <w:pPr>
        <w:rPr>
          <w:bCs/>
          <w:sz w:val="22"/>
          <w:szCs w:val="18"/>
        </w:rPr>
      </w:pPr>
      <w:r>
        <w:rPr>
          <w:bCs/>
          <w:sz w:val="22"/>
          <w:szCs w:val="18"/>
        </w:rPr>
        <w:t>[2]</w:t>
      </w:r>
      <w:r>
        <w:rPr>
          <w:bCs/>
          <w:sz w:val="22"/>
          <w:szCs w:val="18"/>
        </w:rPr>
        <w:tab/>
      </w:r>
      <w:r w:rsidRPr="006D27B7">
        <w:rPr>
          <w:bCs/>
          <w:sz w:val="22"/>
          <w:szCs w:val="18"/>
        </w:rPr>
        <w:t>R1-2104596</w:t>
      </w:r>
      <w:r w:rsidRPr="006D27B7">
        <w:rPr>
          <w:bCs/>
          <w:sz w:val="22"/>
          <w:szCs w:val="18"/>
        </w:rPr>
        <w:tab/>
        <w:t>TEI-17 proposal on NR codeword mapping</w:t>
      </w:r>
      <w:r w:rsidRPr="006D27B7">
        <w:rPr>
          <w:bCs/>
          <w:sz w:val="22"/>
          <w:szCs w:val="18"/>
        </w:rPr>
        <w:tab/>
        <w:t>ZTE</w:t>
      </w:r>
    </w:p>
    <w:p w14:paraId="76001F2B" w14:textId="4877D9A3" w:rsidR="006D27B7" w:rsidRPr="006D27B7" w:rsidRDefault="006D27B7" w:rsidP="006D27B7">
      <w:pPr>
        <w:rPr>
          <w:bCs/>
          <w:sz w:val="22"/>
          <w:szCs w:val="18"/>
        </w:rPr>
      </w:pPr>
      <w:r>
        <w:rPr>
          <w:bCs/>
          <w:sz w:val="22"/>
          <w:szCs w:val="18"/>
        </w:rPr>
        <w:t>[3]</w:t>
      </w:r>
      <w:r>
        <w:rPr>
          <w:bCs/>
          <w:sz w:val="22"/>
          <w:szCs w:val="18"/>
        </w:rPr>
        <w:tab/>
      </w:r>
      <w:r w:rsidRPr="006D27B7">
        <w:rPr>
          <w:bCs/>
          <w:sz w:val="22"/>
          <w:szCs w:val="18"/>
        </w:rPr>
        <w:t>R1-2104705</w:t>
      </w:r>
      <w:r w:rsidRPr="006D27B7">
        <w:rPr>
          <w:bCs/>
          <w:sz w:val="22"/>
          <w:szCs w:val="18"/>
        </w:rPr>
        <w:tab/>
        <w:t>Rel-17 TEI</w:t>
      </w:r>
      <w:r w:rsidRPr="006D27B7">
        <w:rPr>
          <w:bCs/>
          <w:sz w:val="22"/>
          <w:szCs w:val="18"/>
        </w:rPr>
        <w:tab/>
        <w:t>Qualcomm Incorporated</w:t>
      </w:r>
    </w:p>
    <w:p w14:paraId="7DB8A649" w14:textId="6F8CD369" w:rsidR="006D27B7" w:rsidRPr="006D27B7" w:rsidRDefault="006D27B7" w:rsidP="006D27B7">
      <w:pPr>
        <w:rPr>
          <w:bCs/>
          <w:sz w:val="22"/>
          <w:szCs w:val="18"/>
        </w:rPr>
      </w:pPr>
      <w:r>
        <w:rPr>
          <w:bCs/>
          <w:sz w:val="22"/>
          <w:szCs w:val="18"/>
        </w:rPr>
        <w:t>[4]</w:t>
      </w:r>
      <w:r>
        <w:rPr>
          <w:bCs/>
          <w:sz w:val="22"/>
          <w:szCs w:val="18"/>
        </w:rPr>
        <w:tab/>
      </w:r>
      <w:r w:rsidRPr="006D27B7">
        <w:rPr>
          <w:bCs/>
          <w:sz w:val="22"/>
          <w:szCs w:val="18"/>
        </w:rPr>
        <w:t>R1-2104939</w:t>
      </w:r>
      <w:r w:rsidRPr="006D27B7">
        <w:rPr>
          <w:bCs/>
          <w:sz w:val="22"/>
          <w:szCs w:val="18"/>
        </w:rPr>
        <w:tab/>
        <w:t>On Rel-17 TEI enhancement</w:t>
      </w:r>
      <w:r w:rsidRPr="006D27B7">
        <w:rPr>
          <w:bCs/>
          <w:sz w:val="22"/>
          <w:szCs w:val="18"/>
        </w:rPr>
        <w:tab/>
        <w:t>Intel Corporation</w:t>
      </w:r>
    </w:p>
    <w:p w14:paraId="2FD02D7D" w14:textId="78515A22" w:rsidR="006D27B7" w:rsidRPr="006D27B7" w:rsidRDefault="006D27B7" w:rsidP="006D27B7">
      <w:pPr>
        <w:rPr>
          <w:bCs/>
          <w:sz w:val="22"/>
          <w:szCs w:val="18"/>
        </w:rPr>
      </w:pPr>
      <w:r>
        <w:rPr>
          <w:bCs/>
          <w:sz w:val="22"/>
          <w:szCs w:val="18"/>
        </w:rPr>
        <w:t>[5]</w:t>
      </w:r>
      <w:r>
        <w:rPr>
          <w:bCs/>
          <w:sz w:val="22"/>
          <w:szCs w:val="18"/>
        </w:rPr>
        <w:tab/>
      </w:r>
      <w:r w:rsidRPr="006D27B7">
        <w:rPr>
          <w:bCs/>
          <w:sz w:val="22"/>
          <w:szCs w:val="18"/>
        </w:rPr>
        <w:t>R1-2105536</w:t>
      </w:r>
      <w:r w:rsidRPr="006D27B7">
        <w:rPr>
          <w:bCs/>
          <w:sz w:val="22"/>
          <w:szCs w:val="18"/>
        </w:rPr>
        <w:tab/>
        <w:t>Enhancements on the scheduling of PUSCH over multiple slots</w:t>
      </w:r>
      <w:r w:rsidRPr="006D27B7">
        <w:rPr>
          <w:bCs/>
          <w:sz w:val="22"/>
          <w:szCs w:val="18"/>
        </w:rPr>
        <w:tab/>
        <w:t>Huawei, HiSilicon, China Unicom</w:t>
      </w:r>
    </w:p>
    <w:p w14:paraId="606DEEB2" w14:textId="5A3F2254" w:rsidR="006D27B7" w:rsidRPr="006D27B7" w:rsidRDefault="006D27B7" w:rsidP="006D27B7">
      <w:pPr>
        <w:rPr>
          <w:bCs/>
          <w:sz w:val="22"/>
          <w:szCs w:val="18"/>
        </w:rPr>
      </w:pPr>
      <w:r>
        <w:rPr>
          <w:bCs/>
          <w:sz w:val="22"/>
          <w:szCs w:val="18"/>
        </w:rPr>
        <w:t>[6]</w:t>
      </w:r>
      <w:r>
        <w:rPr>
          <w:bCs/>
          <w:sz w:val="22"/>
          <w:szCs w:val="18"/>
        </w:rPr>
        <w:tab/>
      </w:r>
      <w:r w:rsidRPr="006D27B7">
        <w:rPr>
          <w:bCs/>
          <w:sz w:val="22"/>
          <w:szCs w:val="18"/>
        </w:rPr>
        <w:t>R1-2105739</w:t>
      </w:r>
      <w:r w:rsidRPr="006D27B7">
        <w:rPr>
          <w:bCs/>
          <w:sz w:val="22"/>
          <w:szCs w:val="18"/>
        </w:rPr>
        <w:tab/>
        <w:t>Views on TEI-17 proposal targeting the false PMI reporting issue</w:t>
      </w:r>
      <w:r w:rsidRPr="006D27B7">
        <w:rPr>
          <w:bCs/>
          <w:sz w:val="22"/>
          <w:szCs w:val="18"/>
        </w:rPr>
        <w:tab/>
        <w:t>MediaTek Inc.</w:t>
      </w:r>
    </w:p>
    <w:p w14:paraId="746B1E25" w14:textId="18B6090F" w:rsidR="006D27B7" w:rsidRPr="006D27B7" w:rsidRDefault="006D27B7" w:rsidP="006D27B7">
      <w:pPr>
        <w:rPr>
          <w:bCs/>
          <w:sz w:val="22"/>
          <w:szCs w:val="18"/>
        </w:rPr>
      </w:pPr>
      <w:r>
        <w:rPr>
          <w:bCs/>
          <w:sz w:val="22"/>
          <w:szCs w:val="18"/>
        </w:rPr>
        <w:t>[7]</w:t>
      </w:r>
      <w:r>
        <w:rPr>
          <w:bCs/>
          <w:sz w:val="22"/>
          <w:szCs w:val="18"/>
        </w:rPr>
        <w:tab/>
      </w:r>
      <w:r w:rsidRPr="006D27B7">
        <w:rPr>
          <w:bCs/>
          <w:sz w:val="22"/>
          <w:szCs w:val="18"/>
        </w:rPr>
        <w:t>R1-2105778</w:t>
      </w:r>
      <w:r w:rsidRPr="006D27B7">
        <w:rPr>
          <w:bCs/>
          <w:sz w:val="22"/>
          <w:szCs w:val="18"/>
        </w:rPr>
        <w:tab/>
        <w:t>Rel-17 TEI proposal for mitigating half-duplex issue in NR V2X groupcast NACK-only case regime</w:t>
      </w:r>
      <w:r w:rsidRPr="006D27B7">
        <w:rPr>
          <w:bCs/>
          <w:sz w:val="22"/>
          <w:szCs w:val="18"/>
        </w:rPr>
        <w:tab/>
        <w:t>Intel Corporation, Qualcomm Inc.</w:t>
      </w:r>
    </w:p>
    <w:p w14:paraId="4C705878" w14:textId="5B975A08" w:rsidR="006D27B7" w:rsidRPr="006D27B7" w:rsidRDefault="006D27B7" w:rsidP="006D27B7">
      <w:pPr>
        <w:rPr>
          <w:bCs/>
          <w:sz w:val="22"/>
          <w:szCs w:val="18"/>
        </w:rPr>
      </w:pPr>
      <w:r>
        <w:rPr>
          <w:bCs/>
          <w:sz w:val="22"/>
          <w:szCs w:val="18"/>
        </w:rPr>
        <w:t>[8]</w:t>
      </w:r>
      <w:r>
        <w:rPr>
          <w:bCs/>
          <w:sz w:val="22"/>
          <w:szCs w:val="18"/>
        </w:rPr>
        <w:tab/>
      </w:r>
      <w:r w:rsidRPr="006D27B7">
        <w:rPr>
          <w:bCs/>
          <w:sz w:val="22"/>
          <w:szCs w:val="18"/>
        </w:rPr>
        <w:t>R1-2105804</w:t>
      </w:r>
      <w:r w:rsidRPr="006D27B7">
        <w:rPr>
          <w:bCs/>
          <w:sz w:val="22"/>
          <w:szCs w:val="18"/>
        </w:rPr>
        <w:tab/>
        <w:t>NR positioning support for TA-based positioning in E-CID (TEI)</w:t>
      </w:r>
      <w:r w:rsidRPr="006D27B7">
        <w:rPr>
          <w:bCs/>
          <w:sz w:val="22"/>
          <w:szCs w:val="18"/>
        </w:rPr>
        <w:tab/>
        <w:t>NTT DOCOMO INC., Ericsson, Polaris Wireless, Verizon, China Telecom, FirstNet, Deutsche Telekom, Intel Corporation, CATT</w:t>
      </w:r>
    </w:p>
    <w:p w14:paraId="0CFEC425" w14:textId="452D363C" w:rsidR="006D27B7" w:rsidRPr="006D27B7" w:rsidRDefault="006D27B7" w:rsidP="006D27B7">
      <w:pPr>
        <w:rPr>
          <w:bCs/>
          <w:sz w:val="22"/>
          <w:szCs w:val="18"/>
        </w:rPr>
      </w:pPr>
      <w:r>
        <w:rPr>
          <w:bCs/>
          <w:sz w:val="22"/>
          <w:szCs w:val="18"/>
        </w:rPr>
        <w:t>[9]</w:t>
      </w:r>
      <w:r>
        <w:rPr>
          <w:bCs/>
          <w:sz w:val="22"/>
          <w:szCs w:val="18"/>
        </w:rPr>
        <w:tab/>
      </w:r>
      <w:r w:rsidRPr="006D27B7">
        <w:rPr>
          <w:bCs/>
          <w:sz w:val="22"/>
          <w:szCs w:val="18"/>
        </w:rPr>
        <w:t>R1-2105813</w:t>
      </w:r>
      <w:r w:rsidRPr="006D27B7">
        <w:rPr>
          <w:bCs/>
          <w:sz w:val="22"/>
          <w:szCs w:val="18"/>
        </w:rPr>
        <w:tab/>
        <w:t>TEI-17 proposal targeting the false PMI reporting issue</w:t>
      </w:r>
      <w:r w:rsidRPr="006D27B7">
        <w:rPr>
          <w:bCs/>
          <w:sz w:val="22"/>
          <w:szCs w:val="18"/>
        </w:rPr>
        <w:tab/>
        <w:t>Ericsson, NTT DOCOMO, Softbank, Verizon, T-Mobile USA</w:t>
      </w:r>
    </w:p>
    <w:p w14:paraId="5460CD81" w14:textId="69F2E1A9" w:rsidR="006D27B7" w:rsidRDefault="006D27B7" w:rsidP="006D27B7">
      <w:pPr>
        <w:rPr>
          <w:bCs/>
          <w:sz w:val="22"/>
          <w:szCs w:val="18"/>
        </w:rPr>
      </w:pPr>
      <w:r>
        <w:rPr>
          <w:bCs/>
          <w:sz w:val="22"/>
          <w:szCs w:val="18"/>
        </w:rPr>
        <w:t>[10]</w:t>
      </w:r>
      <w:r>
        <w:rPr>
          <w:bCs/>
          <w:sz w:val="22"/>
          <w:szCs w:val="18"/>
        </w:rPr>
        <w:tab/>
      </w:r>
      <w:r w:rsidRPr="006D27B7">
        <w:rPr>
          <w:bCs/>
          <w:sz w:val="22"/>
          <w:szCs w:val="18"/>
        </w:rPr>
        <w:t>R1-2105951</w:t>
      </w:r>
      <w:r w:rsidRPr="006D27B7">
        <w:rPr>
          <w:bCs/>
          <w:sz w:val="22"/>
          <w:szCs w:val="18"/>
        </w:rPr>
        <w:tab/>
        <w:t>Support of 2Tx codebook configuration to 4Tx capable UE in UL</w:t>
      </w:r>
      <w:r w:rsidRPr="006D27B7">
        <w:rPr>
          <w:bCs/>
          <w:sz w:val="22"/>
          <w:szCs w:val="18"/>
        </w:rPr>
        <w:tab/>
        <w:t>vivo, ZTE, CMCC, Samsung</w:t>
      </w:r>
    </w:p>
    <w:p w14:paraId="271C55BA" w14:textId="4EEDA72A" w:rsidR="001F0C78" w:rsidRDefault="001F0C78" w:rsidP="001F0C78">
      <w:pPr>
        <w:spacing w:afterLines="50" w:after="120"/>
        <w:jc w:val="both"/>
        <w:rPr>
          <w:rFonts w:eastAsia="MS Mincho"/>
          <w:sz w:val="22"/>
        </w:rPr>
      </w:pPr>
      <w:r>
        <w:rPr>
          <w:rFonts w:eastAsia="MS Mincho"/>
          <w:sz w:val="22"/>
        </w:rPr>
        <w:t>[</w:t>
      </w:r>
      <w:r w:rsidR="006D27B7">
        <w:rPr>
          <w:rFonts w:eastAsia="MS Mincho"/>
          <w:sz w:val="22"/>
        </w:rPr>
        <w:t>11</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21885CD5" w14:textId="4AE93250" w:rsidR="001F0C78" w:rsidRDefault="001F0C78" w:rsidP="001F0C78">
      <w:pPr>
        <w:spacing w:afterLines="50" w:after="120"/>
        <w:jc w:val="both"/>
        <w:rPr>
          <w:rFonts w:eastAsia="MS Mincho"/>
          <w:sz w:val="22"/>
        </w:rPr>
      </w:pPr>
      <w:r>
        <w:rPr>
          <w:rFonts w:eastAsia="MS Mincho" w:hint="eastAsia"/>
          <w:sz w:val="22"/>
        </w:rPr>
        <w:t>[</w:t>
      </w:r>
      <w:r w:rsidR="006D27B7">
        <w:rPr>
          <w:rFonts w:eastAsia="MS Mincho"/>
          <w:sz w:val="22"/>
        </w:rPr>
        <w:t>12</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43CB3D4A" w14:textId="6B2A0FA3" w:rsidR="001F0C78" w:rsidRDefault="001F0C78" w:rsidP="00C52E7D">
      <w:pPr>
        <w:rPr>
          <w:bCs/>
          <w:sz w:val="22"/>
          <w:szCs w:val="18"/>
        </w:rPr>
      </w:pPr>
    </w:p>
    <w:p w14:paraId="254B83A8" w14:textId="2BA37858"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12</w:t>
      </w:r>
      <w:r>
        <w:rPr>
          <w:rFonts w:ascii="Arial" w:eastAsia="Batang" w:hAnsi="Arial"/>
          <w:sz w:val="32"/>
          <w:szCs w:val="32"/>
          <w:lang w:val="en-US" w:eastAsia="ko-KR"/>
        </w:rPr>
        <w:t>]</w:t>
      </w:r>
    </w:p>
    <w:p w14:paraId="47A6D687" w14:textId="6680CBB0" w:rsidR="001F0C78" w:rsidRDefault="001F0C78" w:rsidP="00C52E7D">
      <w:pPr>
        <w:rPr>
          <w:bCs/>
          <w:sz w:val="22"/>
          <w:szCs w:val="18"/>
        </w:rPr>
      </w:pPr>
    </w:p>
    <w:p w14:paraId="127C13D3" w14:textId="77777777" w:rsidR="001F0C78" w:rsidRDefault="001F0C78" w:rsidP="001F0C78">
      <w:pPr>
        <w:rPr>
          <w:rFonts w:eastAsia="Times New Roman"/>
          <w:b/>
          <w:bCs/>
          <w:sz w:val="20"/>
        </w:rPr>
      </w:pPr>
      <w:r>
        <w:rPr>
          <w:b/>
          <w:bCs/>
        </w:rPr>
        <w:t>A.</w:t>
      </w:r>
      <w:r>
        <w:rPr>
          <w:b/>
          <w:bCs/>
        </w:rPr>
        <w:tab/>
        <w:t>TEI Work Item codes shall only be used for small technical enhancements and improvements.</w:t>
      </w:r>
    </w:p>
    <w:p w14:paraId="3D114E56" w14:textId="77777777" w:rsidR="001F0C78" w:rsidRDefault="001F0C78" w:rsidP="001F0C78">
      <w:r>
        <w:t>This is how TEI was and is defined and it means that bigger topics should be done in an own WI.</w:t>
      </w:r>
    </w:p>
    <w:p w14:paraId="5BF6FF90" w14:textId="77777777" w:rsidR="001F0C78" w:rsidRDefault="001F0C78" w:rsidP="001F0C78">
      <w:pPr>
        <w:rPr>
          <w:b/>
          <w:bCs/>
        </w:rPr>
      </w:pPr>
      <w:r>
        <w:rPr>
          <w:b/>
          <w:bCs/>
        </w:rPr>
        <w:t>B.</w:t>
      </w:r>
      <w:r>
        <w:rPr>
          <w:b/>
          <w:bCs/>
        </w:rPr>
        <w:tab/>
        <w:t>A TEI CR set shall be fully completed within one TSG cycle/quarter in all affected WGs.</w:t>
      </w:r>
    </w:p>
    <w:p w14:paraId="2DB71007" w14:textId="77777777" w:rsidR="001F0C78" w:rsidRDefault="001F0C78" w:rsidP="001F0C78">
      <w:r>
        <w:t>This requirement from TR 21.900 was never challenged. It also clarifies that only complete sets can be approved.</w:t>
      </w:r>
    </w:p>
    <w:p w14:paraId="62EEB8C7" w14:textId="77777777" w:rsidR="001F0C78" w:rsidRDefault="001F0C78" w:rsidP="001F0C78">
      <w:pPr>
        <w:rPr>
          <w:b/>
          <w:bCs/>
        </w:rPr>
      </w:pPr>
      <w:r>
        <w:rPr>
          <w:b/>
          <w:bCs/>
        </w:rPr>
        <w:t>C.</w:t>
      </w:r>
      <w:r>
        <w:rPr>
          <w:b/>
          <w:bCs/>
        </w:rPr>
        <w:tab/>
        <w:t>TEI Work Item codes shall not be used where another appropriate Work Item code exists.</w:t>
      </w:r>
    </w:p>
    <w:p w14:paraId="7B339B22" w14:textId="77777777" w:rsidR="001F0C78" w:rsidRDefault="001F0C78" w:rsidP="001F0C78">
      <w:r>
        <w:t xml:space="preserve">This repeats the rule from TR 21.900 and it means that TEI </w:t>
      </w:r>
      <w:proofErr w:type="spellStart"/>
      <w:proofErr w:type="gramStart"/>
      <w:r>
        <w:t>cat.F</w:t>
      </w:r>
      <w:proofErr w:type="spellEnd"/>
      <w:proofErr w:type="gramEnd"/>
      <w:r>
        <w:t xml:space="preserve"> CRs shall be an exception. Note: The CR author is supposed to find out which former CR introduced an error in the spec and the </w:t>
      </w:r>
      <w:proofErr w:type="spellStart"/>
      <w:proofErr w:type="gramStart"/>
      <w:r>
        <w:t>cat.F</w:t>
      </w:r>
      <w:proofErr w:type="spellEnd"/>
      <w:proofErr w:type="gramEnd"/>
      <w:r>
        <w:t xml:space="preserve"> correction should then use the same WI code. So in theory, </w:t>
      </w:r>
      <w:proofErr w:type="spellStart"/>
      <w:proofErr w:type="gramStart"/>
      <w:r>
        <w:t>cat.F</w:t>
      </w:r>
      <w:proofErr w:type="spellEnd"/>
      <w:proofErr w:type="gramEnd"/>
      <w:r>
        <w:t xml:space="preserve"> TEI CRs should only be needed to correct </w:t>
      </w:r>
      <w:proofErr w:type="spellStart"/>
      <w:r>
        <w:t>cat.B</w:t>
      </w:r>
      <w:proofErr w:type="spellEnd"/>
      <w:r>
        <w:t>/C TEI CRs of the past.</w:t>
      </w:r>
    </w:p>
    <w:p w14:paraId="05D35653" w14:textId="77777777" w:rsidR="001F0C78" w:rsidRDefault="001F0C78" w:rsidP="001F0C78">
      <w:r>
        <w:t>D.</w:t>
      </w:r>
      <w:r>
        <w:tab/>
        <w:t>Inter-TSG aspect:</w:t>
      </w:r>
    </w:p>
    <w:p w14:paraId="17A36215" w14:textId="77777777" w:rsidR="001F0C78" w:rsidRDefault="001F0C78" w:rsidP="001F0C78">
      <w:pPr>
        <w:rPr>
          <w:b/>
          <w:bCs/>
        </w:rPr>
      </w:pPr>
      <w:r>
        <w:rPr>
          <w:b/>
          <w:bCs/>
        </w:rPr>
        <w:t>D1.</w:t>
      </w:r>
      <w:r>
        <w:rPr>
          <w:b/>
          <w:bCs/>
        </w:rPr>
        <w:tab/>
        <w:t xml:space="preserve">Normally, for TSG SA/CT work that requires </w:t>
      </w:r>
      <w:proofErr w:type="spellStart"/>
      <w:proofErr w:type="gramStart"/>
      <w:r>
        <w:rPr>
          <w:b/>
          <w:bCs/>
        </w:rPr>
        <w:t>cat.B</w:t>
      </w:r>
      <w:proofErr w:type="spellEnd"/>
      <w:proofErr w:type="gramEnd"/>
      <w:r>
        <w:rPr>
          <w:b/>
          <w:bCs/>
        </w:rPr>
        <w:t>/C CRs from RAN WGs a RAN WI is required..</w:t>
      </w:r>
    </w:p>
    <w:p w14:paraId="71F66E62" w14:textId="77777777" w:rsidR="001F0C78" w:rsidRDefault="001F0C78" w:rsidP="001F0C78">
      <w:r>
        <w:t>This is what RAN applied in the last decade (if not longer). This also covers the strong discouragement of cross TSG TEI CRs expressed in RP-191602 slide 3.</w:t>
      </w:r>
    </w:p>
    <w:p w14:paraId="15F58CA2" w14:textId="77777777" w:rsidR="001F0C78" w:rsidRDefault="001F0C78" w:rsidP="001F0C78">
      <w:pPr>
        <w:rPr>
          <w:b/>
          <w:bCs/>
        </w:rPr>
      </w:pPr>
      <w:r>
        <w:rPr>
          <w:b/>
          <w:bCs/>
        </w:rPr>
        <w:t>D2.</w:t>
      </w:r>
      <w:r>
        <w:rPr>
          <w:b/>
          <w:bCs/>
        </w:rPr>
        <w:tab/>
        <w:t xml:space="preserve">In case the RAN work triggered via a TSG SA/CT WI* is small and it affects only one RAN WG, then the RAN </w:t>
      </w:r>
      <w:r>
        <w:rPr>
          <w:b/>
          <w:bCs/>
        </w:rPr>
        <w:tab/>
        <w:t xml:space="preserve">WG CR(s) shall use the WI code* of the TSG SA/CT WI that triggered this work. </w:t>
      </w:r>
      <w:r>
        <w:rPr>
          <w:b/>
          <w:bCs/>
        </w:rPr>
        <w:br/>
        <w:t xml:space="preserve">NOTE: *: provisional WI codes, companion WIDs/"mini-WIDs" are not meant here but already TSG approved proper </w:t>
      </w:r>
      <w:proofErr w:type="spellStart"/>
      <w:r>
        <w:rPr>
          <w:b/>
          <w:bCs/>
        </w:rPr>
        <w:t>WIs.</w:t>
      </w:r>
      <w:proofErr w:type="spellEnd"/>
    </w:p>
    <w:p w14:paraId="0820CD0A" w14:textId="77777777" w:rsidR="001F0C78" w:rsidRDefault="001F0C78" w:rsidP="001F0C78">
      <w:r>
        <w:t>This is what RAN applied in the last decade. Note: As TSG RAN has no agenda items for all SA/CT WIs, this sort of CRs were usually submitted under a TEI agenda item but for traceability we shall not use a TEI WI code on such a CR.</w:t>
      </w:r>
      <w: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Default="001F0C78" w:rsidP="001F0C78">
      <w:pPr>
        <w:rPr>
          <w:b/>
          <w:bCs/>
        </w:rPr>
      </w:pPr>
      <w:r>
        <w:rPr>
          <w:b/>
          <w:bCs/>
        </w:rPr>
        <w:t>D3.</w:t>
      </w:r>
      <w:r>
        <w:rPr>
          <w:b/>
          <w:bCs/>
        </w:rPr>
        <w:tab/>
        <w:t>It is not possible to trigger work in RAN WGs via TEI CRs coming from TSG SA/CT or SA/CT WGs. The same applies for the reverse direction.</w:t>
      </w:r>
    </w:p>
    <w:p w14:paraId="18698E63" w14:textId="77777777" w:rsidR="001F0C78" w:rsidRDefault="001F0C78" w:rsidP="001F0C78">
      <w:r>
        <w:t xml:space="preserve">Otherwise "small" (TEI) but affecting multiple TSGs would contradict each other. (Apart from this, inter-TSG TEI CRs would also not work well together for </w:t>
      </w:r>
      <w:proofErr w:type="spellStart"/>
      <w:proofErr w:type="gramStart"/>
      <w:r>
        <w:t>cat.B</w:t>
      </w:r>
      <w:proofErr w:type="spellEnd"/>
      <w:proofErr w:type="gramEnd"/>
      <w:r>
        <w:t>/C CRs if SA/CT use a companion WID but RAN does not.).</w:t>
      </w:r>
    </w:p>
    <w:p w14:paraId="2488322D" w14:textId="77777777" w:rsidR="001F0C78" w:rsidRDefault="001F0C78" w:rsidP="001F0C78">
      <w:r>
        <w:t>E.</w:t>
      </w:r>
      <w:r>
        <w:tab/>
        <w:t>Inter-RAN WG aspects:</w:t>
      </w:r>
    </w:p>
    <w:p w14:paraId="17F9A365" w14:textId="77777777" w:rsidR="001F0C78" w:rsidRDefault="001F0C78" w:rsidP="001F0C78">
      <w:r>
        <w:t xml:space="preserve">Section E. is addressing the problem that multiple RAN WGs work on the same feature but it is still intended to not have an own WI for this but to cover this feature under </w:t>
      </w:r>
      <w:proofErr w:type="spellStart"/>
      <w:r>
        <w:t>cat.B</w:t>
      </w:r>
      <w:proofErr w:type="spellEnd"/>
      <w:r>
        <w:t xml:space="preserve">/C </w:t>
      </w:r>
      <w:proofErr w:type="spellStart"/>
      <w:r>
        <w:t>TEIxx</w:t>
      </w:r>
      <w:proofErr w:type="spellEnd"/>
      <w: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t>TEIxx_Test</w:t>
      </w:r>
      <w:proofErr w:type="spellEnd"/>
      <w:r>
        <w:t>) and testing work is usually coming at a later stage, this section E. is considering linked TEI CRs of RAN1/2/3/4.</w:t>
      </w:r>
    </w:p>
    <w:p w14:paraId="5EFE1243" w14:textId="77777777" w:rsidR="001F0C78" w:rsidRDefault="001F0C78" w:rsidP="001F0C78">
      <w: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Default="001F0C78" w:rsidP="001F0C78">
      <w:r>
        <w:t>RP-191602 [2] provided some guidance on Cross-WG TEI CRs in RAN WGs:</w:t>
      </w:r>
    </w:p>
    <w:p w14:paraId="6FCEC333" w14:textId="77777777" w:rsidR="001F0C78" w:rsidRDefault="001F0C78" w:rsidP="001F0C78">
      <w:r>
        <w:t>-</w:t>
      </w:r>
      <w:r>
        <w:tab/>
        <w:t>Cross WG TEI CRs are strongly discouraged</w:t>
      </w:r>
    </w:p>
    <w:p w14:paraId="6A23633A" w14:textId="77777777" w:rsidR="001F0C78" w:rsidRDefault="001F0C78" w:rsidP="001F0C78">
      <w:r>
        <w:t>-</w:t>
      </w:r>
      <w:r>
        <w:tab/>
        <w:t>RAN1/2 TEI proposals with RAN4 impact to core requirements are strongly discouraged</w:t>
      </w:r>
    </w:p>
    <w:p w14:paraId="6AA290E5" w14:textId="77777777" w:rsidR="001F0C78" w:rsidRDefault="001F0C78" w:rsidP="001F0C78">
      <w:r>
        <w:t>-</w:t>
      </w:r>
      <w:r>
        <w:tab/>
      </w:r>
      <w:bookmarkStart w:id="66" w:name="_Hlk67580046"/>
      <w:r>
        <w:rPr>
          <w:b/>
          <w:bCs/>
        </w:rPr>
        <w:t xml:space="preserve">RAN2 impact of RAN1/4-led TEI CRs shall be limited to RRC signalling of configuration parameters and </w:t>
      </w:r>
      <w:r>
        <w:rPr>
          <w:b/>
          <w:bCs/>
        </w:rPr>
        <w:tab/>
        <w:t>UE capabilities (no MAC impact, no RRC procedural impact, etc.)</w:t>
      </w:r>
      <w:bookmarkEnd w:id="66"/>
    </w:p>
    <w:p w14:paraId="799D7F73" w14:textId="77777777" w:rsidR="001F0C78" w:rsidRDefault="001F0C78" w:rsidP="001F0C78">
      <w:bookmarkStart w:id="67" w:name="_Hlk67580600"/>
      <w:r>
        <w:t>Note: Ideally one RAN WG would take the decision about whether a TEI feature should be introduced or not and other RAN WGs then accept this decision and contribute their TEI CRs.</w:t>
      </w:r>
      <w:bookmarkEnd w:id="67"/>
    </w:p>
    <w:p w14:paraId="2A2F4BF3" w14:textId="77777777" w:rsidR="001F0C78" w:rsidRDefault="001F0C78" w:rsidP="001F0C78">
      <w:r>
        <w:t>But as this guidance was not forbidding Cross-WG TEI CRs in RAN WGs some more requirements had to be defined how to guarantee traceability, consistency and visibility of this sort of CRs.</w:t>
      </w:r>
    </w:p>
    <w:p w14:paraId="738175C7" w14:textId="77777777" w:rsidR="001F0C78" w:rsidRDefault="001F0C78" w:rsidP="001F0C78">
      <w:r>
        <w:t>The basic requirements discussed in section E. were endorsed by TSG RAN in RP-202867 [7] but further clarification/guidance is provided here.</w:t>
      </w:r>
    </w:p>
    <w:p w14:paraId="48903E97" w14:textId="77777777" w:rsidR="001F0C78" w:rsidRDefault="001F0C78" w:rsidP="001F0C78">
      <w:r>
        <w:rPr>
          <w:b/>
          <w:bCs/>
        </w:rPr>
        <w:t>E.1</w:t>
      </w:r>
      <w:r>
        <w:rPr>
          <w:b/>
          <w:bCs/>
        </w:rPr>
        <w:tab/>
        <w:t>It is mandatory to fill out the "</w:t>
      </w:r>
      <w:r>
        <w:rPr>
          <w:b/>
          <w:bCs/>
          <w:u w:val="single"/>
        </w:rPr>
        <w:t>other specs affected</w:t>
      </w:r>
      <w:r>
        <w:rPr>
          <w:b/>
          <w:bCs/>
        </w:rPr>
        <w:t>" for all CRs, i.e. either Yes or No shall be ticked and</w:t>
      </w:r>
      <w:r>
        <w:rPr>
          <w:b/>
          <w:bCs/>
        </w:rPr>
        <w:br/>
      </w:r>
      <w:r>
        <w:rPr>
          <w:b/>
          <w:bCs/>
        </w:rPr>
        <w:tab/>
        <w:t xml:space="preserve">if Yes is ticked at least the TS/TR shall be indicated and this for the present WG and all other WGs that </w:t>
      </w:r>
      <w:r>
        <w:rPr>
          <w:b/>
          <w:bCs/>
        </w:rPr>
        <w:tab/>
        <w:t xml:space="preserve">have CRs linked to </w:t>
      </w:r>
      <w:r>
        <w:rPr>
          <w:b/>
          <w:bCs/>
        </w:rPr>
        <w:tab/>
        <w:t>the present CR.</w:t>
      </w:r>
      <w:r>
        <w:rPr>
          <w:b/>
          <w:bCs/>
        </w:rPr>
        <w:br/>
      </w:r>
      <w:r>
        <w:rPr>
          <w:b/>
          <w:bCs/>
        </w:rPr>
        <w:tab/>
        <w:t>TEI CRs missing this information or having wrong information shall not be approved.</w:t>
      </w:r>
    </w:p>
    <w:p w14:paraId="60BE04E4" w14:textId="77777777" w:rsidR="001F0C78" w:rsidRDefault="001F0C78" w:rsidP="001F0C78">
      <w:r>
        <w:t>These requirements were always there. But some clarification is required.</w:t>
      </w:r>
    </w:p>
    <w:p w14:paraId="74CE7717" w14:textId="77777777" w:rsidR="001F0C78" w:rsidRDefault="001F0C78" w:rsidP="001F0C78">
      <w:r>
        <w:t>-</w:t>
      </w:r>
      <w:r>
        <w:tab/>
        <w:t xml:space="preserve">"other specs affected" is used to link CRs that belong together which is essential for </w:t>
      </w:r>
      <w:proofErr w:type="spellStart"/>
      <w:proofErr w:type="gramStart"/>
      <w:r>
        <w:t>cat.F</w:t>
      </w:r>
      <w:proofErr w:type="spellEnd"/>
      <w:proofErr w:type="gramEnd"/>
      <w:r>
        <w:t xml:space="preserve"> CRs and for </w:t>
      </w:r>
      <w:proofErr w:type="spellStart"/>
      <w:r>
        <w:t>cat.B</w:t>
      </w:r>
      <w:proofErr w:type="spellEnd"/>
      <w:r>
        <w:t xml:space="preserve">/C TEI </w:t>
      </w:r>
      <w:r>
        <w:tab/>
        <w:t xml:space="preserve">CRs to guarantee that a complete set of CRs is approved. Note: For </w:t>
      </w:r>
      <w:proofErr w:type="spellStart"/>
      <w:proofErr w:type="gramStart"/>
      <w:r>
        <w:t>cat.B</w:t>
      </w:r>
      <w:proofErr w:type="spellEnd"/>
      <w:proofErr w:type="gramEnd"/>
      <w:r>
        <w:t xml:space="preserve"> CRs of other WIs, we have an extra RAN </w:t>
      </w:r>
      <w:r>
        <w:tab/>
        <w:t xml:space="preserve">agenda item for each of them and we usually approve all stage 3 CRs together. But for closed WIs or TEI CRs we </w:t>
      </w:r>
      <w:r>
        <w:tab/>
        <w:t xml:space="preserve">have normally just one agenda item collecting a larger number of CRs and then the relation of the CRs becomes </w:t>
      </w:r>
      <w:r>
        <w:tab/>
        <w:t>unclear if "other specs affected" is not filled out properly.</w:t>
      </w:r>
      <w:r>
        <w:br/>
      </w:r>
      <w:r>
        <w:tab/>
        <w:t xml:space="preserve">NOTE: Other specs affected should also list inter-TSG related CRs if it is clear that these CRs can only be applied </w:t>
      </w:r>
      <w:r>
        <w:tab/>
        <w:t>together. This usually involves a conditional approval at TSG level</w:t>
      </w:r>
    </w:p>
    <w:p w14:paraId="2FBBAC83" w14:textId="77777777" w:rsidR="001F0C78" w:rsidRDefault="001F0C78" w:rsidP="001F0C78">
      <w:r>
        <w:t>-</w:t>
      </w:r>
      <w:r>
        <w:tab/>
        <w:t>"</w:t>
      </w:r>
      <w:r>
        <w:rPr>
          <w:u w:val="single"/>
        </w:rPr>
        <w:t>Other core specifications</w:t>
      </w:r>
      <w:r>
        <w:t xml:space="preserve">" under "Other specs affected" on the CR cover: Going back to RAN #46 of Dec.2009 </w:t>
      </w:r>
      <w:r>
        <w:tab/>
        <w:t xml:space="preserve">where TSG RAN decided to have separate Core part WIs and Perf. part WIs (in RP-091374) you can see from </w:t>
      </w:r>
      <w:r>
        <w:tab/>
        <w:t xml:space="preserve">comparing with CR form v9.6 that the term "Other core specifications" is only intended to distinguish those specs </w:t>
      </w:r>
      <w:r>
        <w:tab/>
        <w:t xml:space="preserve">from "Test specifications" and "O&amp;M specifications" but not to exclude Perf. part related specs from "Other specs </w:t>
      </w:r>
      <w:r>
        <w:tab/>
        <w:t xml:space="preserve">affected": This means as long as CR form is not updated "Other core specifications" should cover Core part </w:t>
      </w:r>
      <w:r>
        <w:tab/>
        <w:t>specifications AND Perf. part specifications as defined in TSG RAN.</w:t>
      </w:r>
    </w:p>
    <w:p w14:paraId="4DD5DA82" w14:textId="77777777" w:rsidR="001F0C78" w:rsidRDefault="001F0C78" w:rsidP="001F0C78">
      <w:r>
        <w:t>-</w:t>
      </w:r>
      <w:r>
        <w:tab/>
        <w:t>"</w:t>
      </w:r>
      <w:r>
        <w:rPr>
          <w:u w:val="single"/>
        </w:rPr>
        <w:t>Test specifications</w:t>
      </w:r>
      <w:r>
        <w:t xml:space="preserve">" under "Other specs affected" on the CR cover: Testing under TSG RAN is either done in </w:t>
      </w:r>
      <w:r>
        <w:tab/>
        <w:t xml:space="preserve">RAN4 or in RAN5. Since RAN5 has separate WIs for testing that usually are also just started after RAN4 work is </w:t>
      </w:r>
      <w:r>
        <w:tab/>
        <w:t xml:space="preserve">completed, it would not make much sense to reference RAN5 specs on a RAN4 CR as it is clear that the RAN5 CR </w:t>
      </w:r>
      <w:r>
        <w:tab/>
        <w:t xml:space="preserve">will just follow later (here it is more appropriate to review the corresponding RAN5 WI when it becomes </w:t>
      </w:r>
      <w:r>
        <w:tab/>
        <w:t>available).</w:t>
      </w:r>
      <w:r>
        <w:br/>
      </w:r>
      <w:r>
        <w:tab/>
        <w:t xml:space="preserve">Examples where it could make sense to fill out this field: For RAN4 CRs to a WI that involve BS testing for the </w:t>
      </w:r>
      <w:r>
        <w:tab/>
        <w:t xml:space="preserve">same WI/a linked CR. For CRs to SI TRs to which RAN4 and RAN5 contribute together with CRs. For a </w:t>
      </w:r>
      <w:proofErr w:type="spellStart"/>
      <w:proofErr w:type="gramStart"/>
      <w:r>
        <w:t>cat.B</w:t>
      </w:r>
      <w:proofErr w:type="spellEnd"/>
      <w:proofErr w:type="gramEnd"/>
      <w:r>
        <w:t xml:space="preserve">/C </w:t>
      </w:r>
      <w:r>
        <w:tab/>
        <w:t xml:space="preserve">TEI CR of RAN1/2/3/4 that has a corresponding CR in RAN5 under </w:t>
      </w:r>
      <w:proofErr w:type="spellStart"/>
      <w:r>
        <w:t>TEIx_Test</w:t>
      </w:r>
      <w:proofErr w:type="spellEnd"/>
      <w:r>
        <w:t>.</w:t>
      </w:r>
    </w:p>
    <w:p w14:paraId="202C7A8E" w14:textId="77777777" w:rsidR="001F0C78" w:rsidRDefault="001F0C78" w:rsidP="001F0C78">
      <w:r>
        <w:t>-</w:t>
      </w:r>
      <w:r>
        <w:tab/>
        <w:t>"</w:t>
      </w:r>
      <w:r>
        <w:rPr>
          <w:u w:val="single"/>
        </w:rPr>
        <w:t>O&amp;M Specifications</w:t>
      </w:r>
      <w:r>
        <w:t xml:space="preserve">" under "Other specs affected" on the CR cover: O&amp;M specifications are handled by SA5. </w:t>
      </w:r>
      <w:r>
        <w:tab/>
        <w:t xml:space="preserve">SA5 has usually separate WIs for their changes and RAN CRs are not submitted to TSG SA or SA5, therefore the </w:t>
      </w:r>
      <w:r>
        <w:tab/>
        <w:t xml:space="preserve">benefit of this field is higher within TSG SA. Nevertheless, there may be cases of tighter cooperation of RAN WGs </w:t>
      </w:r>
      <w:r>
        <w:tab/>
        <w:t xml:space="preserve">with SA5 (like Minimization of drive tests) where it will be beneficial to indicate a related SA5 change coming to </w:t>
      </w:r>
      <w:r>
        <w:tab/>
        <w:t>the same TSG meeting.</w:t>
      </w:r>
    </w:p>
    <w:p w14:paraId="65665E71" w14:textId="77777777" w:rsidR="001F0C78" w:rsidRDefault="001F0C78" w:rsidP="001F0C78">
      <w:r>
        <w:t>-</w:t>
      </w:r>
      <w:r>
        <w:tab/>
        <w:t xml:space="preserve">What needs to be done if </w:t>
      </w:r>
      <w:proofErr w:type="spellStart"/>
      <w:r>
        <w:t>WGx</w:t>
      </w:r>
      <w:proofErr w:type="spellEnd"/>
      <w:r>
        <w:t xml:space="preserve"> is assuming that TS/TR </w:t>
      </w:r>
      <w:proofErr w:type="spellStart"/>
      <w:r>
        <w:t>ab.cde</w:t>
      </w:r>
      <w:proofErr w:type="spellEnd"/>
      <w:r>
        <w:t xml:space="preserve"> of </w:t>
      </w:r>
      <w:proofErr w:type="spellStart"/>
      <w:r>
        <w:t>WGy</w:t>
      </w:r>
      <w:proofErr w:type="spellEnd"/>
      <w:r>
        <w:t xml:space="preserve"> is affected but they are not sure?</w:t>
      </w:r>
      <w:r>
        <w:br/>
      </w:r>
      <w:r>
        <w:tab/>
      </w:r>
      <w:proofErr w:type="spellStart"/>
      <w:r>
        <w:t>WGx</w:t>
      </w:r>
      <w:proofErr w:type="spellEnd"/>
      <w:r>
        <w:t xml:space="preserve"> should list under "other comments" on the CR cover: "</w:t>
      </w:r>
      <w:proofErr w:type="spellStart"/>
      <w:r>
        <w:t>WGx</w:t>
      </w:r>
      <w:proofErr w:type="spellEnd"/>
      <w:r>
        <w:t xml:space="preserve"> thinks that also TS/TR </w:t>
      </w:r>
      <w:proofErr w:type="spellStart"/>
      <w:r>
        <w:t>ab.cde</w:t>
      </w:r>
      <w:proofErr w:type="spellEnd"/>
      <w:r>
        <w:t xml:space="preserve"> of </w:t>
      </w:r>
      <w:proofErr w:type="spellStart"/>
      <w:r>
        <w:t>WGy</w:t>
      </w:r>
      <w:proofErr w:type="spellEnd"/>
      <w:r>
        <w:t xml:space="preserve"> could be </w:t>
      </w:r>
      <w:r>
        <w:tab/>
        <w:t xml:space="preserve">impacted by this CR." Depending on the probability </w:t>
      </w:r>
      <w:proofErr w:type="spellStart"/>
      <w:r>
        <w:t>WGx</w:t>
      </w:r>
      <w:proofErr w:type="spellEnd"/>
      <w:r>
        <w:t xml:space="preserve"> would tick Yes (and mention the spec) or No.</w:t>
      </w:r>
      <w:r>
        <w:br/>
      </w:r>
      <w:r>
        <w:tab/>
        <w:t xml:space="preserve">CR proponents shall check this with </w:t>
      </w:r>
      <w:proofErr w:type="spellStart"/>
      <w:r>
        <w:t>WGy</w:t>
      </w:r>
      <w:proofErr w:type="spellEnd"/>
      <w:r>
        <w:t xml:space="preserve"> (e.g. by sending an LS from </w:t>
      </w:r>
      <w:proofErr w:type="spellStart"/>
      <w:r>
        <w:t>WGx</w:t>
      </w:r>
      <w:proofErr w:type="spellEnd"/>
      <w:r>
        <w:t xml:space="preserve"> to </w:t>
      </w:r>
      <w:proofErr w:type="spellStart"/>
      <w:r>
        <w:t>WGy</w:t>
      </w:r>
      <w:proofErr w:type="spellEnd"/>
      <w:r>
        <w:t xml:space="preserve">, submitting a </w:t>
      </w:r>
      <w:proofErr w:type="spellStart"/>
      <w:r>
        <w:t>Tdoc</w:t>
      </w:r>
      <w:proofErr w:type="spellEnd"/>
      <w:r>
        <w:t xml:space="preserve"> in </w:t>
      </w:r>
      <w:proofErr w:type="spellStart"/>
      <w:r>
        <w:t>WGy</w:t>
      </w:r>
      <w:proofErr w:type="spellEnd"/>
      <w:r>
        <w:t xml:space="preserve">, </w:t>
      </w:r>
      <w:r>
        <w:tab/>
        <w:t xml:space="preserve">talking to the chairman of </w:t>
      </w:r>
      <w:proofErr w:type="spellStart"/>
      <w:r>
        <w:t>WGy</w:t>
      </w:r>
      <w:proofErr w:type="spellEnd"/>
      <w:r>
        <w:t xml:space="preserve">) so that at the TSG meeting where </w:t>
      </w:r>
      <w:proofErr w:type="spellStart"/>
      <w:r>
        <w:t>WGx</w:t>
      </w:r>
      <w:proofErr w:type="spellEnd"/>
      <w:r>
        <w:t xml:space="preserve"> submits this CR for approval it is either </w:t>
      </w:r>
      <w:r>
        <w:tab/>
        <w:t xml:space="preserve">clear that there is no impact or that the </w:t>
      </w:r>
      <w:proofErr w:type="spellStart"/>
      <w:r>
        <w:t>WGy</w:t>
      </w:r>
      <w:proofErr w:type="spellEnd"/>
      <w:r>
        <w:t xml:space="preserve"> CR is available as well for approval.</w:t>
      </w:r>
      <w:r>
        <w:br/>
      </w:r>
      <w:r>
        <w:tab/>
        <w:t xml:space="preserve">NOTE: MCC has the possibility to correct CR covers before RAN submission (e.g. remove a potential impact </w:t>
      </w:r>
      <w:r>
        <w:tab/>
        <w:t>comment if it turned out that there is no impact). But CR proponents need to inform MCC about this.</w:t>
      </w:r>
      <w:r>
        <w:br/>
      </w:r>
      <w:r>
        <w:tab/>
        <w:t xml:space="preserve">Incomplete CR sets (i.e. </w:t>
      </w:r>
      <w:proofErr w:type="spellStart"/>
      <w:r>
        <w:t>WGx</w:t>
      </w:r>
      <w:proofErr w:type="spellEnd"/>
      <w:r>
        <w:t xml:space="preserve"> CR there but linked </w:t>
      </w:r>
      <w:proofErr w:type="spellStart"/>
      <w:r>
        <w:t>WGy</w:t>
      </w:r>
      <w:proofErr w:type="spellEnd"/>
      <w:r>
        <w:t xml:space="preserve"> CR not available) </w:t>
      </w:r>
      <w:proofErr w:type="spellStart"/>
      <w:r>
        <w:t>can not</w:t>
      </w:r>
      <w:proofErr w:type="spellEnd"/>
      <w:r>
        <w:t xml:space="preserve"> be approved at TSG level and </w:t>
      </w:r>
      <w:r>
        <w:tab/>
        <w:t xml:space="preserve">since </w:t>
      </w:r>
      <w:proofErr w:type="spellStart"/>
      <w:proofErr w:type="gramStart"/>
      <w:r>
        <w:t>cat.B</w:t>
      </w:r>
      <w:proofErr w:type="spellEnd"/>
      <w:proofErr w:type="gramEnd"/>
      <w:r>
        <w:t xml:space="preserve">/C TEI CRs have to be completed within one </w:t>
      </w:r>
      <w:r>
        <w:tab/>
        <w:t xml:space="preserve">quarter, this is time critical. </w:t>
      </w:r>
      <w:r>
        <w:br/>
      </w:r>
      <w:r>
        <w:tab/>
        <w:t xml:space="preserve">Therefore very good preparation of </w:t>
      </w:r>
      <w:proofErr w:type="spellStart"/>
      <w:proofErr w:type="gramStart"/>
      <w:r>
        <w:t>cat.B</w:t>
      </w:r>
      <w:proofErr w:type="spellEnd"/>
      <w:proofErr w:type="gramEnd"/>
      <w:r>
        <w:t>/C TEI CRs which affect multiple WGs is essential.</w:t>
      </w:r>
    </w:p>
    <w:p w14:paraId="2342127C" w14:textId="77777777" w:rsidR="001F0C78" w:rsidRDefault="001F0C78" w:rsidP="001F0C78">
      <w:pPr>
        <w:rPr>
          <w:b/>
          <w:bCs/>
        </w:rPr>
      </w:pPr>
      <w:r>
        <w:rPr>
          <w:b/>
          <w:bCs/>
        </w:rPr>
        <w:t>E.2</w:t>
      </w:r>
      <w:r>
        <w:rPr>
          <w:b/>
          <w:bCs/>
        </w:rPr>
        <w:tab/>
        <w:t xml:space="preserve">Each TEI </w:t>
      </w:r>
      <w:proofErr w:type="spellStart"/>
      <w:r>
        <w:rPr>
          <w:b/>
          <w:bCs/>
        </w:rPr>
        <w:t>cat.B</w:t>
      </w:r>
      <w:proofErr w:type="spellEnd"/>
      <w:r>
        <w:rPr>
          <w:b/>
          <w:bCs/>
        </w:rPr>
        <w:t xml:space="preserve">/C CR and each TEI </w:t>
      </w:r>
      <w:proofErr w:type="spellStart"/>
      <w:r>
        <w:rPr>
          <w:b/>
          <w:bCs/>
        </w:rPr>
        <w:t>cat.F</w:t>
      </w:r>
      <w:proofErr w:type="spellEnd"/>
      <w:r>
        <w:rPr>
          <w:b/>
          <w:bCs/>
        </w:rPr>
        <w:t xml:space="preserve">/A CR that corrects functionality related to an earlier TEI </w:t>
      </w:r>
      <w:r>
        <w:rPr>
          <w:b/>
          <w:bCs/>
        </w:rPr>
        <w:tab/>
      </w:r>
      <w:proofErr w:type="spellStart"/>
      <w:r>
        <w:rPr>
          <w:b/>
          <w:bCs/>
        </w:rPr>
        <w:t>cat.B</w:t>
      </w:r>
      <w:proofErr w:type="spellEnd"/>
      <w:r>
        <w:rPr>
          <w:b/>
          <w:bCs/>
        </w:rPr>
        <w:t xml:space="preserve">/C CR shall have a </w:t>
      </w:r>
      <w:r>
        <w:rPr>
          <w:b/>
          <w:bCs/>
          <w:u w:val="single"/>
        </w:rPr>
        <w:t>unique TEI identifier</w:t>
      </w:r>
      <w:r>
        <w:rPr>
          <w:b/>
          <w:bCs/>
        </w:rPr>
        <w:t xml:space="preserve"> in square brackets [ ] at the end of the CR title on the CR </w:t>
      </w:r>
      <w:r>
        <w:rPr>
          <w:b/>
          <w:bCs/>
        </w:rPr>
        <w:tab/>
        <w:t>cover sheet.</w:t>
      </w:r>
      <w:r>
        <w:rPr>
          <w:b/>
          <w:bCs/>
        </w:rPr>
        <w:br/>
      </w:r>
      <w:r>
        <w:rPr>
          <w:b/>
          <w:bCs/>
        </w:rPr>
        <w:tab/>
        <w:t xml:space="preserve">TEI </w:t>
      </w:r>
      <w:proofErr w:type="spellStart"/>
      <w:r>
        <w:rPr>
          <w:b/>
          <w:bCs/>
        </w:rPr>
        <w:t>cat.B</w:t>
      </w:r>
      <w:proofErr w:type="spellEnd"/>
      <w:r>
        <w:rPr>
          <w:b/>
          <w:bCs/>
        </w:rPr>
        <w:t>/C CRs without such a unique TEI identifier cannot be approved at RAN.</w:t>
      </w:r>
    </w:p>
    <w:p w14:paraId="38CBD512" w14:textId="77777777" w:rsidR="001F0C78" w:rsidRDefault="001F0C78" w:rsidP="001F0C78">
      <w:r>
        <w:t>This principle was endorsed in RP-202867 [7] and further guidance for this approach is provided here:</w:t>
      </w:r>
    </w:p>
    <w:p w14:paraId="7EB9EBF3" w14:textId="77777777" w:rsidR="001F0C78" w:rsidRDefault="001F0C78" w:rsidP="001F0C78">
      <w:r>
        <w:t>-</w:t>
      </w:r>
      <w:r>
        <w:tab/>
        <w:t xml:space="preserve">The TEI identifier should be short (4 to 18 characters using letters and/or digits or using _ or - but avoiding blanks </w:t>
      </w:r>
      <w:r>
        <w:tab/>
        <w:t>or other special characters which will complicate searches) and characterize the CR.</w:t>
      </w:r>
    </w:p>
    <w:p w14:paraId="3D9DD65E" w14:textId="77777777" w:rsidR="001F0C78" w:rsidRDefault="001F0C78" w:rsidP="001F0C78">
      <w:r>
        <w:t>-</w:t>
      </w:r>
      <w:r>
        <w:tab/>
        <w:t>The originating company takes care that related CRs in other WGs use the same TEI identifier.</w:t>
      </w:r>
    </w:p>
    <w:p w14:paraId="6B35AF2F" w14:textId="77777777" w:rsidR="001F0C78" w:rsidRDefault="001F0C78" w:rsidP="001F0C78">
      <w:r>
        <w:t>-</w:t>
      </w:r>
      <w:r>
        <w:tab/>
        <w:t xml:space="preserve">Unique identifiers are not added retroactively: </w:t>
      </w:r>
      <w:proofErr w:type="spellStart"/>
      <w:r>
        <w:t>Cat.F</w:t>
      </w:r>
      <w:proofErr w:type="spellEnd"/>
      <w:r>
        <w:t xml:space="preserve">/A CRs for TEIs which did not have a unique identifier by </w:t>
      </w:r>
      <w:r>
        <w:tab/>
        <w:t>RAN #91</w:t>
      </w:r>
      <w:proofErr w:type="gramStart"/>
      <w:r>
        <w:t>e  will</w:t>
      </w:r>
      <w:proofErr w:type="gramEnd"/>
      <w:r>
        <w:t xml:space="preserve"> not get a unique identifier.</w:t>
      </w:r>
    </w:p>
    <w:p w14:paraId="058E9284" w14:textId="77777777" w:rsidR="001F0C78" w:rsidRDefault="001F0C78" w:rsidP="001F0C78">
      <w:r>
        <w:t>-</w:t>
      </w:r>
      <w:r>
        <w:tab/>
        <w:t xml:space="preserve">Apart from plain TEI CRs, the unique TEI identifiers shall also be applied to </w:t>
      </w:r>
      <w:proofErr w:type="spellStart"/>
      <w:r>
        <w:t>NR_newRAT</w:t>
      </w:r>
      <w:proofErr w:type="spellEnd"/>
      <w:r>
        <w:t xml:space="preserve">-Core, </w:t>
      </w:r>
      <w:proofErr w:type="spellStart"/>
      <w:r>
        <w:t>TEIxx</w:t>
      </w:r>
      <w:proofErr w:type="spellEnd"/>
      <w:r>
        <w:t xml:space="preserve"> CRs </w:t>
      </w:r>
      <w:r>
        <w:tab/>
        <w:t xml:space="preserve">because </w:t>
      </w:r>
      <w:proofErr w:type="spellStart"/>
      <w:r>
        <w:t>NR_newRAT</w:t>
      </w:r>
      <w:proofErr w:type="spellEnd"/>
      <w:r>
        <w:t>-Core was the huge WI for 5G.</w:t>
      </w:r>
    </w:p>
    <w:p w14:paraId="49978FEB" w14:textId="77777777" w:rsidR="001F0C78" w:rsidRDefault="001F0C78" w:rsidP="001F0C78">
      <w:r>
        <w:t>-</w:t>
      </w:r>
      <w:r>
        <w:tab/>
        <w:t xml:space="preserve">As the unique </w:t>
      </w:r>
      <w:proofErr w:type="spellStart"/>
      <w:r>
        <w:t>idendifiers</w:t>
      </w:r>
      <w:proofErr w:type="spellEnd"/>
      <w:r>
        <w:t xml:space="preserve"> are part of the CR title, they will be automatically stored in the CR database. </w:t>
      </w:r>
      <w:proofErr w:type="gramStart"/>
      <w:r>
        <w:t>Therefore</w:t>
      </w:r>
      <w:proofErr w:type="gramEnd"/>
      <w:r>
        <w:t xml:space="preserve"> </w:t>
      </w:r>
      <w:r>
        <w:tab/>
        <w:t>CR authors have to make sure that the complete CR title in 3GU is in line with the title on the CR cover.</w:t>
      </w:r>
    </w:p>
    <w:p w14:paraId="56790C87" w14:textId="77777777" w:rsidR="001F0C78" w:rsidRDefault="001F0C78" w:rsidP="001F0C78">
      <w:r>
        <w:t>-</w:t>
      </w:r>
      <w:r>
        <w:tab/>
        <w:t xml:space="preserve">For cases where it is not 100% clear whether a linked CR was agreed in another WG, it is the task of the CR author </w:t>
      </w:r>
      <w:r>
        <w:tab/>
        <w:t xml:space="preserve">to double-check the situation in the week after the WG meeting and to inform MCC in case any updates of CR </w:t>
      </w:r>
      <w:r>
        <w:tab/>
        <w:t>titles are required otherwise they risk that not properly linked CRs are rejected at RAN level.</w:t>
      </w:r>
    </w:p>
    <w:p w14:paraId="7CE26EEE" w14:textId="77777777" w:rsidR="001F0C78" w:rsidRDefault="001F0C78" w:rsidP="001F0C78">
      <w:r>
        <w:rPr>
          <w:b/>
          <w:bCs/>
        </w:rPr>
        <w:t>E.3</w:t>
      </w:r>
      <w:r>
        <w:rPr>
          <w:b/>
          <w:bCs/>
        </w:rPr>
        <w:tab/>
      </w:r>
      <w:r>
        <w:rPr>
          <w:b/>
          <w:bCs/>
          <w:u w:val="single"/>
        </w:rPr>
        <w:t>WG chairman reports</w:t>
      </w:r>
      <w:r>
        <w:rPr>
          <w:b/>
          <w:bCs/>
        </w:rPr>
        <w:t xml:space="preserve"> report to TSG RAN about all agreed and technically endorsed </w:t>
      </w:r>
      <w:proofErr w:type="spellStart"/>
      <w:proofErr w:type="gramStart"/>
      <w:r>
        <w:rPr>
          <w:b/>
          <w:bCs/>
        </w:rPr>
        <w:t>cat.B</w:t>
      </w:r>
      <w:proofErr w:type="spellEnd"/>
      <w:proofErr w:type="gramEnd"/>
      <w:r>
        <w:rPr>
          <w:b/>
          <w:bCs/>
        </w:rPr>
        <w:t xml:space="preserve">/C TEI CRs of </w:t>
      </w:r>
      <w:r>
        <w:rPr>
          <w:b/>
          <w:bCs/>
        </w:rPr>
        <w:tab/>
        <w:t xml:space="preserve">the last quarter. For each unique TEI identifier all related CRs of the considered WG are listed plus the </w:t>
      </w:r>
      <w:r>
        <w:rPr>
          <w:b/>
          <w:bCs/>
        </w:rPr>
        <w:tab/>
        <w:t>corresponding CRs in the other WGs (if there are any) or the potential impacts on other WGs.</w:t>
      </w:r>
    </w:p>
    <w:p w14:paraId="15C6A324" w14:textId="77777777" w:rsidR="001F0C78" w:rsidRDefault="001F0C78" w:rsidP="001F0C78">
      <w:r>
        <w:t>How this is done is up to the chairman (e.g. it can be a slide with a table like the examples below, it can be an extra Excel table included in the zip file of the WG status report). The WG chairman could request inputs from MCC (</w:t>
      </w:r>
      <w:proofErr w:type="spellStart"/>
      <w:r>
        <w:t>Tdoc</w:t>
      </w:r>
      <w:proofErr w:type="spellEnd"/>
      <w:r>
        <w:t xml:space="preserve"> list filtered for agreed/endorsed TEI CRs) and all CR authors of the WG who had agreed/endorsed TEI CRs (to clarify whether there were related CRs in other WGs) and this could be condensed in such an overview.</w:t>
      </w:r>
    </w:p>
    <w:p w14:paraId="006D472B" w14:textId="77777777" w:rsidR="001F0C78" w:rsidRDefault="001F0C78" w:rsidP="001F0C78"/>
    <w:p w14:paraId="7B4FDABD" w14:textId="77777777" w:rsidR="001F0C78" w:rsidRDefault="001F0C78" w:rsidP="001F0C78">
      <w: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 xml:space="preserve">R2-2112345 (38.331 </w:t>
            </w:r>
            <w:proofErr w:type="spellStart"/>
            <w:r>
              <w:t>cat.C</w:t>
            </w:r>
            <w:proofErr w:type="spellEnd"/>
            <w:r>
              <w:t>)</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 xml:space="preserve">R2-2123456 (38.306, </w:t>
            </w:r>
            <w:proofErr w:type="spellStart"/>
            <w:proofErr w:type="gramStart"/>
            <w:r>
              <w:t>cat.B</w:t>
            </w:r>
            <w:proofErr w:type="spellEnd"/>
            <w:proofErr w:type="gramEnd"/>
            <w:r>
              <w:t>)</w:t>
            </w:r>
          </w:p>
          <w:p w14:paraId="7088B59D" w14:textId="77777777" w:rsidR="001F0C78" w:rsidRDefault="001F0C78">
            <w:pPr>
              <w:pStyle w:val="TAL"/>
            </w:pPr>
            <w:r>
              <w:t xml:space="preserve">R2-2123457 (38.331,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 xml:space="preserve">R3-211234 (38.413, </w:t>
            </w:r>
            <w:proofErr w:type="spellStart"/>
            <w:proofErr w:type="gramStart"/>
            <w:r>
              <w:t>cat.B</w:t>
            </w:r>
            <w:proofErr w:type="spellEnd"/>
            <w:proofErr w:type="gramEnd"/>
            <w:r>
              <w:t>)</w:t>
            </w:r>
          </w:p>
          <w:p w14:paraId="6E579F88" w14:textId="77777777" w:rsidR="001F0C78" w:rsidRDefault="001F0C78">
            <w:pPr>
              <w:pStyle w:val="TAL"/>
            </w:pPr>
            <w:r>
              <w:t xml:space="preserve">R3-211235 (38.423, </w:t>
            </w:r>
            <w:proofErr w:type="spellStart"/>
            <w:proofErr w:type="gramStart"/>
            <w:r>
              <w:t>cat.B</w:t>
            </w:r>
            <w:proofErr w:type="spellEnd"/>
            <w:proofErr w:type="gramEnd"/>
            <w:r>
              <w:t>)</w:t>
            </w:r>
          </w:p>
          <w:p w14:paraId="32900DC2" w14:textId="77777777" w:rsidR="001F0C78" w:rsidRDefault="001F0C78">
            <w:pPr>
              <w:pStyle w:val="TAL"/>
            </w:pPr>
            <w:r>
              <w:t xml:space="preserve">R3-211236 (38.463,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spellStart"/>
            <w:proofErr w:type="gramStart"/>
            <w:r>
              <w:t>cat.B</w:t>
            </w:r>
            <w:proofErr w:type="spellEnd"/>
            <w:proofErr w:type="gram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spellStart"/>
            <w:proofErr w:type="gramStart"/>
            <w:r>
              <w:t>cat.B</w:t>
            </w:r>
            <w:proofErr w:type="spellEnd"/>
            <w:proofErr w:type="gramEnd"/>
            <w:r>
              <w:t>)</w:t>
            </w:r>
          </w:p>
        </w:tc>
      </w:tr>
    </w:tbl>
    <w:p w14:paraId="7FEEA45E" w14:textId="77777777" w:rsidR="001F0C78" w:rsidRDefault="001F0C78" w:rsidP="001F0C78">
      <w:pPr>
        <w:rPr>
          <w:rFonts w:eastAsia="Times New Roman"/>
          <w:sz w:val="20"/>
          <w:lang w:eastAsia="en-GB"/>
        </w:rPr>
      </w:pPr>
    </w:p>
    <w:p w14:paraId="0124B3CC" w14:textId="77777777" w:rsidR="001F0C78" w:rsidRDefault="001F0C78" w:rsidP="001F0C78">
      <w:r>
        <w:t>-</w:t>
      </w:r>
      <w:r>
        <w:tab/>
        <w:t xml:space="preserve">what's the main goal of this activity? To have a checkpoint in each WG (RAN1/2/3/4) where after the WG meeting </w:t>
      </w:r>
      <w:r>
        <w:tab/>
        <w:t xml:space="preserve">it is checked whether a complete CR set is available for all </w:t>
      </w:r>
      <w:proofErr w:type="spellStart"/>
      <w:proofErr w:type="gramStart"/>
      <w:r>
        <w:t>cat.B</w:t>
      </w:r>
      <w:proofErr w:type="spellEnd"/>
      <w:proofErr w:type="gramEnd"/>
      <w:r>
        <w:t xml:space="preserve">/C TEI features for TSG RAN; by comparing the </w:t>
      </w:r>
      <w:r>
        <w:tab/>
        <w:t>tables of different WGs a cross-check is possible.</w:t>
      </w:r>
    </w:p>
    <w:p w14:paraId="78124025" w14:textId="77777777" w:rsidR="001F0C78" w:rsidRDefault="001F0C78" w:rsidP="001F0C78">
      <w:r>
        <w:t>-</w:t>
      </w:r>
      <w:r>
        <w:tab/>
        <w:t xml:space="preserve">should this activity be limited to </w:t>
      </w:r>
      <w:proofErr w:type="spellStart"/>
      <w:proofErr w:type="gramStart"/>
      <w:r>
        <w:t>cat.B</w:t>
      </w:r>
      <w:proofErr w:type="spellEnd"/>
      <w:proofErr w:type="gramEnd"/>
      <w:r>
        <w:t xml:space="preserve">/C TEI CRs only? It would be useful to also list </w:t>
      </w:r>
      <w:proofErr w:type="spellStart"/>
      <w:proofErr w:type="gramStart"/>
      <w:r>
        <w:t>cat.F</w:t>
      </w:r>
      <w:proofErr w:type="spellEnd"/>
      <w:proofErr w:type="gramEnd"/>
      <w:r>
        <w:t xml:space="preserve">/A TEI CRs to correct </w:t>
      </w:r>
      <w:r>
        <w:tab/>
        <w:t xml:space="preserve">formerly as </w:t>
      </w:r>
      <w:proofErr w:type="spellStart"/>
      <w:r>
        <w:t>cat.B</w:t>
      </w:r>
      <w:proofErr w:type="spellEnd"/>
      <w:r>
        <w:t xml:space="preserve">/C TEI introduced features (corresponding CRs will have [ ] at the end of the </w:t>
      </w:r>
      <w:proofErr w:type="spellStart"/>
      <w:r>
        <w:t>Tdoc</w:t>
      </w:r>
      <w:proofErr w:type="spellEnd"/>
      <w:r>
        <w:t xml:space="preserve"> title and CR </w:t>
      </w:r>
      <w:r>
        <w:tab/>
        <w:t xml:space="preserve">proponents will inform the WG chairman if there were any agreed/endorsed CRs </w:t>
      </w:r>
      <w:proofErr w:type="spellStart"/>
      <w:r>
        <w:t>lile</w:t>
      </w:r>
      <w:proofErr w:type="spellEnd"/>
      <w:r>
        <w:t xml:space="preserve"> this)</w:t>
      </w:r>
    </w:p>
    <w:p w14:paraId="6F33BDA1" w14:textId="77777777" w:rsidR="001F0C78" w:rsidRDefault="001F0C78" w:rsidP="001F0C78">
      <w:r>
        <w:t>-</w:t>
      </w:r>
      <w:r>
        <w:tab/>
        <w:t xml:space="preserve">what about CRs for WI code combinations like "&lt;WI code&gt;, </w:t>
      </w:r>
      <w:proofErr w:type="spellStart"/>
      <w:r>
        <w:t>TEIxx</w:t>
      </w:r>
      <w:proofErr w:type="spellEnd"/>
      <w:r>
        <w:t>"?</w:t>
      </w:r>
      <w:r>
        <w:br/>
      </w:r>
      <w:r>
        <w:tab/>
        <w:t xml:space="preserve">These CRs appear when &lt;WI code&gt; was a WI of a </w:t>
      </w:r>
      <w:proofErr w:type="spellStart"/>
      <w:r>
        <w:t>Rel-yy</w:t>
      </w:r>
      <w:proofErr w:type="spellEnd"/>
      <w:r>
        <w:t xml:space="preserve"> with </w:t>
      </w:r>
      <w:proofErr w:type="spellStart"/>
      <w:r>
        <w:t>yy</w:t>
      </w:r>
      <w:proofErr w:type="spellEnd"/>
      <w:r>
        <w:t>&lt;xx.</w:t>
      </w:r>
      <w:r>
        <w:br/>
      </w:r>
      <w:r>
        <w:tab/>
        <w:t>These CRs are usually well identified via &lt;WI code&gt; and would therefore not need any more tracking.</w:t>
      </w:r>
      <w:r>
        <w:br/>
      </w:r>
      <w:r>
        <w:tab/>
        <w:t xml:space="preserve">But one exception should be made for &lt;WI code&gt; = </w:t>
      </w:r>
      <w:proofErr w:type="spellStart"/>
      <w:r>
        <w:t>NR_newRAT</w:t>
      </w:r>
      <w:proofErr w:type="spellEnd"/>
      <w:r>
        <w:t xml:space="preserve">-Core as this was the generic NR WI that </w:t>
      </w:r>
      <w:r>
        <w:tab/>
        <w:t>introduced the whole 5G and if we do not track "</w:t>
      </w:r>
      <w:proofErr w:type="spellStart"/>
      <w:r>
        <w:t>NR_newRAT</w:t>
      </w:r>
      <w:proofErr w:type="spellEnd"/>
      <w:r>
        <w:t xml:space="preserve">-Core, </w:t>
      </w:r>
      <w:proofErr w:type="spellStart"/>
      <w:r>
        <w:t>TEIxx</w:t>
      </w:r>
      <w:proofErr w:type="spellEnd"/>
      <w:r>
        <w:t xml:space="preserve">" as well, it could be used as a way to </w:t>
      </w:r>
      <w:r>
        <w:tab/>
        <w:t>bypass this tracking activity.</w:t>
      </w:r>
    </w:p>
    <w:p w14:paraId="2EFECE56" w14:textId="77777777" w:rsidR="001F0C78" w:rsidRDefault="001F0C78" w:rsidP="001F0C78">
      <w:r>
        <w:t>-</w:t>
      </w:r>
      <w:r>
        <w:tab/>
        <w:t xml:space="preserve">How big is the expected effort: Double-checking TEI16 CRs of 2020, we had about 110 </w:t>
      </w:r>
      <w:proofErr w:type="spellStart"/>
      <w:proofErr w:type="gramStart"/>
      <w:r>
        <w:t>cat.B</w:t>
      </w:r>
      <w:proofErr w:type="spellEnd"/>
      <w:proofErr w:type="gramEnd"/>
      <w:r>
        <w:t xml:space="preserve">/C CRs from </w:t>
      </w:r>
      <w:r>
        <w:tab/>
        <w:t xml:space="preserve">RAN1/2/3/4 together with ~50% </w:t>
      </w:r>
      <w:r>
        <w:tab/>
        <w:t>TEI16, ~25% "</w:t>
      </w:r>
      <w:proofErr w:type="spellStart"/>
      <w:r>
        <w:t>NR_newRAT</w:t>
      </w:r>
      <w:proofErr w:type="spellEnd"/>
      <w:r>
        <w:t xml:space="preserve">-Core, </w:t>
      </w:r>
      <w:proofErr w:type="spellStart"/>
      <w:r>
        <w:t>TEIxx</w:t>
      </w:r>
      <w:proofErr w:type="spellEnd"/>
      <w:r>
        <w:t xml:space="preserve">" and ~25% other WI code, TEI16 </w:t>
      </w:r>
      <w:r>
        <w:tab/>
        <w:t xml:space="preserve">CRs. So this means ~20 CRs per TSG RAN meeting plus a few </w:t>
      </w:r>
      <w:proofErr w:type="spellStart"/>
      <w:proofErr w:type="gramStart"/>
      <w:r>
        <w:t>cat.F</w:t>
      </w:r>
      <w:proofErr w:type="spellEnd"/>
      <w:proofErr w:type="gramEnd"/>
      <w:r>
        <w:t xml:space="preserve">/A corrections to former </w:t>
      </w:r>
      <w:proofErr w:type="spellStart"/>
      <w:r>
        <w:t>cat.B</w:t>
      </w:r>
      <w:proofErr w:type="spellEnd"/>
      <w:r>
        <w:t xml:space="preserve">/C </w:t>
      </w:r>
      <w:proofErr w:type="spellStart"/>
      <w:r>
        <w:t>TEIxx</w:t>
      </w:r>
      <w:proofErr w:type="spellEnd"/>
      <w:r>
        <w:t xml:space="preserve"> CRs.</w:t>
      </w:r>
    </w:p>
    <w:p w14:paraId="003E9509" w14:textId="77777777" w:rsidR="001F0C78" w:rsidRDefault="001F0C78" w:rsidP="001F0C78">
      <w:r>
        <w:t>-</w:t>
      </w:r>
      <w:r>
        <w:tab/>
        <w:t xml:space="preserve">What is TSG RAN supposed to do with the tables of TEI CRs from the WG chairmen? The impacts on other WGs </w:t>
      </w:r>
      <w:r>
        <w:tab/>
        <w:t xml:space="preserve">have to be carefully reviewed (the earlier the tables from the WG chairmen are available the better, ideally at latest </w:t>
      </w:r>
      <w:r>
        <w:tab/>
        <w:t xml:space="preserve">1 week after the WG meeting): If </w:t>
      </w:r>
      <w:proofErr w:type="spellStart"/>
      <w:r>
        <w:t>WGx</w:t>
      </w:r>
      <w:proofErr w:type="spellEnd"/>
      <w:r>
        <w:t xml:space="preserve"> expected a CR from </w:t>
      </w:r>
      <w:proofErr w:type="spellStart"/>
      <w:r>
        <w:t>WGy</w:t>
      </w:r>
      <w:proofErr w:type="spellEnd"/>
      <w:r>
        <w:t xml:space="preserve"> but </w:t>
      </w:r>
      <w:proofErr w:type="spellStart"/>
      <w:r>
        <w:t>WGy</w:t>
      </w:r>
      <w:proofErr w:type="spellEnd"/>
      <w:r>
        <w:t xml:space="preserve"> did not provide such a CR, then there </w:t>
      </w:r>
      <w:r>
        <w:tab/>
        <w:t xml:space="preserve">are 2 possibilities: The CR from </w:t>
      </w:r>
      <w:proofErr w:type="spellStart"/>
      <w:r>
        <w:t>WGy</w:t>
      </w:r>
      <w:proofErr w:type="spellEnd"/>
      <w:r>
        <w:t xml:space="preserve"> was not needed (then this will be documented e.g. in the RAN minutes or in </w:t>
      </w:r>
      <w:r>
        <w:tab/>
        <w:t xml:space="preserve">a revised WG chairman's report) or </w:t>
      </w:r>
      <w:proofErr w:type="spellStart"/>
      <w:r>
        <w:t>WGy</w:t>
      </w:r>
      <w:proofErr w:type="spellEnd"/>
      <w:r>
        <w:t xml:space="preserve"> did not manage to conclude on a CR which means we have an incomplete </w:t>
      </w:r>
      <w:r>
        <w:tab/>
        <w:t xml:space="preserve">CR set that cannot be approved. It is then up to TSG RAN to discard the incomplete CR set or to request a company </w:t>
      </w:r>
      <w:r>
        <w:tab/>
        <w:t xml:space="preserve">CR for the </w:t>
      </w:r>
      <w:proofErr w:type="spellStart"/>
      <w:r>
        <w:t>WGy</w:t>
      </w:r>
      <w:proofErr w:type="spellEnd"/>
      <w:r>
        <w:t xml:space="preserve"> spec (if it is easy to solve) or to consider the start of a new WI (if the problem is more complex).</w:t>
      </w:r>
    </w:p>
    <w:p w14:paraId="7BE81AEF" w14:textId="77777777" w:rsidR="001F0C78" w:rsidRDefault="001F0C78" w:rsidP="001F0C78">
      <w:pPr>
        <w:rPr>
          <w:b/>
          <w:bCs/>
        </w:rPr>
      </w:pPr>
      <w:r>
        <w:rPr>
          <w:b/>
          <w:bCs/>
        </w:rPr>
        <w:t>E.4</w:t>
      </w:r>
      <w:r>
        <w:rPr>
          <w:b/>
          <w:bCs/>
        </w:rPr>
        <w:tab/>
        <w:t xml:space="preserve">MCC will support this tracking activity with a list of TEI CRs for a considered release that were handled at </w:t>
      </w:r>
      <w:r>
        <w:rPr>
          <w:b/>
          <w:bCs/>
        </w:rPr>
        <w:tab/>
        <w:t>RAN and that have the unique TEI identifier.</w:t>
      </w:r>
    </w:p>
    <w:p w14:paraId="125E4A86" w14:textId="77777777" w:rsidR="001F0C78" w:rsidRDefault="001F0C78" w:rsidP="001F0C78">
      <w:r>
        <w:t>-</w:t>
      </w:r>
      <w:r>
        <w:tab/>
        <w:t xml:space="preserve">The resulting </w:t>
      </w:r>
      <w:proofErr w:type="spellStart"/>
      <w:r>
        <w:t>Tdoc</w:t>
      </w:r>
      <w:proofErr w:type="spellEnd"/>
      <w:r>
        <w:t xml:space="preserve"> list of each RAN meeting includes already a complete list of all CRs handled in this meeting. </w:t>
      </w:r>
      <w:r>
        <w:tab/>
        <w:t>An additional list will be added after RAN #92e listing the TEI CRs with unique TEI identifiers in [ ].</w:t>
      </w:r>
      <w:r>
        <w:br/>
      </w:r>
      <w:r>
        <w:tab/>
        <w:t xml:space="preserve">After RAN #93e, a further list will be appended to the TEI CR list so that in the end a list for all TEI </w:t>
      </w:r>
      <w:proofErr w:type="spellStart"/>
      <w:r>
        <w:t>cat.B</w:t>
      </w:r>
      <w:proofErr w:type="spellEnd"/>
      <w:r>
        <w:t xml:space="preserve">/C </w:t>
      </w:r>
      <w:r>
        <w:tab/>
        <w:t xml:space="preserve">CRs (and their corresponding </w:t>
      </w:r>
      <w:proofErr w:type="spellStart"/>
      <w:r>
        <w:t>cat.F</w:t>
      </w:r>
      <w:proofErr w:type="spellEnd"/>
      <w:r>
        <w:t xml:space="preserve">/A corrections) will develop that allows easy search and filtering for new TEI </w:t>
      </w:r>
      <w:r>
        <w:tab/>
        <w:t>features.</w:t>
      </w:r>
    </w:p>
    <w:p w14:paraId="465DB6BE" w14:textId="77777777" w:rsidR="001F0C78" w:rsidRDefault="001F0C78" w:rsidP="001F0C78">
      <w:r>
        <w:t>-</w:t>
      </w:r>
      <w:r>
        <w:tab/>
        <w:t>Such a list could be generated per release and will allow an improved visibility and tracing of new TEI features.</w:t>
      </w:r>
      <w:r>
        <w:br/>
      </w:r>
      <w:r>
        <w:tab/>
        <w:t xml:space="preserve">Note: Due to the unique TEI identifiers and the proper documentation as outcome of the RAN meetings, also 3GU </w:t>
      </w:r>
      <w:r>
        <w:tab/>
        <w:t>will allow to search for TEI CR sets.</w:t>
      </w:r>
    </w:p>
    <w:p w14:paraId="76130630" w14:textId="52E144D1" w:rsidR="001F0C78" w:rsidRPr="001F0C78" w:rsidRDefault="001F0C78" w:rsidP="00C52E7D">
      <w:pPr>
        <w:rPr>
          <w:bCs/>
          <w:sz w:val="22"/>
          <w:szCs w:val="18"/>
        </w:rPr>
      </w:pPr>
    </w:p>
    <w:p w14:paraId="2719D6A0" w14:textId="77777777" w:rsidR="001F0C78" w:rsidRPr="001F0C78" w:rsidRDefault="001F0C78" w:rsidP="00C52E7D">
      <w:pPr>
        <w:rPr>
          <w:bCs/>
          <w:sz w:val="22"/>
          <w:szCs w:val="18"/>
        </w:rPr>
      </w:pPr>
    </w:p>
    <w:sectPr w:rsidR="001F0C78" w:rsidRPr="001F0C78" w:rsidSect="00974662">
      <w:footerReference w:type="default" r:id="rId51"/>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9D23DC" w14:textId="77777777" w:rsidR="00391926" w:rsidRDefault="00391926">
      <w:r>
        <w:separator/>
      </w:r>
    </w:p>
  </w:endnote>
  <w:endnote w:type="continuationSeparator" w:id="0">
    <w:p w14:paraId="241AA65B" w14:textId="77777777" w:rsidR="00391926" w:rsidRDefault="00391926">
      <w:r>
        <w:continuationSeparator/>
      </w:r>
    </w:p>
  </w:endnote>
  <w:endnote w:type="continuationNotice" w:id="1">
    <w:p w14:paraId="410FB278" w14:textId="77777777" w:rsidR="00391926" w:rsidRDefault="003919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微软雅黑">
    <w:panose1 w:val="020B0503020204020204"/>
    <w:charset w:val="86"/>
    <w:family w:val="swiss"/>
    <w:pitch w:val="variable"/>
    <w:sig w:usb0="80000287" w:usb1="280F3C52" w:usb2="00000016" w:usb3="00000000" w:csb0="0004001F"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088EF" w14:textId="0D8063C0" w:rsidR="003740BF" w:rsidRPr="00000924" w:rsidRDefault="003740BF">
    <w:pPr>
      <w:pStyle w:val="Footer"/>
      <w:jc w:val="center"/>
      <w:rPr>
        <w:sz w:val="22"/>
      </w:rPr>
    </w:pPr>
    <w:r>
      <w:rPr>
        <w:rStyle w:val="PageNumber"/>
        <w:rFonts w:eastAsia="MS Gothic"/>
      </w:rPr>
      <w:t xml:space="preserve">- </w:t>
    </w:r>
    <w:r>
      <w:rPr>
        <w:rStyle w:val="PageNumber"/>
        <w:rFonts w:eastAsia="MS Gothic"/>
      </w:rPr>
      <w:fldChar w:fldCharType="begin"/>
    </w:r>
    <w:r>
      <w:rPr>
        <w:rStyle w:val="PageNumber"/>
        <w:rFonts w:eastAsia="MS Gothic"/>
      </w:rPr>
      <w:instrText xml:space="preserve"> PAGE </w:instrText>
    </w:r>
    <w:r>
      <w:rPr>
        <w:rStyle w:val="PageNumber"/>
        <w:rFonts w:eastAsia="MS Gothic"/>
      </w:rPr>
      <w:fldChar w:fldCharType="separate"/>
    </w:r>
    <w:r>
      <w:rPr>
        <w:rStyle w:val="PageNumber"/>
        <w:rFonts w:eastAsia="MS Gothic"/>
        <w:noProof/>
      </w:rPr>
      <w:t>11</w:t>
    </w:r>
    <w:r>
      <w:rPr>
        <w:rStyle w:val="PageNumber"/>
        <w:rFonts w:eastAsia="MS Gothic"/>
      </w:rPr>
      <w:fldChar w:fldCharType="end"/>
    </w:r>
    <w:r>
      <w:rPr>
        <w:rStyle w:val="PageNumber"/>
        <w:rFonts w:eastAsia="MS Gothic"/>
      </w:rPr>
      <w:t>/</w:t>
    </w:r>
    <w:r>
      <w:rPr>
        <w:rStyle w:val="PageNumber"/>
        <w:rFonts w:eastAsia="MS Gothic"/>
      </w:rPr>
      <w:fldChar w:fldCharType="begin"/>
    </w:r>
    <w:r>
      <w:rPr>
        <w:rStyle w:val="PageNumber"/>
        <w:rFonts w:eastAsia="MS Gothic"/>
      </w:rPr>
      <w:instrText xml:space="preserve"> NUMPAGES </w:instrText>
    </w:r>
    <w:r>
      <w:rPr>
        <w:rStyle w:val="PageNumber"/>
        <w:rFonts w:eastAsia="MS Gothic"/>
      </w:rPr>
      <w:fldChar w:fldCharType="separate"/>
    </w:r>
    <w:r>
      <w:rPr>
        <w:rStyle w:val="PageNumber"/>
        <w:rFonts w:eastAsia="MS Gothic"/>
        <w:noProof/>
      </w:rPr>
      <w:t>107</w:t>
    </w:r>
    <w:r>
      <w:rPr>
        <w:rStyle w:val="PageNumber"/>
        <w:rFonts w:eastAsia="MS Gothic"/>
      </w:rPr>
      <w:fldChar w:fldCharType="end"/>
    </w:r>
    <w:r>
      <w:rPr>
        <w:rStyle w:val="PageNumber"/>
        <w:rFonts w:eastAsia="MS Gothic"/>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7E3B45" w14:textId="77777777" w:rsidR="00391926" w:rsidRDefault="00391926">
      <w:r>
        <w:separator/>
      </w:r>
    </w:p>
  </w:footnote>
  <w:footnote w:type="continuationSeparator" w:id="0">
    <w:p w14:paraId="6F16B110" w14:textId="77777777" w:rsidR="00391926" w:rsidRDefault="00391926">
      <w:r>
        <w:continuationSeparator/>
      </w:r>
    </w:p>
  </w:footnote>
  <w:footnote w:type="continuationNotice" w:id="1">
    <w:p w14:paraId="3E08B7A7" w14:textId="77777777" w:rsidR="00391926" w:rsidRDefault="0039192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51FB6"/>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2" w15:restartNumberingAfterBreak="0">
    <w:nsid w:val="116B73BA"/>
    <w:multiLevelType w:val="multilevel"/>
    <w:tmpl w:val="116B73BA"/>
    <w:lvl w:ilvl="0">
      <w:start w:val="1"/>
      <w:numFmt w:val="decimal"/>
      <w:pStyle w:val="ListNumber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5" w15:restartNumberingAfterBreak="0">
    <w:nsid w:val="33562518"/>
    <w:multiLevelType w:val="hybridMultilevel"/>
    <w:tmpl w:val="E34C8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7" w15:restartNumberingAfterBreak="0">
    <w:nsid w:val="36064C5C"/>
    <w:multiLevelType w:val="hybridMultilevel"/>
    <w:tmpl w:val="957AE552"/>
    <w:lvl w:ilvl="0" w:tplc="12627E3E">
      <w:start w:val="1"/>
      <w:numFmt w:val="decimal"/>
      <w:lvlText w:val="%1)"/>
      <w:lvlJc w:val="left"/>
      <w:pPr>
        <w:ind w:left="720" w:hanging="360"/>
      </w:pPr>
      <w:rPr>
        <w:rFonts w:ascii="Times New Roman" w:eastAsia="Malgun Gothic"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7E76635"/>
    <w:multiLevelType w:val="hybridMultilevel"/>
    <w:tmpl w:val="51966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AA46647"/>
    <w:multiLevelType w:val="hybridMultilevel"/>
    <w:tmpl w:val="608679F6"/>
    <w:lvl w:ilvl="0" w:tplc="78A864BC">
      <w:start w:val="1"/>
      <w:numFmt w:val="decimal"/>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3C041436"/>
    <w:multiLevelType w:val="hybridMultilevel"/>
    <w:tmpl w:val="FE8CE684"/>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2" w15:restartNumberingAfterBreak="0">
    <w:nsid w:val="3E0A4206"/>
    <w:multiLevelType w:val="hybridMultilevel"/>
    <w:tmpl w:val="4CA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E2B2FA8"/>
    <w:multiLevelType w:val="hybridMultilevel"/>
    <w:tmpl w:val="FFBA0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07D4E14"/>
    <w:multiLevelType w:val="hybridMultilevel"/>
    <w:tmpl w:val="312E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7" w15:restartNumberingAfterBreak="0">
    <w:nsid w:val="4DAD297C"/>
    <w:multiLevelType w:val="hybridMultilevel"/>
    <w:tmpl w:val="A3381510"/>
    <w:lvl w:ilvl="0" w:tplc="8BBE8868">
      <w:start w:val="20"/>
      <w:numFmt w:val="bullet"/>
      <w:lvlText w:val="-"/>
      <w:lvlJc w:val="left"/>
      <w:pPr>
        <w:ind w:left="360" w:hanging="360"/>
      </w:pPr>
      <w:rPr>
        <w:rFonts w:ascii="Calibri" w:eastAsiaTheme="minorEastAsia"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8" w15:restartNumberingAfterBreak="0">
    <w:nsid w:val="5101505E"/>
    <w:multiLevelType w:val="hybridMultilevel"/>
    <w:tmpl w:val="6C28A41A"/>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20" w15:restartNumberingAfterBreak="0">
    <w:nsid w:val="53566073"/>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EDC671E"/>
    <w:multiLevelType w:val="hybridMultilevel"/>
    <w:tmpl w:val="4AD0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24"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25" w15:restartNumberingAfterBreak="0">
    <w:nsid w:val="654E2538"/>
    <w:multiLevelType w:val="hybridMultilevel"/>
    <w:tmpl w:val="2202E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6" w15:restartNumberingAfterBreak="0">
    <w:nsid w:val="700D6276"/>
    <w:multiLevelType w:val="hybridMultilevel"/>
    <w:tmpl w:val="26EC6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71C726D2"/>
    <w:multiLevelType w:val="hybridMultilevel"/>
    <w:tmpl w:val="608679F6"/>
    <w:lvl w:ilvl="0" w:tplc="78A864BC">
      <w:start w:val="1"/>
      <w:numFmt w:val="decimal"/>
      <w:lvlText w:val="Proposal %1"/>
      <w:lvlJc w:val="left"/>
      <w:pPr>
        <w:tabs>
          <w:tab w:val="num" w:pos="1730"/>
        </w:tabs>
        <w:ind w:left="1730" w:hanging="1304"/>
      </w:pPr>
    </w:lvl>
    <w:lvl w:ilvl="1" w:tplc="04090019">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15:restartNumberingAfterBreak="0">
    <w:nsid w:val="71E535F8"/>
    <w:multiLevelType w:val="hybridMultilevel"/>
    <w:tmpl w:val="9EE42E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73CD5B14"/>
    <w:multiLevelType w:val="hybridMultilevel"/>
    <w:tmpl w:val="D5A4B052"/>
    <w:lvl w:ilvl="0" w:tplc="971A2D38">
      <w:start w:val="10"/>
      <w:numFmt w:val="bullet"/>
      <w:lvlText w:val=""/>
      <w:lvlJc w:val="left"/>
      <w:pPr>
        <w:ind w:left="1146" w:hanging="360"/>
      </w:pPr>
      <w:rPr>
        <w:rFonts w:ascii="Symbol" w:eastAsiaTheme="minorEastAsia" w:hAnsi="Symbol" w:cstheme="minorBidi"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30"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78412D20"/>
    <w:multiLevelType w:val="hybridMultilevel"/>
    <w:tmpl w:val="C95A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DD53980"/>
    <w:multiLevelType w:val="multilevel"/>
    <w:tmpl w:val="99F4D080"/>
    <w:numStyleLink w:val="1"/>
  </w:abstractNum>
  <w:num w:numId="1">
    <w:abstractNumId w:val="24"/>
  </w:num>
  <w:num w:numId="2">
    <w:abstractNumId w:val="6"/>
  </w:num>
  <w:num w:numId="3">
    <w:abstractNumId w:val="32"/>
  </w:num>
  <w:num w:numId="4">
    <w:abstractNumId w:val="2"/>
  </w:num>
  <w:num w:numId="5">
    <w:abstractNumId w:val="3"/>
  </w:num>
  <w:num w:numId="6">
    <w:abstractNumId w:val="9"/>
  </w:num>
  <w:num w:numId="7">
    <w:abstractNumId w:val="23"/>
  </w:num>
  <w:num w:numId="8">
    <w:abstractNumId w:val="16"/>
  </w:num>
  <w:num w:numId="9">
    <w:abstractNumId w:val="15"/>
  </w:num>
  <w:num w:numId="10">
    <w:abstractNumId w:val="4"/>
  </w:num>
  <w:num w:numId="11">
    <w:abstractNumId w:val="1"/>
  </w:num>
  <w:num w:numId="12">
    <w:abstractNumId w:val="33"/>
  </w:num>
  <w:num w:numId="13">
    <w:abstractNumId w:val="30"/>
  </w:num>
  <w:num w:numId="14">
    <w:abstractNumId w:val="19"/>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25"/>
  </w:num>
  <w:num w:numId="20">
    <w:abstractNumId w:val="31"/>
  </w:num>
  <w:num w:numId="21">
    <w:abstractNumId w:val="12"/>
  </w:num>
  <w:num w:numId="22">
    <w:abstractNumId w:val="26"/>
  </w:num>
  <w:num w:numId="23">
    <w:abstractNumId w:val="22"/>
  </w:num>
  <w:num w:numId="24">
    <w:abstractNumId w:val="13"/>
  </w:num>
  <w:num w:numId="25">
    <w:abstractNumId w:val="11"/>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num>
  <w:num w:numId="28">
    <w:abstractNumId w:val="27"/>
  </w:num>
  <w:num w:numId="29">
    <w:abstractNumId w:val="29"/>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20"/>
  </w:num>
  <w:num w:numId="33">
    <w:abstractNumId w:val="0"/>
  </w:num>
  <w:num w:numId="34">
    <w:abstractNumId w:val="17"/>
  </w:num>
  <w:num w:numId="35">
    <w:abstractNumId w:val="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20"/>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917"/>
    <w:rsid w:val="00000156"/>
    <w:rsid w:val="00000204"/>
    <w:rsid w:val="0000020C"/>
    <w:rsid w:val="0000022B"/>
    <w:rsid w:val="000004A4"/>
    <w:rsid w:val="00000594"/>
    <w:rsid w:val="00000924"/>
    <w:rsid w:val="00000D49"/>
    <w:rsid w:val="000010AD"/>
    <w:rsid w:val="000014F0"/>
    <w:rsid w:val="00001633"/>
    <w:rsid w:val="00001837"/>
    <w:rsid w:val="00001A81"/>
    <w:rsid w:val="00001BCB"/>
    <w:rsid w:val="00001BF1"/>
    <w:rsid w:val="00002066"/>
    <w:rsid w:val="0000228E"/>
    <w:rsid w:val="00002536"/>
    <w:rsid w:val="0000255B"/>
    <w:rsid w:val="00002938"/>
    <w:rsid w:val="00002AFC"/>
    <w:rsid w:val="00002E18"/>
    <w:rsid w:val="00003973"/>
    <w:rsid w:val="00003A56"/>
    <w:rsid w:val="00003AE4"/>
    <w:rsid w:val="00003B06"/>
    <w:rsid w:val="00003D18"/>
    <w:rsid w:val="00003F7F"/>
    <w:rsid w:val="000041B5"/>
    <w:rsid w:val="000044B4"/>
    <w:rsid w:val="00004986"/>
    <w:rsid w:val="00004C7C"/>
    <w:rsid w:val="00004DDA"/>
    <w:rsid w:val="00004F87"/>
    <w:rsid w:val="0000530F"/>
    <w:rsid w:val="00005493"/>
    <w:rsid w:val="00005B74"/>
    <w:rsid w:val="00005C60"/>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F54"/>
    <w:rsid w:val="0001227C"/>
    <w:rsid w:val="0001241A"/>
    <w:rsid w:val="0001251B"/>
    <w:rsid w:val="0001297C"/>
    <w:rsid w:val="00012DFF"/>
    <w:rsid w:val="00012E98"/>
    <w:rsid w:val="00012FA8"/>
    <w:rsid w:val="0001312D"/>
    <w:rsid w:val="00013156"/>
    <w:rsid w:val="000133F0"/>
    <w:rsid w:val="000139A9"/>
    <w:rsid w:val="000139BC"/>
    <w:rsid w:val="00013EC8"/>
    <w:rsid w:val="0001441E"/>
    <w:rsid w:val="0001457F"/>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A83"/>
    <w:rsid w:val="00025B78"/>
    <w:rsid w:val="00025D34"/>
    <w:rsid w:val="00025D3B"/>
    <w:rsid w:val="00025F9F"/>
    <w:rsid w:val="00025FA8"/>
    <w:rsid w:val="00026013"/>
    <w:rsid w:val="00026412"/>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20ED"/>
    <w:rsid w:val="0003235C"/>
    <w:rsid w:val="00032415"/>
    <w:rsid w:val="00032505"/>
    <w:rsid w:val="00032526"/>
    <w:rsid w:val="00032CE3"/>
    <w:rsid w:val="00032E59"/>
    <w:rsid w:val="0003345A"/>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3FB"/>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B6"/>
    <w:rsid w:val="000414D2"/>
    <w:rsid w:val="00041699"/>
    <w:rsid w:val="00041715"/>
    <w:rsid w:val="00041AF7"/>
    <w:rsid w:val="00041CFA"/>
    <w:rsid w:val="00041DBA"/>
    <w:rsid w:val="0004242B"/>
    <w:rsid w:val="000426D9"/>
    <w:rsid w:val="000426F6"/>
    <w:rsid w:val="00043982"/>
    <w:rsid w:val="00043CE6"/>
    <w:rsid w:val="00043E91"/>
    <w:rsid w:val="0004403F"/>
    <w:rsid w:val="000440A2"/>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F29"/>
    <w:rsid w:val="00056262"/>
    <w:rsid w:val="000563A7"/>
    <w:rsid w:val="00056631"/>
    <w:rsid w:val="0005703C"/>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296"/>
    <w:rsid w:val="00071382"/>
    <w:rsid w:val="0007185A"/>
    <w:rsid w:val="00071987"/>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7091"/>
    <w:rsid w:val="0007734A"/>
    <w:rsid w:val="000779A9"/>
    <w:rsid w:val="00077FFC"/>
    <w:rsid w:val="000808D4"/>
    <w:rsid w:val="00080B57"/>
    <w:rsid w:val="00080DDF"/>
    <w:rsid w:val="00080EC6"/>
    <w:rsid w:val="00081532"/>
    <w:rsid w:val="00081697"/>
    <w:rsid w:val="00081C3F"/>
    <w:rsid w:val="00081C52"/>
    <w:rsid w:val="00081FAB"/>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CFD"/>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CEC"/>
    <w:rsid w:val="000A4F30"/>
    <w:rsid w:val="000A51B5"/>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9C2"/>
    <w:rsid w:val="000B0DB3"/>
    <w:rsid w:val="000B10B7"/>
    <w:rsid w:val="000B1113"/>
    <w:rsid w:val="000B1298"/>
    <w:rsid w:val="000B16EB"/>
    <w:rsid w:val="000B177C"/>
    <w:rsid w:val="000B1BDB"/>
    <w:rsid w:val="000B2379"/>
    <w:rsid w:val="000B244F"/>
    <w:rsid w:val="000B2B16"/>
    <w:rsid w:val="000B35F4"/>
    <w:rsid w:val="000B390A"/>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1120"/>
    <w:rsid w:val="000E1353"/>
    <w:rsid w:val="000E13F1"/>
    <w:rsid w:val="000E184C"/>
    <w:rsid w:val="000E1B7D"/>
    <w:rsid w:val="000E1B84"/>
    <w:rsid w:val="000E207F"/>
    <w:rsid w:val="000E2243"/>
    <w:rsid w:val="000E2496"/>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170"/>
    <w:rsid w:val="000E58B4"/>
    <w:rsid w:val="000E598D"/>
    <w:rsid w:val="000E5AA1"/>
    <w:rsid w:val="000E61DA"/>
    <w:rsid w:val="000E620A"/>
    <w:rsid w:val="000E63F6"/>
    <w:rsid w:val="000E6571"/>
    <w:rsid w:val="000E6653"/>
    <w:rsid w:val="000E6707"/>
    <w:rsid w:val="000E67A9"/>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61A9"/>
    <w:rsid w:val="000F63BD"/>
    <w:rsid w:val="000F649A"/>
    <w:rsid w:val="000F64C4"/>
    <w:rsid w:val="000F6598"/>
    <w:rsid w:val="000F7515"/>
    <w:rsid w:val="000F7FA0"/>
    <w:rsid w:val="0010015A"/>
    <w:rsid w:val="00100391"/>
    <w:rsid w:val="001005A9"/>
    <w:rsid w:val="00100728"/>
    <w:rsid w:val="00100937"/>
    <w:rsid w:val="0010099E"/>
    <w:rsid w:val="00100A12"/>
    <w:rsid w:val="00100A29"/>
    <w:rsid w:val="00100B00"/>
    <w:rsid w:val="00100DD9"/>
    <w:rsid w:val="001012E9"/>
    <w:rsid w:val="001012F3"/>
    <w:rsid w:val="00101465"/>
    <w:rsid w:val="0010152B"/>
    <w:rsid w:val="00101A83"/>
    <w:rsid w:val="00101BE2"/>
    <w:rsid w:val="00101C7A"/>
    <w:rsid w:val="00101CFD"/>
    <w:rsid w:val="00101E3D"/>
    <w:rsid w:val="00101F63"/>
    <w:rsid w:val="0010204C"/>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8FC"/>
    <w:rsid w:val="00104E02"/>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BDD"/>
    <w:rsid w:val="00137C1A"/>
    <w:rsid w:val="00137E66"/>
    <w:rsid w:val="0014009D"/>
    <w:rsid w:val="00140CF9"/>
    <w:rsid w:val="00140E4B"/>
    <w:rsid w:val="00141234"/>
    <w:rsid w:val="001413D3"/>
    <w:rsid w:val="0014168E"/>
    <w:rsid w:val="0014168F"/>
    <w:rsid w:val="001416B6"/>
    <w:rsid w:val="00141980"/>
    <w:rsid w:val="00141ABF"/>
    <w:rsid w:val="00141FB9"/>
    <w:rsid w:val="00142540"/>
    <w:rsid w:val="00142757"/>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127E"/>
    <w:rsid w:val="00151A8D"/>
    <w:rsid w:val="00151BE5"/>
    <w:rsid w:val="00151FC5"/>
    <w:rsid w:val="0015215C"/>
    <w:rsid w:val="00152580"/>
    <w:rsid w:val="0015268A"/>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74B"/>
    <w:rsid w:val="00165B66"/>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882"/>
    <w:rsid w:val="00170AA3"/>
    <w:rsid w:val="0017107F"/>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8"/>
    <w:rsid w:val="00181EBF"/>
    <w:rsid w:val="00181F80"/>
    <w:rsid w:val="00182096"/>
    <w:rsid w:val="001823CF"/>
    <w:rsid w:val="0018281E"/>
    <w:rsid w:val="0018284C"/>
    <w:rsid w:val="001829B9"/>
    <w:rsid w:val="001829F1"/>
    <w:rsid w:val="00182B6D"/>
    <w:rsid w:val="00182EF0"/>
    <w:rsid w:val="00183542"/>
    <w:rsid w:val="00183771"/>
    <w:rsid w:val="00183975"/>
    <w:rsid w:val="00183CEA"/>
    <w:rsid w:val="00183E86"/>
    <w:rsid w:val="001840F4"/>
    <w:rsid w:val="00184115"/>
    <w:rsid w:val="0018422E"/>
    <w:rsid w:val="00184242"/>
    <w:rsid w:val="00184388"/>
    <w:rsid w:val="00184392"/>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253"/>
    <w:rsid w:val="0019533E"/>
    <w:rsid w:val="00195474"/>
    <w:rsid w:val="001955AF"/>
    <w:rsid w:val="001958F0"/>
    <w:rsid w:val="00195944"/>
    <w:rsid w:val="0019606F"/>
    <w:rsid w:val="001965F0"/>
    <w:rsid w:val="00196C83"/>
    <w:rsid w:val="00196CBA"/>
    <w:rsid w:val="00196F1E"/>
    <w:rsid w:val="00196FDD"/>
    <w:rsid w:val="0019703A"/>
    <w:rsid w:val="0019736B"/>
    <w:rsid w:val="0019782D"/>
    <w:rsid w:val="00197923"/>
    <w:rsid w:val="00197BA5"/>
    <w:rsid w:val="00197DF9"/>
    <w:rsid w:val="00197E3A"/>
    <w:rsid w:val="00197F89"/>
    <w:rsid w:val="001A01FA"/>
    <w:rsid w:val="001A0223"/>
    <w:rsid w:val="001A0419"/>
    <w:rsid w:val="001A0AA2"/>
    <w:rsid w:val="001A0AE7"/>
    <w:rsid w:val="001A0D10"/>
    <w:rsid w:val="001A0DA0"/>
    <w:rsid w:val="001A0F54"/>
    <w:rsid w:val="001A130B"/>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980"/>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FD"/>
    <w:rsid w:val="001C1A08"/>
    <w:rsid w:val="001C1BC1"/>
    <w:rsid w:val="001C1FE0"/>
    <w:rsid w:val="001C2ADC"/>
    <w:rsid w:val="001C2BEB"/>
    <w:rsid w:val="001C2D37"/>
    <w:rsid w:val="001C30BE"/>
    <w:rsid w:val="001C3870"/>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C7"/>
    <w:rsid w:val="001C6F5A"/>
    <w:rsid w:val="001D02E1"/>
    <w:rsid w:val="001D056A"/>
    <w:rsid w:val="001D0734"/>
    <w:rsid w:val="001D0CE0"/>
    <w:rsid w:val="001D0E9D"/>
    <w:rsid w:val="001D0EDF"/>
    <w:rsid w:val="001D135C"/>
    <w:rsid w:val="001D14FA"/>
    <w:rsid w:val="001D15F2"/>
    <w:rsid w:val="001D1A10"/>
    <w:rsid w:val="001D1B2D"/>
    <w:rsid w:val="001D1B4D"/>
    <w:rsid w:val="001D1D55"/>
    <w:rsid w:val="001D22CA"/>
    <w:rsid w:val="001D22DD"/>
    <w:rsid w:val="001D260E"/>
    <w:rsid w:val="001D27C2"/>
    <w:rsid w:val="001D28C6"/>
    <w:rsid w:val="001D2A61"/>
    <w:rsid w:val="001D2B86"/>
    <w:rsid w:val="001D33EB"/>
    <w:rsid w:val="001D360B"/>
    <w:rsid w:val="001D3B1F"/>
    <w:rsid w:val="001D3BFB"/>
    <w:rsid w:val="001D3C7D"/>
    <w:rsid w:val="001D4097"/>
    <w:rsid w:val="001D4908"/>
    <w:rsid w:val="001D491E"/>
    <w:rsid w:val="001D4921"/>
    <w:rsid w:val="001D497A"/>
    <w:rsid w:val="001D4A8E"/>
    <w:rsid w:val="001D4B1F"/>
    <w:rsid w:val="001D5150"/>
    <w:rsid w:val="001D5267"/>
    <w:rsid w:val="001D5950"/>
    <w:rsid w:val="001D59AA"/>
    <w:rsid w:val="001D5A30"/>
    <w:rsid w:val="001D5EB7"/>
    <w:rsid w:val="001D62CE"/>
    <w:rsid w:val="001D6746"/>
    <w:rsid w:val="001D68B0"/>
    <w:rsid w:val="001D6C5A"/>
    <w:rsid w:val="001D6E91"/>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B78"/>
    <w:rsid w:val="001E4F1B"/>
    <w:rsid w:val="001E4F6D"/>
    <w:rsid w:val="001E502F"/>
    <w:rsid w:val="001E505D"/>
    <w:rsid w:val="001E590C"/>
    <w:rsid w:val="001E5912"/>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41B8"/>
    <w:rsid w:val="001F42EE"/>
    <w:rsid w:val="001F442F"/>
    <w:rsid w:val="001F4856"/>
    <w:rsid w:val="001F49EB"/>
    <w:rsid w:val="001F49F4"/>
    <w:rsid w:val="001F4B29"/>
    <w:rsid w:val="001F4D32"/>
    <w:rsid w:val="001F4FF5"/>
    <w:rsid w:val="001F55BE"/>
    <w:rsid w:val="001F56D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B08"/>
    <w:rsid w:val="00214C26"/>
    <w:rsid w:val="00214F2E"/>
    <w:rsid w:val="00215106"/>
    <w:rsid w:val="002154CD"/>
    <w:rsid w:val="002155C0"/>
    <w:rsid w:val="00215626"/>
    <w:rsid w:val="00215643"/>
    <w:rsid w:val="0021564B"/>
    <w:rsid w:val="00215945"/>
    <w:rsid w:val="00215A03"/>
    <w:rsid w:val="00215CAA"/>
    <w:rsid w:val="0021624E"/>
    <w:rsid w:val="0021680A"/>
    <w:rsid w:val="0021681A"/>
    <w:rsid w:val="00216A57"/>
    <w:rsid w:val="002170E2"/>
    <w:rsid w:val="002175FE"/>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736"/>
    <w:rsid w:val="002279F2"/>
    <w:rsid w:val="00227C51"/>
    <w:rsid w:val="00227E55"/>
    <w:rsid w:val="00227FDC"/>
    <w:rsid w:val="00227FDD"/>
    <w:rsid w:val="0023003F"/>
    <w:rsid w:val="00230B2F"/>
    <w:rsid w:val="00230C9E"/>
    <w:rsid w:val="002318EF"/>
    <w:rsid w:val="00231BE1"/>
    <w:rsid w:val="00231C96"/>
    <w:rsid w:val="00231D85"/>
    <w:rsid w:val="00231E77"/>
    <w:rsid w:val="0023200B"/>
    <w:rsid w:val="002328DF"/>
    <w:rsid w:val="00232B3E"/>
    <w:rsid w:val="00232BAD"/>
    <w:rsid w:val="00232E0C"/>
    <w:rsid w:val="00232FB9"/>
    <w:rsid w:val="00232FD4"/>
    <w:rsid w:val="00233553"/>
    <w:rsid w:val="002337CF"/>
    <w:rsid w:val="00233962"/>
    <w:rsid w:val="00233B70"/>
    <w:rsid w:val="00233DDE"/>
    <w:rsid w:val="00233E8A"/>
    <w:rsid w:val="00233F47"/>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3264"/>
    <w:rsid w:val="002732C9"/>
    <w:rsid w:val="002732FF"/>
    <w:rsid w:val="00273760"/>
    <w:rsid w:val="0027393A"/>
    <w:rsid w:val="00273D82"/>
    <w:rsid w:val="00273E27"/>
    <w:rsid w:val="00273EAF"/>
    <w:rsid w:val="00274185"/>
    <w:rsid w:val="002742AE"/>
    <w:rsid w:val="002742B7"/>
    <w:rsid w:val="00274505"/>
    <w:rsid w:val="00274639"/>
    <w:rsid w:val="00274746"/>
    <w:rsid w:val="00274F6C"/>
    <w:rsid w:val="00274F9C"/>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F10"/>
    <w:rsid w:val="0028726C"/>
    <w:rsid w:val="002872EC"/>
    <w:rsid w:val="00287CA4"/>
    <w:rsid w:val="00287EFB"/>
    <w:rsid w:val="00287EFD"/>
    <w:rsid w:val="00290056"/>
    <w:rsid w:val="00290531"/>
    <w:rsid w:val="002907E6"/>
    <w:rsid w:val="00290859"/>
    <w:rsid w:val="0029095B"/>
    <w:rsid w:val="002911B9"/>
    <w:rsid w:val="0029154E"/>
    <w:rsid w:val="00291551"/>
    <w:rsid w:val="00291632"/>
    <w:rsid w:val="00291740"/>
    <w:rsid w:val="002919BF"/>
    <w:rsid w:val="002919C2"/>
    <w:rsid w:val="00291B85"/>
    <w:rsid w:val="002921E1"/>
    <w:rsid w:val="0029318A"/>
    <w:rsid w:val="00293700"/>
    <w:rsid w:val="00293863"/>
    <w:rsid w:val="002939B6"/>
    <w:rsid w:val="00293A31"/>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A23"/>
    <w:rsid w:val="002A1BB5"/>
    <w:rsid w:val="002A1C9F"/>
    <w:rsid w:val="002A1E4B"/>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1254"/>
    <w:rsid w:val="002B1321"/>
    <w:rsid w:val="002B1615"/>
    <w:rsid w:val="002B1DCF"/>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C12"/>
    <w:rsid w:val="002B4F16"/>
    <w:rsid w:val="002B4F2B"/>
    <w:rsid w:val="002B58EE"/>
    <w:rsid w:val="002B5919"/>
    <w:rsid w:val="002B5CEE"/>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703"/>
    <w:rsid w:val="002C49F0"/>
    <w:rsid w:val="002C4B70"/>
    <w:rsid w:val="002C4BFC"/>
    <w:rsid w:val="002C52E2"/>
    <w:rsid w:val="002C530F"/>
    <w:rsid w:val="002C5590"/>
    <w:rsid w:val="002C570C"/>
    <w:rsid w:val="002C579F"/>
    <w:rsid w:val="002C5E9B"/>
    <w:rsid w:val="002C6703"/>
    <w:rsid w:val="002C67E8"/>
    <w:rsid w:val="002C6836"/>
    <w:rsid w:val="002C6D00"/>
    <w:rsid w:val="002C79F2"/>
    <w:rsid w:val="002D083A"/>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AF8"/>
    <w:rsid w:val="002E44C3"/>
    <w:rsid w:val="002E465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6001"/>
    <w:rsid w:val="002F63DA"/>
    <w:rsid w:val="002F65D7"/>
    <w:rsid w:val="002F69C8"/>
    <w:rsid w:val="002F6B28"/>
    <w:rsid w:val="002F6B38"/>
    <w:rsid w:val="002F6EE2"/>
    <w:rsid w:val="002F7955"/>
    <w:rsid w:val="003004D5"/>
    <w:rsid w:val="00300993"/>
    <w:rsid w:val="00300A3C"/>
    <w:rsid w:val="00300AB2"/>
    <w:rsid w:val="00300D1B"/>
    <w:rsid w:val="00301119"/>
    <w:rsid w:val="00301819"/>
    <w:rsid w:val="00301A35"/>
    <w:rsid w:val="00301ABF"/>
    <w:rsid w:val="00302104"/>
    <w:rsid w:val="003023A6"/>
    <w:rsid w:val="00302595"/>
    <w:rsid w:val="003029D7"/>
    <w:rsid w:val="00302BA1"/>
    <w:rsid w:val="00303010"/>
    <w:rsid w:val="00303298"/>
    <w:rsid w:val="0030361D"/>
    <w:rsid w:val="00303711"/>
    <w:rsid w:val="00303765"/>
    <w:rsid w:val="00303E27"/>
    <w:rsid w:val="00303E7C"/>
    <w:rsid w:val="00304ADB"/>
    <w:rsid w:val="00304B92"/>
    <w:rsid w:val="00304D79"/>
    <w:rsid w:val="00304E15"/>
    <w:rsid w:val="003058CC"/>
    <w:rsid w:val="00305AD0"/>
    <w:rsid w:val="00305C70"/>
    <w:rsid w:val="00305DF2"/>
    <w:rsid w:val="00306094"/>
    <w:rsid w:val="003061EC"/>
    <w:rsid w:val="00306292"/>
    <w:rsid w:val="00306D82"/>
    <w:rsid w:val="003072BE"/>
    <w:rsid w:val="003073D5"/>
    <w:rsid w:val="003075B3"/>
    <w:rsid w:val="0030782D"/>
    <w:rsid w:val="00307BCE"/>
    <w:rsid w:val="00307F29"/>
    <w:rsid w:val="003103BD"/>
    <w:rsid w:val="00310CB5"/>
    <w:rsid w:val="0031179F"/>
    <w:rsid w:val="00312010"/>
    <w:rsid w:val="00312093"/>
    <w:rsid w:val="0031215B"/>
    <w:rsid w:val="003122E5"/>
    <w:rsid w:val="00312401"/>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C64"/>
    <w:rsid w:val="00315CBB"/>
    <w:rsid w:val="00315E4B"/>
    <w:rsid w:val="00315E54"/>
    <w:rsid w:val="00315E8C"/>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925"/>
    <w:rsid w:val="00320A48"/>
    <w:rsid w:val="00320C55"/>
    <w:rsid w:val="00321046"/>
    <w:rsid w:val="00321479"/>
    <w:rsid w:val="003217BE"/>
    <w:rsid w:val="00321949"/>
    <w:rsid w:val="00321A13"/>
    <w:rsid w:val="00321B21"/>
    <w:rsid w:val="003220A7"/>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53C"/>
    <w:rsid w:val="0032673B"/>
    <w:rsid w:val="00326A65"/>
    <w:rsid w:val="00326FAF"/>
    <w:rsid w:val="00326FF5"/>
    <w:rsid w:val="0032705D"/>
    <w:rsid w:val="0032718B"/>
    <w:rsid w:val="0032744B"/>
    <w:rsid w:val="00327554"/>
    <w:rsid w:val="0032799F"/>
    <w:rsid w:val="00327BFA"/>
    <w:rsid w:val="00327D7E"/>
    <w:rsid w:val="00327F81"/>
    <w:rsid w:val="00330749"/>
    <w:rsid w:val="003308E2"/>
    <w:rsid w:val="003309D1"/>
    <w:rsid w:val="00330A49"/>
    <w:rsid w:val="00330B60"/>
    <w:rsid w:val="00330F77"/>
    <w:rsid w:val="00331351"/>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E8"/>
    <w:rsid w:val="003437C5"/>
    <w:rsid w:val="003438A1"/>
    <w:rsid w:val="00343A6E"/>
    <w:rsid w:val="00343FD4"/>
    <w:rsid w:val="003440F9"/>
    <w:rsid w:val="00344149"/>
    <w:rsid w:val="003442F3"/>
    <w:rsid w:val="00344430"/>
    <w:rsid w:val="003448A3"/>
    <w:rsid w:val="00344B92"/>
    <w:rsid w:val="00344BB9"/>
    <w:rsid w:val="00344DD5"/>
    <w:rsid w:val="0034508D"/>
    <w:rsid w:val="003454F0"/>
    <w:rsid w:val="003455EE"/>
    <w:rsid w:val="003456BE"/>
    <w:rsid w:val="0034628A"/>
    <w:rsid w:val="003468D0"/>
    <w:rsid w:val="00346A98"/>
    <w:rsid w:val="00346BDE"/>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92B"/>
    <w:rsid w:val="00354D50"/>
    <w:rsid w:val="003557A2"/>
    <w:rsid w:val="00355982"/>
    <w:rsid w:val="00355C4E"/>
    <w:rsid w:val="003567D6"/>
    <w:rsid w:val="00356823"/>
    <w:rsid w:val="00356E3D"/>
    <w:rsid w:val="003572D7"/>
    <w:rsid w:val="003575AA"/>
    <w:rsid w:val="0035775C"/>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28B"/>
    <w:rsid w:val="0036440B"/>
    <w:rsid w:val="00364414"/>
    <w:rsid w:val="003646FE"/>
    <w:rsid w:val="0036482F"/>
    <w:rsid w:val="00364890"/>
    <w:rsid w:val="00364C92"/>
    <w:rsid w:val="0036506C"/>
    <w:rsid w:val="0036526E"/>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7012B"/>
    <w:rsid w:val="00370215"/>
    <w:rsid w:val="0037037C"/>
    <w:rsid w:val="003703D4"/>
    <w:rsid w:val="0037081F"/>
    <w:rsid w:val="003708F8"/>
    <w:rsid w:val="00370EC2"/>
    <w:rsid w:val="00370F17"/>
    <w:rsid w:val="0037114B"/>
    <w:rsid w:val="0037151A"/>
    <w:rsid w:val="00371561"/>
    <w:rsid w:val="00371998"/>
    <w:rsid w:val="00371D3A"/>
    <w:rsid w:val="00371FFA"/>
    <w:rsid w:val="0037216D"/>
    <w:rsid w:val="0037232D"/>
    <w:rsid w:val="00372461"/>
    <w:rsid w:val="00372505"/>
    <w:rsid w:val="003726B8"/>
    <w:rsid w:val="0037274C"/>
    <w:rsid w:val="00372BEA"/>
    <w:rsid w:val="00372E80"/>
    <w:rsid w:val="00373170"/>
    <w:rsid w:val="0037322E"/>
    <w:rsid w:val="003734FD"/>
    <w:rsid w:val="003736A5"/>
    <w:rsid w:val="00373B32"/>
    <w:rsid w:val="00373E7F"/>
    <w:rsid w:val="003740BF"/>
    <w:rsid w:val="003745DC"/>
    <w:rsid w:val="003745E4"/>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A46"/>
    <w:rsid w:val="00383CD6"/>
    <w:rsid w:val="00383E36"/>
    <w:rsid w:val="0038453E"/>
    <w:rsid w:val="0038465F"/>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926"/>
    <w:rsid w:val="00391DEE"/>
    <w:rsid w:val="00392444"/>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22C4"/>
    <w:rsid w:val="003A2461"/>
    <w:rsid w:val="003A286B"/>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FC8"/>
    <w:rsid w:val="003B013B"/>
    <w:rsid w:val="003B024F"/>
    <w:rsid w:val="003B0682"/>
    <w:rsid w:val="003B0BED"/>
    <w:rsid w:val="003B1019"/>
    <w:rsid w:val="003B12DF"/>
    <w:rsid w:val="003B1373"/>
    <w:rsid w:val="003B13AB"/>
    <w:rsid w:val="003B16AD"/>
    <w:rsid w:val="003B196B"/>
    <w:rsid w:val="003B1C92"/>
    <w:rsid w:val="003B1D92"/>
    <w:rsid w:val="003B2148"/>
    <w:rsid w:val="003B23BC"/>
    <w:rsid w:val="003B277C"/>
    <w:rsid w:val="003B2B70"/>
    <w:rsid w:val="003B2BDA"/>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A8F"/>
    <w:rsid w:val="003B6AC6"/>
    <w:rsid w:val="003B6D1C"/>
    <w:rsid w:val="003B6FC8"/>
    <w:rsid w:val="003B71E5"/>
    <w:rsid w:val="003B7431"/>
    <w:rsid w:val="003B7E7F"/>
    <w:rsid w:val="003C0CEE"/>
    <w:rsid w:val="003C0DBD"/>
    <w:rsid w:val="003C1058"/>
    <w:rsid w:val="003C1433"/>
    <w:rsid w:val="003C19CE"/>
    <w:rsid w:val="003C1C86"/>
    <w:rsid w:val="003C208F"/>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A41"/>
    <w:rsid w:val="003D1166"/>
    <w:rsid w:val="003D1243"/>
    <w:rsid w:val="003D13CE"/>
    <w:rsid w:val="003D159F"/>
    <w:rsid w:val="003D1B92"/>
    <w:rsid w:val="003D1C75"/>
    <w:rsid w:val="003D1C8F"/>
    <w:rsid w:val="003D2275"/>
    <w:rsid w:val="003D2819"/>
    <w:rsid w:val="003D293C"/>
    <w:rsid w:val="003D2E3C"/>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873"/>
    <w:rsid w:val="003D5D49"/>
    <w:rsid w:val="003D5FD6"/>
    <w:rsid w:val="003D65ED"/>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582"/>
    <w:rsid w:val="003E4845"/>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A3A"/>
    <w:rsid w:val="003F42D6"/>
    <w:rsid w:val="003F4CA0"/>
    <w:rsid w:val="003F4D1B"/>
    <w:rsid w:val="003F4D3E"/>
    <w:rsid w:val="003F57D4"/>
    <w:rsid w:val="003F5818"/>
    <w:rsid w:val="003F5922"/>
    <w:rsid w:val="003F5BB3"/>
    <w:rsid w:val="003F5D1D"/>
    <w:rsid w:val="003F6365"/>
    <w:rsid w:val="003F64A2"/>
    <w:rsid w:val="003F6745"/>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FDF"/>
    <w:rsid w:val="004100A9"/>
    <w:rsid w:val="004103C0"/>
    <w:rsid w:val="004103D4"/>
    <w:rsid w:val="00410481"/>
    <w:rsid w:val="00410511"/>
    <w:rsid w:val="0041059D"/>
    <w:rsid w:val="00410BD0"/>
    <w:rsid w:val="00410C35"/>
    <w:rsid w:val="00410DA8"/>
    <w:rsid w:val="00410DD2"/>
    <w:rsid w:val="00410E1F"/>
    <w:rsid w:val="0041149A"/>
    <w:rsid w:val="00411C83"/>
    <w:rsid w:val="00411E93"/>
    <w:rsid w:val="00411EF6"/>
    <w:rsid w:val="0041251F"/>
    <w:rsid w:val="004126E2"/>
    <w:rsid w:val="00412791"/>
    <w:rsid w:val="00412853"/>
    <w:rsid w:val="00412B61"/>
    <w:rsid w:val="00412FBD"/>
    <w:rsid w:val="004130BB"/>
    <w:rsid w:val="004136DE"/>
    <w:rsid w:val="00413B56"/>
    <w:rsid w:val="00413CDA"/>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5000"/>
    <w:rsid w:val="00425044"/>
    <w:rsid w:val="0042546A"/>
    <w:rsid w:val="00425783"/>
    <w:rsid w:val="00425925"/>
    <w:rsid w:val="00425A5E"/>
    <w:rsid w:val="00426011"/>
    <w:rsid w:val="0042602F"/>
    <w:rsid w:val="004261C8"/>
    <w:rsid w:val="00426293"/>
    <w:rsid w:val="00426552"/>
    <w:rsid w:val="004265F1"/>
    <w:rsid w:val="0042669E"/>
    <w:rsid w:val="004267A7"/>
    <w:rsid w:val="004269A5"/>
    <w:rsid w:val="00426F07"/>
    <w:rsid w:val="0042710E"/>
    <w:rsid w:val="00427656"/>
    <w:rsid w:val="00427729"/>
    <w:rsid w:val="0042799D"/>
    <w:rsid w:val="00427A7A"/>
    <w:rsid w:val="00427E42"/>
    <w:rsid w:val="0043089C"/>
    <w:rsid w:val="0043098D"/>
    <w:rsid w:val="00430CF7"/>
    <w:rsid w:val="00430D21"/>
    <w:rsid w:val="00430FB0"/>
    <w:rsid w:val="00431129"/>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990"/>
    <w:rsid w:val="00433A22"/>
    <w:rsid w:val="004340CC"/>
    <w:rsid w:val="004340F5"/>
    <w:rsid w:val="004343FF"/>
    <w:rsid w:val="004345CF"/>
    <w:rsid w:val="00434782"/>
    <w:rsid w:val="004347E4"/>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54F"/>
    <w:rsid w:val="0043785F"/>
    <w:rsid w:val="00437864"/>
    <w:rsid w:val="00437CF8"/>
    <w:rsid w:val="00440361"/>
    <w:rsid w:val="004405CB"/>
    <w:rsid w:val="004405D4"/>
    <w:rsid w:val="00440778"/>
    <w:rsid w:val="004407EB"/>
    <w:rsid w:val="00441115"/>
    <w:rsid w:val="00441324"/>
    <w:rsid w:val="004416F6"/>
    <w:rsid w:val="00441A74"/>
    <w:rsid w:val="00441D9E"/>
    <w:rsid w:val="0044247F"/>
    <w:rsid w:val="00442518"/>
    <w:rsid w:val="004428C7"/>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86B"/>
    <w:rsid w:val="004558F4"/>
    <w:rsid w:val="004559B7"/>
    <w:rsid w:val="00455D96"/>
    <w:rsid w:val="00455FC1"/>
    <w:rsid w:val="00456853"/>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7039"/>
    <w:rsid w:val="0046722E"/>
    <w:rsid w:val="00467A8B"/>
    <w:rsid w:val="00467AB5"/>
    <w:rsid w:val="00467AFF"/>
    <w:rsid w:val="00467D0F"/>
    <w:rsid w:val="00467DCE"/>
    <w:rsid w:val="004707F6"/>
    <w:rsid w:val="004708DD"/>
    <w:rsid w:val="00470957"/>
    <w:rsid w:val="00470C44"/>
    <w:rsid w:val="00470F39"/>
    <w:rsid w:val="00471055"/>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6C7"/>
    <w:rsid w:val="0048286D"/>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A3"/>
    <w:rsid w:val="00490FEE"/>
    <w:rsid w:val="00491266"/>
    <w:rsid w:val="0049161C"/>
    <w:rsid w:val="0049169F"/>
    <w:rsid w:val="00491799"/>
    <w:rsid w:val="004919E9"/>
    <w:rsid w:val="00491FB8"/>
    <w:rsid w:val="00492932"/>
    <w:rsid w:val="004929EC"/>
    <w:rsid w:val="004933D4"/>
    <w:rsid w:val="004934C5"/>
    <w:rsid w:val="00493688"/>
    <w:rsid w:val="00493726"/>
    <w:rsid w:val="00493913"/>
    <w:rsid w:val="00493C92"/>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ADE"/>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F99"/>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34"/>
    <w:rsid w:val="004C04F6"/>
    <w:rsid w:val="004C0E17"/>
    <w:rsid w:val="004C119F"/>
    <w:rsid w:val="004C129A"/>
    <w:rsid w:val="004C1495"/>
    <w:rsid w:val="004C14FC"/>
    <w:rsid w:val="004C1B07"/>
    <w:rsid w:val="004C1E30"/>
    <w:rsid w:val="004C1F24"/>
    <w:rsid w:val="004C26FB"/>
    <w:rsid w:val="004C3406"/>
    <w:rsid w:val="004C35E3"/>
    <w:rsid w:val="004C386B"/>
    <w:rsid w:val="004C3D75"/>
    <w:rsid w:val="004C3D98"/>
    <w:rsid w:val="004C3DDE"/>
    <w:rsid w:val="004C4247"/>
    <w:rsid w:val="004C4286"/>
    <w:rsid w:val="004C4415"/>
    <w:rsid w:val="004C460F"/>
    <w:rsid w:val="004C493C"/>
    <w:rsid w:val="004C4FDC"/>
    <w:rsid w:val="004C52DD"/>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A4B"/>
    <w:rsid w:val="004F4C01"/>
    <w:rsid w:val="004F50B5"/>
    <w:rsid w:val="004F5291"/>
    <w:rsid w:val="004F53CF"/>
    <w:rsid w:val="004F5484"/>
    <w:rsid w:val="004F548E"/>
    <w:rsid w:val="004F5C74"/>
    <w:rsid w:val="004F5CEC"/>
    <w:rsid w:val="004F5EDE"/>
    <w:rsid w:val="004F62E7"/>
    <w:rsid w:val="004F67D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101BE"/>
    <w:rsid w:val="005103F4"/>
    <w:rsid w:val="0051053F"/>
    <w:rsid w:val="005108EC"/>
    <w:rsid w:val="00510A28"/>
    <w:rsid w:val="00510C50"/>
    <w:rsid w:val="0051105A"/>
    <w:rsid w:val="00511411"/>
    <w:rsid w:val="0051181D"/>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BC"/>
    <w:rsid w:val="005241DC"/>
    <w:rsid w:val="00524354"/>
    <w:rsid w:val="00524666"/>
    <w:rsid w:val="0052485C"/>
    <w:rsid w:val="00524CC4"/>
    <w:rsid w:val="00524D60"/>
    <w:rsid w:val="00524F06"/>
    <w:rsid w:val="005253B3"/>
    <w:rsid w:val="00525FC2"/>
    <w:rsid w:val="00526397"/>
    <w:rsid w:val="005266A7"/>
    <w:rsid w:val="00526C12"/>
    <w:rsid w:val="00526FCF"/>
    <w:rsid w:val="00527079"/>
    <w:rsid w:val="00527194"/>
    <w:rsid w:val="005272A2"/>
    <w:rsid w:val="005272BA"/>
    <w:rsid w:val="00527B3D"/>
    <w:rsid w:val="00527BB8"/>
    <w:rsid w:val="00527C11"/>
    <w:rsid w:val="00527F46"/>
    <w:rsid w:val="00527F83"/>
    <w:rsid w:val="00530224"/>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34CD"/>
    <w:rsid w:val="00533587"/>
    <w:rsid w:val="005338F1"/>
    <w:rsid w:val="00533A59"/>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CCF"/>
    <w:rsid w:val="00540FC0"/>
    <w:rsid w:val="005413DD"/>
    <w:rsid w:val="005418EA"/>
    <w:rsid w:val="00541D17"/>
    <w:rsid w:val="00541D2F"/>
    <w:rsid w:val="00541F0A"/>
    <w:rsid w:val="00542434"/>
    <w:rsid w:val="0054292B"/>
    <w:rsid w:val="00542949"/>
    <w:rsid w:val="00542E28"/>
    <w:rsid w:val="00542FEA"/>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1555"/>
    <w:rsid w:val="00551852"/>
    <w:rsid w:val="0055186B"/>
    <w:rsid w:val="00551872"/>
    <w:rsid w:val="00551D4B"/>
    <w:rsid w:val="00551DC6"/>
    <w:rsid w:val="005520B8"/>
    <w:rsid w:val="0055225F"/>
    <w:rsid w:val="00552300"/>
    <w:rsid w:val="0055234F"/>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CAD"/>
    <w:rsid w:val="0057120A"/>
    <w:rsid w:val="005716BA"/>
    <w:rsid w:val="00571838"/>
    <w:rsid w:val="00571AD2"/>
    <w:rsid w:val="00571CC5"/>
    <w:rsid w:val="00571D5C"/>
    <w:rsid w:val="00571DF6"/>
    <w:rsid w:val="00571E53"/>
    <w:rsid w:val="005724F3"/>
    <w:rsid w:val="00572779"/>
    <w:rsid w:val="005727A9"/>
    <w:rsid w:val="0057290C"/>
    <w:rsid w:val="00572984"/>
    <w:rsid w:val="00572B2A"/>
    <w:rsid w:val="00572B31"/>
    <w:rsid w:val="00572BCE"/>
    <w:rsid w:val="00572C9F"/>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A5"/>
    <w:rsid w:val="005821BC"/>
    <w:rsid w:val="00582394"/>
    <w:rsid w:val="005831D1"/>
    <w:rsid w:val="005831F3"/>
    <w:rsid w:val="00583201"/>
    <w:rsid w:val="00583CFF"/>
    <w:rsid w:val="00584003"/>
    <w:rsid w:val="0058412F"/>
    <w:rsid w:val="0058472C"/>
    <w:rsid w:val="005847EE"/>
    <w:rsid w:val="00584905"/>
    <w:rsid w:val="005849CD"/>
    <w:rsid w:val="00584B23"/>
    <w:rsid w:val="00584B85"/>
    <w:rsid w:val="00584DA5"/>
    <w:rsid w:val="00585134"/>
    <w:rsid w:val="00585798"/>
    <w:rsid w:val="00585942"/>
    <w:rsid w:val="00585957"/>
    <w:rsid w:val="00585C22"/>
    <w:rsid w:val="0058620C"/>
    <w:rsid w:val="0058677E"/>
    <w:rsid w:val="00586B37"/>
    <w:rsid w:val="00586B93"/>
    <w:rsid w:val="005870F9"/>
    <w:rsid w:val="0058764B"/>
    <w:rsid w:val="0058789F"/>
    <w:rsid w:val="00587AE4"/>
    <w:rsid w:val="00587B46"/>
    <w:rsid w:val="005900AA"/>
    <w:rsid w:val="00590136"/>
    <w:rsid w:val="005901B6"/>
    <w:rsid w:val="005904F1"/>
    <w:rsid w:val="00590634"/>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7DA"/>
    <w:rsid w:val="00593873"/>
    <w:rsid w:val="00593D5F"/>
    <w:rsid w:val="00593E6C"/>
    <w:rsid w:val="00593EC4"/>
    <w:rsid w:val="00594726"/>
    <w:rsid w:val="00594A60"/>
    <w:rsid w:val="00594A8C"/>
    <w:rsid w:val="00594AA1"/>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AE"/>
    <w:rsid w:val="005B1108"/>
    <w:rsid w:val="005B1184"/>
    <w:rsid w:val="005B131A"/>
    <w:rsid w:val="005B1396"/>
    <w:rsid w:val="005B1DFC"/>
    <w:rsid w:val="005B2100"/>
    <w:rsid w:val="005B2115"/>
    <w:rsid w:val="005B24D1"/>
    <w:rsid w:val="005B2812"/>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475"/>
    <w:rsid w:val="005C1ADE"/>
    <w:rsid w:val="005C1D11"/>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DEB"/>
    <w:rsid w:val="005C7E14"/>
    <w:rsid w:val="005D0152"/>
    <w:rsid w:val="005D02BD"/>
    <w:rsid w:val="005D0411"/>
    <w:rsid w:val="005D1597"/>
    <w:rsid w:val="005D1638"/>
    <w:rsid w:val="005D17A3"/>
    <w:rsid w:val="005D1D42"/>
    <w:rsid w:val="005D1EE5"/>
    <w:rsid w:val="005D2283"/>
    <w:rsid w:val="005D271D"/>
    <w:rsid w:val="005D2776"/>
    <w:rsid w:val="005D279C"/>
    <w:rsid w:val="005D292B"/>
    <w:rsid w:val="005D2AD6"/>
    <w:rsid w:val="005D2EE2"/>
    <w:rsid w:val="005D318D"/>
    <w:rsid w:val="005D31E8"/>
    <w:rsid w:val="005D352F"/>
    <w:rsid w:val="005D3AF3"/>
    <w:rsid w:val="005D3E43"/>
    <w:rsid w:val="005D40C9"/>
    <w:rsid w:val="005D4D5A"/>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A0E"/>
    <w:rsid w:val="005F1E27"/>
    <w:rsid w:val="005F2063"/>
    <w:rsid w:val="005F2206"/>
    <w:rsid w:val="005F24D5"/>
    <w:rsid w:val="005F272E"/>
    <w:rsid w:val="005F275F"/>
    <w:rsid w:val="005F293D"/>
    <w:rsid w:val="005F2942"/>
    <w:rsid w:val="005F2E08"/>
    <w:rsid w:val="005F37C3"/>
    <w:rsid w:val="005F3806"/>
    <w:rsid w:val="005F3AF1"/>
    <w:rsid w:val="005F3BB8"/>
    <w:rsid w:val="005F3D64"/>
    <w:rsid w:val="005F3D68"/>
    <w:rsid w:val="005F3F72"/>
    <w:rsid w:val="005F4071"/>
    <w:rsid w:val="005F41B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FAC"/>
    <w:rsid w:val="00621040"/>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3C7"/>
    <w:rsid w:val="00625543"/>
    <w:rsid w:val="00625896"/>
    <w:rsid w:val="00625A23"/>
    <w:rsid w:val="00625BC9"/>
    <w:rsid w:val="00625C41"/>
    <w:rsid w:val="00625F5E"/>
    <w:rsid w:val="00626532"/>
    <w:rsid w:val="006265AB"/>
    <w:rsid w:val="006267D0"/>
    <w:rsid w:val="00626CC9"/>
    <w:rsid w:val="00626E0F"/>
    <w:rsid w:val="00626F65"/>
    <w:rsid w:val="00626F91"/>
    <w:rsid w:val="00626FB1"/>
    <w:rsid w:val="006272EA"/>
    <w:rsid w:val="006273EC"/>
    <w:rsid w:val="00627A89"/>
    <w:rsid w:val="00630591"/>
    <w:rsid w:val="00630AD0"/>
    <w:rsid w:val="00630C72"/>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E2E"/>
    <w:rsid w:val="00632E83"/>
    <w:rsid w:val="00632EA6"/>
    <w:rsid w:val="0063329E"/>
    <w:rsid w:val="00633364"/>
    <w:rsid w:val="00633D18"/>
    <w:rsid w:val="00633E7D"/>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669"/>
    <w:rsid w:val="006377C8"/>
    <w:rsid w:val="00637EBC"/>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39BD"/>
    <w:rsid w:val="00643A89"/>
    <w:rsid w:val="00643BB4"/>
    <w:rsid w:val="00643BE9"/>
    <w:rsid w:val="006440E1"/>
    <w:rsid w:val="00644602"/>
    <w:rsid w:val="006446FC"/>
    <w:rsid w:val="00644FFB"/>
    <w:rsid w:val="00645305"/>
    <w:rsid w:val="00645609"/>
    <w:rsid w:val="00645E72"/>
    <w:rsid w:val="006463FE"/>
    <w:rsid w:val="0064662C"/>
    <w:rsid w:val="00646AAE"/>
    <w:rsid w:val="00646AC7"/>
    <w:rsid w:val="00646F0A"/>
    <w:rsid w:val="00647793"/>
    <w:rsid w:val="00647B56"/>
    <w:rsid w:val="00647B80"/>
    <w:rsid w:val="00647D2F"/>
    <w:rsid w:val="00647D5E"/>
    <w:rsid w:val="00647E15"/>
    <w:rsid w:val="00647F84"/>
    <w:rsid w:val="00650221"/>
    <w:rsid w:val="006502F0"/>
    <w:rsid w:val="00650AF1"/>
    <w:rsid w:val="006516D9"/>
    <w:rsid w:val="00651827"/>
    <w:rsid w:val="0065191D"/>
    <w:rsid w:val="00651C3B"/>
    <w:rsid w:val="00651E7C"/>
    <w:rsid w:val="00651FC7"/>
    <w:rsid w:val="006525E6"/>
    <w:rsid w:val="00652613"/>
    <w:rsid w:val="00652671"/>
    <w:rsid w:val="00652705"/>
    <w:rsid w:val="006529BF"/>
    <w:rsid w:val="00652A5D"/>
    <w:rsid w:val="00652D50"/>
    <w:rsid w:val="00652F62"/>
    <w:rsid w:val="006531CD"/>
    <w:rsid w:val="00653545"/>
    <w:rsid w:val="006537CB"/>
    <w:rsid w:val="006539A4"/>
    <w:rsid w:val="00653AD8"/>
    <w:rsid w:val="00653CD7"/>
    <w:rsid w:val="00653F4C"/>
    <w:rsid w:val="00654121"/>
    <w:rsid w:val="0065433D"/>
    <w:rsid w:val="00654588"/>
    <w:rsid w:val="006547CC"/>
    <w:rsid w:val="00654A5C"/>
    <w:rsid w:val="00654C38"/>
    <w:rsid w:val="00654DB5"/>
    <w:rsid w:val="00654E59"/>
    <w:rsid w:val="00654E7E"/>
    <w:rsid w:val="006551BD"/>
    <w:rsid w:val="00655521"/>
    <w:rsid w:val="00655621"/>
    <w:rsid w:val="00655645"/>
    <w:rsid w:val="00655BF8"/>
    <w:rsid w:val="00656031"/>
    <w:rsid w:val="006560AB"/>
    <w:rsid w:val="006562A8"/>
    <w:rsid w:val="006562CB"/>
    <w:rsid w:val="006574B2"/>
    <w:rsid w:val="00657662"/>
    <w:rsid w:val="0065769A"/>
    <w:rsid w:val="00657BC5"/>
    <w:rsid w:val="00660112"/>
    <w:rsid w:val="0066020C"/>
    <w:rsid w:val="00660937"/>
    <w:rsid w:val="00660CC6"/>
    <w:rsid w:val="00660F16"/>
    <w:rsid w:val="00661283"/>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20A0"/>
    <w:rsid w:val="006725F5"/>
    <w:rsid w:val="0067262E"/>
    <w:rsid w:val="0067271B"/>
    <w:rsid w:val="00672CBF"/>
    <w:rsid w:val="00672D73"/>
    <w:rsid w:val="0067310D"/>
    <w:rsid w:val="006731BE"/>
    <w:rsid w:val="006733AE"/>
    <w:rsid w:val="0067340A"/>
    <w:rsid w:val="0067342E"/>
    <w:rsid w:val="00673554"/>
    <w:rsid w:val="00673CF5"/>
    <w:rsid w:val="006740A5"/>
    <w:rsid w:val="006740EF"/>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951"/>
    <w:rsid w:val="00680979"/>
    <w:rsid w:val="00680EF7"/>
    <w:rsid w:val="0068108D"/>
    <w:rsid w:val="006810ED"/>
    <w:rsid w:val="00681606"/>
    <w:rsid w:val="006817C5"/>
    <w:rsid w:val="006818CE"/>
    <w:rsid w:val="006819B1"/>
    <w:rsid w:val="00681E96"/>
    <w:rsid w:val="00682023"/>
    <w:rsid w:val="00682107"/>
    <w:rsid w:val="006823AF"/>
    <w:rsid w:val="0068247A"/>
    <w:rsid w:val="0068267F"/>
    <w:rsid w:val="006829A8"/>
    <w:rsid w:val="00682AA5"/>
    <w:rsid w:val="00683104"/>
    <w:rsid w:val="00683424"/>
    <w:rsid w:val="0068399C"/>
    <w:rsid w:val="00683A1C"/>
    <w:rsid w:val="00683B04"/>
    <w:rsid w:val="0068415F"/>
    <w:rsid w:val="0068436F"/>
    <w:rsid w:val="00684491"/>
    <w:rsid w:val="00684586"/>
    <w:rsid w:val="00684CE2"/>
    <w:rsid w:val="00685534"/>
    <w:rsid w:val="00685A1B"/>
    <w:rsid w:val="00685D24"/>
    <w:rsid w:val="00685DB8"/>
    <w:rsid w:val="00685F40"/>
    <w:rsid w:val="006861B7"/>
    <w:rsid w:val="0068628E"/>
    <w:rsid w:val="006864BD"/>
    <w:rsid w:val="006868F7"/>
    <w:rsid w:val="00686999"/>
    <w:rsid w:val="00687153"/>
    <w:rsid w:val="006873B0"/>
    <w:rsid w:val="0068787E"/>
    <w:rsid w:val="0068793F"/>
    <w:rsid w:val="00687F89"/>
    <w:rsid w:val="00687FD6"/>
    <w:rsid w:val="006900F0"/>
    <w:rsid w:val="00690577"/>
    <w:rsid w:val="00690988"/>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A0015"/>
    <w:rsid w:val="006A0090"/>
    <w:rsid w:val="006A067A"/>
    <w:rsid w:val="006A0724"/>
    <w:rsid w:val="006A0740"/>
    <w:rsid w:val="006A0A52"/>
    <w:rsid w:val="006A0AC7"/>
    <w:rsid w:val="006A0BD5"/>
    <w:rsid w:val="006A0E29"/>
    <w:rsid w:val="006A0F2E"/>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7AAD"/>
    <w:rsid w:val="006C00E1"/>
    <w:rsid w:val="006C02A7"/>
    <w:rsid w:val="006C0346"/>
    <w:rsid w:val="006C062F"/>
    <w:rsid w:val="006C063F"/>
    <w:rsid w:val="006C064B"/>
    <w:rsid w:val="006C0A14"/>
    <w:rsid w:val="006C10CE"/>
    <w:rsid w:val="006C15B5"/>
    <w:rsid w:val="006C1A33"/>
    <w:rsid w:val="006C20B6"/>
    <w:rsid w:val="006C215D"/>
    <w:rsid w:val="006C2420"/>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F4"/>
    <w:rsid w:val="006D3C6D"/>
    <w:rsid w:val="006D3EA8"/>
    <w:rsid w:val="006D3F03"/>
    <w:rsid w:val="006D3FCB"/>
    <w:rsid w:val="006D40C8"/>
    <w:rsid w:val="006D434B"/>
    <w:rsid w:val="006D461B"/>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E7C"/>
    <w:rsid w:val="006E2EEC"/>
    <w:rsid w:val="006E2FC3"/>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40"/>
    <w:rsid w:val="00701EBC"/>
    <w:rsid w:val="007023B3"/>
    <w:rsid w:val="00702877"/>
    <w:rsid w:val="00702EA5"/>
    <w:rsid w:val="00703368"/>
    <w:rsid w:val="00703445"/>
    <w:rsid w:val="00703932"/>
    <w:rsid w:val="0070440D"/>
    <w:rsid w:val="007044B0"/>
    <w:rsid w:val="00704604"/>
    <w:rsid w:val="00704A70"/>
    <w:rsid w:val="00704CF5"/>
    <w:rsid w:val="00704D4A"/>
    <w:rsid w:val="00704FCC"/>
    <w:rsid w:val="0070559C"/>
    <w:rsid w:val="00705813"/>
    <w:rsid w:val="00705A46"/>
    <w:rsid w:val="00705CB5"/>
    <w:rsid w:val="00705E6E"/>
    <w:rsid w:val="007063C4"/>
    <w:rsid w:val="007063E1"/>
    <w:rsid w:val="00706C0A"/>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11B8"/>
    <w:rsid w:val="0071154A"/>
    <w:rsid w:val="00711859"/>
    <w:rsid w:val="00711CC1"/>
    <w:rsid w:val="007122F9"/>
    <w:rsid w:val="0071230B"/>
    <w:rsid w:val="007123E7"/>
    <w:rsid w:val="007126BA"/>
    <w:rsid w:val="00712CEC"/>
    <w:rsid w:val="00712F37"/>
    <w:rsid w:val="007135CA"/>
    <w:rsid w:val="00713767"/>
    <w:rsid w:val="00713D53"/>
    <w:rsid w:val="00713DA7"/>
    <w:rsid w:val="00713E3C"/>
    <w:rsid w:val="00713EBC"/>
    <w:rsid w:val="00713ECC"/>
    <w:rsid w:val="007143AF"/>
    <w:rsid w:val="00714918"/>
    <w:rsid w:val="0071529B"/>
    <w:rsid w:val="0071531E"/>
    <w:rsid w:val="0071559A"/>
    <w:rsid w:val="00715620"/>
    <w:rsid w:val="0071574E"/>
    <w:rsid w:val="0071581D"/>
    <w:rsid w:val="0071583F"/>
    <w:rsid w:val="00715AC1"/>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633"/>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24B"/>
    <w:rsid w:val="007263D7"/>
    <w:rsid w:val="00726475"/>
    <w:rsid w:val="007266E5"/>
    <w:rsid w:val="00726FDF"/>
    <w:rsid w:val="00727101"/>
    <w:rsid w:val="00727592"/>
    <w:rsid w:val="007278B7"/>
    <w:rsid w:val="00727B67"/>
    <w:rsid w:val="0073013F"/>
    <w:rsid w:val="007302B8"/>
    <w:rsid w:val="00730509"/>
    <w:rsid w:val="0073083B"/>
    <w:rsid w:val="00730892"/>
    <w:rsid w:val="00730AC0"/>
    <w:rsid w:val="0073110E"/>
    <w:rsid w:val="007316EB"/>
    <w:rsid w:val="00731853"/>
    <w:rsid w:val="00731AA5"/>
    <w:rsid w:val="00731B34"/>
    <w:rsid w:val="00732545"/>
    <w:rsid w:val="00733219"/>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76A"/>
    <w:rsid w:val="00737940"/>
    <w:rsid w:val="00737D45"/>
    <w:rsid w:val="00737EA9"/>
    <w:rsid w:val="00740178"/>
    <w:rsid w:val="0074022D"/>
    <w:rsid w:val="007407F5"/>
    <w:rsid w:val="00740891"/>
    <w:rsid w:val="007409C7"/>
    <w:rsid w:val="00740D77"/>
    <w:rsid w:val="007412D3"/>
    <w:rsid w:val="0074143F"/>
    <w:rsid w:val="0074192A"/>
    <w:rsid w:val="00741B0C"/>
    <w:rsid w:val="00741DCC"/>
    <w:rsid w:val="00742263"/>
    <w:rsid w:val="00742341"/>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E1"/>
    <w:rsid w:val="0075093C"/>
    <w:rsid w:val="00750A49"/>
    <w:rsid w:val="00750AC5"/>
    <w:rsid w:val="00750E7B"/>
    <w:rsid w:val="007512B6"/>
    <w:rsid w:val="007513F2"/>
    <w:rsid w:val="00751481"/>
    <w:rsid w:val="00751ACF"/>
    <w:rsid w:val="00751ADF"/>
    <w:rsid w:val="00751BF6"/>
    <w:rsid w:val="007521AD"/>
    <w:rsid w:val="0075239A"/>
    <w:rsid w:val="007529C9"/>
    <w:rsid w:val="00753312"/>
    <w:rsid w:val="00753562"/>
    <w:rsid w:val="0075391C"/>
    <w:rsid w:val="00753BD7"/>
    <w:rsid w:val="00754AA2"/>
    <w:rsid w:val="00754C3B"/>
    <w:rsid w:val="00755136"/>
    <w:rsid w:val="007554AD"/>
    <w:rsid w:val="00755B12"/>
    <w:rsid w:val="00755C16"/>
    <w:rsid w:val="00755E2D"/>
    <w:rsid w:val="0075635A"/>
    <w:rsid w:val="007563E6"/>
    <w:rsid w:val="00756638"/>
    <w:rsid w:val="00756B13"/>
    <w:rsid w:val="00756F1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7007E"/>
    <w:rsid w:val="00770125"/>
    <w:rsid w:val="0077037E"/>
    <w:rsid w:val="00770625"/>
    <w:rsid w:val="0077068D"/>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963"/>
    <w:rsid w:val="00772A16"/>
    <w:rsid w:val="00772ADF"/>
    <w:rsid w:val="00772FFD"/>
    <w:rsid w:val="00773053"/>
    <w:rsid w:val="007730D5"/>
    <w:rsid w:val="007730D8"/>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74CF"/>
    <w:rsid w:val="007776B9"/>
    <w:rsid w:val="00777988"/>
    <w:rsid w:val="007779D7"/>
    <w:rsid w:val="00777A0F"/>
    <w:rsid w:val="00777D3E"/>
    <w:rsid w:val="00777D82"/>
    <w:rsid w:val="00780445"/>
    <w:rsid w:val="007804E7"/>
    <w:rsid w:val="00780973"/>
    <w:rsid w:val="00780B79"/>
    <w:rsid w:val="00780BAF"/>
    <w:rsid w:val="0078127D"/>
    <w:rsid w:val="0078149D"/>
    <w:rsid w:val="00781631"/>
    <w:rsid w:val="00781840"/>
    <w:rsid w:val="00781ADE"/>
    <w:rsid w:val="00781F86"/>
    <w:rsid w:val="0078225A"/>
    <w:rsid w:val="00782812"/>
    <w:rsid w:val="00782C62"/>
    <w:rsid w:val="00782D8D"/>
    <w:rsid w:val="00782F94"/>
    <w:rsid w:val="00783631"/>
    <w:rsid w:val="00783822"/>
    <w:rsid w:val="00784026"/>
    <w:rsid w:val="00784276"/>
    <w:rsid w:val="00784318"/>
    <w:rsid w:val="007847D8"/>
    <w:rsid w:val="00784896"/>
    <w:rsid w:val="00784BEF"/>
    <w:rsid w:val="00784EBE"/>
    <w:rsid w:val="0078514E"/>
    <w:rsid w:val="0078548B"/>
    <w:rsid w:val="007855E6"/>
    <w:rsid w:val="00785A88"/>
    <w:rsid w:val="00785B1E"/>
    <w:rsid w:val="00785C94"/>
    <w:rsid w:val="00786CB3"/>
    <w:rsid w:val="00786D76"/>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411E"/>
    <w:rsid w:val="007A49EC"/>
    <w:rsid w:val="007A51B4"/>
    <w:rsid w:val="007A51DF"/>
    <w:rsid w:val="007A5363"/>
    <w:rsid w:val="007A5395"/>
    <w:rsid w:val="007A55CA"/>
    <w:rsid w:val="007A581B"/>
    <w:rsid w:val="007A5FDE"/>
    <w:rsid w:val="007A6177"/>
    <w:rsid w:val="007A652E"/>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DAC"/>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C019D"/>
    <w:rsid w:val="007C01E7"/>
    <w:rsid w:val="007C045C"/>
    <w:rsid w:val="007C0619"/>
    <w:rsid w:val="007C0976"/>
    <w:rsid w:val="007C0C5A"/>
    <w:rsid w:val="007C0C60"/>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8EB"/>
    <w:rsid w:val="007D1938"/>
    <w:rsid w:val="007D1F5D"/>
    <w:rsid w:val="007D2282"/>
    <w:rsid w:val="007D23DF"/>
    <w:rsid w:val="007D255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E0189"/>
    <w:rsid w:val="007E04DD"/>
    <w:rsid w:val="007E0EF6"/>
    <w:rsid w:val="007E147A"/>
    <w:rsid w:val="007E1868"/>
    <w:rsid w:val="007E18D7"/>
    <w:rsid w:val="007E1B0B"/>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2471"/>
    <w:rsid w:val="007F27A2"/>
    <w:rsid w:val="007F284E"/>
    <w:rsid w:val="007F2A38"/>
    <w:rsid w:val="007F2C1B"/>
    <w:rsid w:val="007F311B"/>
    <w:rsid w:val="007F34FC"/>
    <w:rsid w:val="007F37C2"/>
    <w:rsid w:val="007F3D81"/>
    <w:rsid w:val="007F3DE8"/>
    <w:rsid w:val="007F3F96"/>
    <w:rsid w:val="007F4172"/>
    <w:rsid w:val="007F4C4F"/>
    <w:rsid w:val="007F5406"/>
    <w:rsid w:val="007F555E"/>
    <w:rsid w:val="007F598D"/>
    <w:rsid w:val="007F5B5C"/>
    <w:rsid w:val="007F5DC6"/>
    <w:rsid w:val="007F663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B6D"/>
    <w:rsid w:val="00820D12"/>
    <w:rsid w:val="00820FD7"/>
    <w:rsid w:val="0082100A"/>
    <w:rsid w:val="008212E4"/>
    <w:rsid w:val="00821990"/>
    <w:rsid w:val="00822051"/>
    <w:rsid w:val="008222BE"/>
    <w:rsid w:val="008223DB"/>
    <w:rsid w:val="00822772"/>
    <w:rsid w:val="008227E2"/>
    <w:rsid w:val="00822995"/>
    <w:rsid w:val="00822EE9"/>
    <w:rsid w:val="0082303F"/>
    <w:rsid w:val="00823965"/>
    <w:rsid w:val="00823FBC"/>
    <w:rsid w:val="008243CE"/>
    <w:rsid w:val="008244BF"/>
    <w:rsid w:val="00824547"/>
    <w:rsid w:val="00824765"/>
    <w:rsid w:val="00824EB2"/>
    <w:rsid w:val="00824F86"/>
    <w:rsid w:val="00825428"/>
    <w:rsid w:val="0082548D"/>
    <w:rsid w:val="00825E57"/>
    <w:rsid w:val="00826163"/>
    <w:rsid w:val="00826222"/>
    <w:rsid w:val="00826562"/>
    <w:rsid w:val="00826BAC"/>
    <w:rsid w:val="00826EB1"/>
    <w:rsid w:val="008271D4"/>
    <w:rsid w:val="008272BE"/>
    <w:rsid w:val="00827493"/>
    <w:rsid w:val="008275B3"/>
    <w:rsid w:val="008278AC"/>
    <w:rsid w:val="00827A15"/>
    <w:rsid w:val="00827B4F"/>
    <w:rsid w:val="00827FE7"/>
    <w:rsid w:val="00830A2D"/>
    <w:rsid w:val="00830A77"/>
    <w:rsid w:val="00830A81"/>
    <w:rsid w:val="00830BD7"/>
    <w:rsid w:val="00830CEB"/>
    <w:rsid w:val="008314A1"/>
    <w:rsid w:val="00831674"/>
    <w:rsid w:val="00831FE4"/>
    <w:rsid w:val="00832197"/>
    <w:rsid w:val="008322AA"/>
    <w:rsid w:val="00832BFD"/>
    <w:rsid w:val="00833B5D"/>
    <w:rsid w:val="00833EAF"/>
    <w:rsid w:val="008340C9"/>
    <w:rsid w:val="008340F5"/>
    <w:rsid w:val="00834190"/>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40208"/>
    <w:rsid w:val="00840696"/>
    <w:rsid w:val="0084089A"/>
    <w:rsid w:val="00840D2E"/>
    <w:rsid w:val="00840E65"/>
    <w:rsid w:val="00840EE8"/>
    <w:rsid w:val="00840F6A"/>
    <w:rsid w:val="00841011"/>
    <w:rsid w:val="00841343"/>
    <w:rsid w:val="00841462"/>
    <w:rsid w:val="00841737"/>
    <w:rsid w:val="00841AFD"/>
    <w:rsid w:val="00841B7C"/>
    <w:rsid w:val="00841B9D"/>
    <w:rsid w:val="00841E89"/>
    <w:rsid w:val="00841F62"/>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36F"/>
    <w:rsid w:val="00862AB5"/>
    <w:rsid w:val="00862D31"/>
    <w:rsid w:val="00862F75"/>
    <w:rsid w:val="00863752"/>
    <w:rsid w:val="00863949"/>
    <w:rsid w:val="00863D05"/>
    <w:rsid w:val="00863EB2"/>
    <w:rsid w:val="0086401E"/>
    <w:rsid w:val="00864043"/>
    <w:rsid w:val="008641BD"/>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CE"/>
    <w:rsid w:val="0088479B"/>
    <w:rsid w:val="00884A6F"/>
    <w:rsid w:val="00884A90"/>
    <w:rsid w:val="00884C5A"/>
    <w:rsid w:val="00884E33"/>
    <w:rsid w:val="00884ED0"/>
    <w:rsid w:val="00884EDB"/>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A03"/>
    <w:rsid w:val="008A3B91"/>
    <w:rsid w:val="008A4A93"/>
    <w:rsid w:val="008A4AAF"/>
    <w:rsid w:val="008A4B78"/>
    <w:rsid w:val="008A4B7E"/>
    <w:rsid w:val="008A4E03"/>
    <w:rsid w:val="008A5015"/>
    <w:rsid w:val="008A562C"/>
    <w:rsid w:val="008A571C"/>
    <w:rsid w:val="008A5956"/>
    <w:rsid w:val="008A5E34"/>
    <w:rsid w:val="008A633B"/>
    <w:rsid w:val="008A6717"/>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BDC"/>
    <w:rsid w:val="008C2DDD"/>
    <w:rsid w:val="008C3289"/>
    <w:rsid w:val="008C3350"/>
    <w:rsid w:val="008C35FE"/>
    <w:rsid w:val="008C36C1"/>
    <w:rsid w:val="008C3A7D"/>
    <w:rsid w:val="008C3A85"/>
    <w:rsid w:val="008C3CBE"/>
    <w:rsid w:val="008C4076"/>
    <w:rsid w:val="008C43D0"/>
    <w:rsid w:val="008C452A"/>
    <w:rsid w:val="008C466C"/>
    <w:rsid w:val="008C4D55"/>
    <w:rsid w:val="008C4F6B"/>
    <w:rsid w:val="008C5F6E"/>
    <w:rsid w:val="008C603C"/>
    <w:rsid w:val="008C648F"/>
    <w:rsid w:val="008C69F0"/>
    <w:rsid w:val="008C6BBC"/>
    <w:rsid w:val="008C6DC1"/>
    <w:rsid w:val="008C7991"/>
    <w:rsid w:val="008C7B0F"/>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EF9"/>
    <w:rsid w:val="008D31AA"/>
    <w:rsid w:val="008D3C6C"/>
    <w:rsid w:val="008D4AAF"/>
    <w:rsid w:val="008D4AD9"/>
    <w:rsid w:val="008D4B36"/>
    <w:rsid w:val="008D4D56"/>
    <w:rsid w:val="008D4FB9"/>
    <w:rsid w:val="008D5204"/>
    <w:rsid w:val="008D5259"/>
    <w:rsid w:val="008D5845"/>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DB1"/>
    <w:rsid w:val="008E10FE"/>
    <w:rsid w:val="008E1552"/>
    <w:rsid w:val="008E2262"/>
    <w:rsid w:val="008E25DF"/>
    <w:rsid w:val="008E263A"/>
    <w:rsid w:val="008E26C8"/>
    <w:rsid w:val="008E2E40"/>
    <w:rsid w:val="008E3023"/>
    <w:rsid w:val="008E35DC"/>
    <w:rsid w:val="008E396B"/>
    <w:rsid w:val="008E3A6B"/>
    <w:rsid w:val="008E3AB4"/>
    <w:rsid w:val="008E4060"/>
    <w:rsid w:val="008E4266"/>
    <w:rsid w:val="008E44A0"/>
    <w:rsid w:val="008E4563"/>
    <w:rsid w:val="008E4DA5"/>
    <w:rsid w:val="008E4E11"/>
    <w:rsid w:val="008E4EC3"/>
    <w:rsid w:val="008E508E"/>
    <w:rsid w:val="008E52D3"/>
    <w:rsid w:val="008E5378"/>
    <w:rsid w:val="008E537F"/>
    <w:rsid w:val="008E5515"/>
    <w:rsid w:val="008E57C8"/>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D0"/>
    <w:rsid w:val="008E784A"/>
    <w:rsid w:val="008F0023"/>
    <w:rsid w:val="008F041B"/>
    <w:rsid w:val="008F063A"/>
    <w:rsid w:val="008F0A82"/>
    <w:rsid w:val="008F0BCD"/>
    <w:rsid w:val="008F0D6B"/>
    <w:rsid w:val="008F0F9C"/>
    <w:rsid w:val="008F10AA"/>
    <w:rsid w:val="008F1196"/>
    <w:rsid w:val="008F12DB"/>
    <w:rsid w:val="008F13EE"/>
    <w:rsid w:val="008F1787"/>
    <w:rsid w:val="008F17AB"/>
    <w:rsid w:val="008F1D37"/>
    <w:rsid w:val="008F1F6E"/>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4FF"/>
    <w:rsid w:val="008F6592"/>
    <w:rsid w:val="008F69DD"/>
    <w:rsid w:val="008F722F"/>
    <w:rsid w:val="008F764B"/>
    <w:rsid w:val="008F7EDE"/>
    <w:rsid w:val="008F7FCC"/>
    <w:rsid w:val="00900472"/>
    <w:rsid w:val="009008D0"/>
    <w:rsid w:val="0090091A"/>
    <w:rsid w:val="009009DE"/>
    <w:rsid w:val="00900C98"/>
    <w:rsid w:val="00900DAE"/>
    <w:rsid w:val="00900EE2"/>
    <w:rsid w:val="00901C00"/>
    <w:rsid w:val="00901C14"/>
    <w:rsid w:val="00901C75"/>
    <w:rsid w:val="00902582"/>
    <w:rsid w:val="00902C1C"/>
    <w:rsid w:val="00902C5C"/>
    <w:rsid w:val="00902E40"/>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FB9"/>
    <w:rsid w:val="00915FF0"/>
    <w:rsid w:val="00916139"/>
    <w:rsid w:val="0091623B"/>
    <w:rsid w:val="00916449"/>
    <w:rsid w:val="009164D3"/>
    <w:rsid w:val="00916596"/>
    <w:rsid w:val="00916BD8"/>
    <w:rsid w:val="00916EF2"/>
    <w:rsid w:val="00916FA1"/>
    <w:rsid w:val="0091740A"/>
    <w:rsid w:val="00917658"/>
    <w:rsid w:val="009178C8"/>
    <w:rsid w:val="00917B83"/>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0D4D"/>
    <w:rsid w:val="0093173B"/>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7079"/>
    <w:rsid w:val="0093734F"/>
    <w:rsid w:val="00937371"/>
    <w:rsid w:val="009375A2"/>
    <w:rsid w:val="00937716"/>
    <w:rsid w:val="009403BD"/>
    <w:rsid w:val="009403C4"/>
    <w:rsid w:val="009406B9"/>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3970"/>
    <w:rsid w:val="00943A68"/>
    <w:rsid w:val="00943CE5"/>
    <w:rsid w:val="00943D10"/>
    <w:rsid w:val="00943E96"/>
    <w:rsid w:val="00943F28"/>
    <w:rsid w:val="00944005"/>
    <w:rsid w:val="00944067"/>
    <w:rsid w:val="0094465B"/>
    <w:rsid w:val="0094495A"/>
    <w:rsid w:val="00945A71"/>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2A95"/>
    <w:rsid w:val="00962EED"/>
    <w:rsid w:val="00962F3C"/>
    <w:rsid w:val="0096310D"/>
    <w:rsid w:val="00963113"/>
    <w:rsid w:val="0096347D"/>
    <w:rsid w:val="009636E4"/>
    <w:rsid w:val="00963916"/>
    <w:rsid w:val="00963A2A"/>
    <w:rsid w:val="00963B67"/>
    <w:rsid w:val="00964882"/>
    <w:rsid w:val="00964A54"/>
    <w:rsid w:val="00965164"/>
    <w:rsid w:val="009653C5"/>
    <w:rsid w:val="00965568"/>
    <w:rsid w:val="009655F0"/>
    <w:rsid w:val="00965930"/>
    <w:rsid w:val="00965FED"/>
    <w:rsid w:val="00965FFC"/>
    <w:rsid w:val="009662CF"/>
    <w:rsid w:val="0096661F"/>
    <w:rsid w:val="009666B3"/>
    <w:rsid w:val="00966B1C"/>
    <w:rsid w:val="009671DE"/>
    <w:rsid w:val="009673CD"/>
    <w:rsid w:val="009676F3"/>
    <w:rsid w:val="00967C5E"/>
    <w:rsid w:val="00967CAE"/>
    <w:rsid w:val="009709B0"/>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834"/>
    <w:rsid w:val="0098087E"/>
    <w:rsid w:val="009809E7"/>
    <w:rsid w:val="00980EF2"/>
    <w:rsid w:val="009814E3"/>
    <w:rsid w:val="00981A28"/>
    <w:rsid w:val="00981B2B"/>
    <w:rsid w:val="00981BEC"/>
    <w:rsid w:val="00981D3E"/>
    <w:rsid w:val="00981DFA"/>
    <w:rsid w:val="0098260B"/>
    <w:rsid w:val="00983A7C"/>
    <w:rsid w:val="00984052"/>
    <w:rsid w:val="009846AF"/>
    <w:rsid w:val="0098487E"/>
    <w:rsid w:val="00984AED"/>
    <w:rsid w:val="00984C3F"/>
    <w:rsid w:val="00984E6C"/>
    <w:rsid w:val="00984F91"/>
    <w:rsid w:val="00985174"/>
    <w:rsid w:val="0098535F"/>
    <w:rsid w:val="0098555E"/>
    <w:rsid w:val="009856A4"/>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BA0"/>
    <w:rsid w:val="00991DD9"/>
    <w:rsid w:val="00991FCB"/>
    <w:rsid w:val="0099224C"/>
    <w:rsid w:val="00992377"/>
    <w:rsid w:val="0099261B"/>
    <w:rsid w:val="009926E6"/>
    <w:rsid w:val="00992CCC"/>
    <w:rsid w:val="00992D91"/>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653"/>
    <w:rsid w:val="009A77DC"/>
    <w:rsid w:val="009B013F"/>
    <w:rsid w:val="009B06F9"/>
    <w:rsid w:val="009B0760"/>
    <w:rsid w:val="009B08B8"/>
    <w:rsid w:val="009B0CD0"/>
    <w:rsid w:val="009B0E23"/>
    <w:rsid w:val="009B119F"/>
    <w:rsid w:val="009B12B2"/>
    <w:rsid w:val="009B1438"/>
    <w:rsid w:val="009B1C05"/>
    <w:rsid w:val="009B1C0E"/>
    <w:rsid w:val="009B21FC"/>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AC6"/>
    <w:rsid w:val="009C5B93"/>
    <w:rsid w:val="009C5E31"/>
    <w:rsid w:val="009C5EB3"/>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504E"/>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E98"/>
    <w:rsid w:val="009E6E9B"/>
    <w:rsid w:val="009E7007"/>
    <w:rsid w:val="009E70EF"/>
    <w:rsid w:val="009E7468"/>
    <w:rsid w:val="009E7506"/>
    <w:rsid w:val="009E792E"/>
    <w:rsid w:val="009E7F1B"/>
    <w:rsid w:val="009F05F2"/>
    <w:rsid w:val="009F062A"/>
    <w:rsid w:val="009F0BDB"/>
    <w:rsid w:val="009F1250"/>
    <w:rsid w:val="009F142E"/>
    <w:rsid w:val="009F152B"/>
    <w:rsid w:val="009F1726"/>
    <w:rsid w:val="009F1990"/>
    <w:rsid w:val="009F1D93"/>
    <w:rsid w:val="009F1F63"/>
    <w:rsid w:val="009F22E4"/>
    <w:rsid w:val="009F232D"/>
    <w:rsid w:val="009F23CF"/>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792"/>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E4"/>
    <w:rsid w:val="00A01C74"/>
    <w:rsid w:val="00A01CA6"/>
    <w:rsid w:val="00A01FD6"/>
    <w:rsid w:val="00A02093"/>
    <w:rsid w:val="00A020BD"/>
    <w:rsid w:val="00A0257B"/>
    <w:rsid w:val="00A0289C"/>
    <w:rsid w:val="00A02A0F"/>
    <w:rsid w:val="00A02C60"/>
    <w:rsid w:val="00A02D45"/>
    <w:rsid w:val="00A0300D"/>
    <w:rsid w:val="00A0357D"/>
    <w:rsid w:val="00A0414F"/>
    <w:rsid w:val="00A04926"/>
    <w:rsid w:val="00A05087"/>
    <w:rsid w:val="00A05237"/>
    <w:rsid w:val="00A0550C"/>
    <w:rsid w:val="00A05578"/>
    <w:rsid w:val="00A056C1"/>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D0"/>
    <w:rsid w:val="00A13924"/>
    <w:rsid w:val="00A1393F"/>
    <w:rsid w:val="00A13B91"/>
    <w:rsid w:val="00A14348"/>
    <w:rsid w:val="00A143FB"/>
    <w:rsid w:val="00A1462B"/>
    <w:rsid w:val="00A15026"/>
    <w:rsid w:val="00A150EC"/>
    <w:rsid w:val="00A15749"/>
    <w:rsid w:val="00A1582C"/>
    <w:rsid w:val="00A15DEB"/>
    <w:rsid w:val="00A1615F"/>
    <w:rsid w:val="00A16A71"/>
    <w:rsid w:val="00A16C26"/>
    <w:rsid w:val="00A16EBA"/>
    <w:rsid w:val="00A174E6"/>
    <w:rsid w:val="00A175DE"/>
    <w:rsid w:val="00A17736"/>
    <w:rsid w:val="00A1775A"/>
    <w:rsid w:val="00A17BE3"/>
    <w:rsid w:val="00A17D29"/>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302BB"/>
    <w:rsid w:val="00A30313"/>
    <w:rsid w:val="00A3031E"/>
    <w:rsid w:val="00A30358"/>
    <w:rsid w:val="00A308B6"/>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78CB"/>
    <w:rsid w:val="00A37BE0"/>
    <w:rsid w:val="00A37C27"/>
    <w:rsid w:val="00A40022"/>
    <w:rsid w:val="00A400DB"/>
    <w:rsid w:val="00A40132"/>
    <w:rsid w:val="00A40166"/>
    <w:rsid w:val="00A4017F"/>
    <w:rsid w:val="00A40187"/>
    <w:rsid w:val="00A4023C"/>
    <w:rsid w:val="00A40371"/>
    <w:rsid w:val="00A41237"/>
    <w:rsid w:val="00A4135C"/>
    <w:rsid w:val="00A41405"/>
    <w:rsid w:val="00A41548"/>
    <w:rsid w:val="00A41611"/>
    <w:rsid w:val="00A419F4"/>
    <w:rsid w:val="00A41A12"/>
    <w:rsid w:val="00A41C93"/>
    <w:rsid w:val="00A41E12"/>
    <w:rsid w:val="00A41EDA"/>
    <w:rsid w:val="00A423B9"/>
    <w:rsid w:val="00A4264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52E6"/>
    <w:rsid w:val="00A452ED"/>
    <w:rsid w:val="00A45496"/>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A60"/>
    <w:rsid w:val="00A54F6B"/>
    <w:rsid w:val="00A54F6F"/>
    <w:rsid w:val="00A54FBA"/>
    <w:rsid w:val="00A55004"/>
    <w:rsid w:val="00A5508C"/>
    <w:rsid w:val="00A556E6"/>
    <w:rsid w:val="00A55BA3"/>
    <w:rsid w:val="00A55CC2"/>
    <w:rsid w:val="00A56027"/>
    <w:rsid w:val="00A561AB"/>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43A"/>
    <w:rsid w:val="00A64614"/>
    <w:rsid w:val="00A649D9"/>
    <w:rsid w:val="00A64EA2"/>
    <w:rsid w:val="00A64F1A"/>
    <w:rsid w:val="00A651A8"/>
    <w:rsid w:val="00A651C0"/>
    <w:rsid w:val="00A65B56"/>
    <w:rsid w:val="00A65F3D"/>
    <w:rsid w:val="00A661F2"/>
    <w:rsid w:val="00A663AF"/>
    <w:rsid w:val="00A667AC"/>
    <w:rsid w:val="00A6732F"/>
    <w:rsid w:val="00A67C8B"/>
    <w:rsid w:val="00A70098"/>
    <w:rsid w:val="00A70206"/>
    <w:rsid w:val="00A70233"/>
    <w:rsid w:val="00A70777"/>
    <w:rsid w:val="00A70D6B"/>
    <w:rsid w:val="00A70E4B"/>
    <w:rsid w:val="00A710E2"/>
    <w:rsid w:val="00A710F0"/>
    <w:rsid w:val="00A715B2"/>
    <w:rsid w:val="00A71E2C"/>
    <w:rsid w:val="00A7241F"/>
    <w:rsid w:val="00A7293B"/>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E65"/>
    <w:rsid w:val="00A7626D"/>
    <w:rsid w:val="00A762DC"/>
    <w:rsid w:val="00A76522"/>
    <w:rsid w:val="00A76CB7"/>
    <w:rsid w:val="00A76CC0"/>
    <w:rsid w:val="00A77416"/>
    <w:rsid w:val="00A77798"/>
    <w:rsid w:val="00A7797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B17"/>
    <w:rsid w:val="00A83D3C"/>
    <w:rsid w:val="00A83E4A"/>
    <w:rsid w:val="00A83E97"/>
    <w:rsid w:val="00A84BED"/>
    <w:rsid w:val="00A84E00"/>
    <w:rsid w:val="00A85131"/>
    <w:rsid w:val="00A864FD"/>
    <w:rsid w:val="00A8651E"/>
    <w:rsid w:val="00A866AB"/>
    <w:rsid w:val="00A86AA2"/>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69ED"/>
    <w:rsid w:val="00A96A68"/>
    <w:rsid w:val="00A96D95"/>
    <w:rsid w:val="00A971E3"/>
    <w:rsid w:val="00A97218"/>
    <w:rsid w:val="00A973BE"/>
    <w:rsid w:val="00A97565"/>
    <w:rsid w:val="00A97821"/>
    <w:rsid w:val="00A97AAF"/>
    <w:rsid w:val="00AA02A7"/>
    <w:rsid w:val="00AA0305"/>
    <w:rsid w:val="00AA03E5"/>
    <w:rsid w:val="00AA05F2"/>
    <w:rsid w:val="00AA07EC"/>
    <w:rsid w:val="00AA08D9"/>
    <w:rsid w:val="00AA0DF2"/>
    <w:rsid w:val="00AA109F"/>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C4E"/>
    <w:rsid w:val="00AB0E94"/>
    <w:rsid w:val="00AB142A"/>
    <w:rsid w:val="00AB1A44"/>
    <w:rsid w:val="00AB1BAC"/>
    <w:rsid w:val="00AB2119"/>
    <w:rsid w:val="00AB26A6"/>
    <w:rsid w:val="00AB2F38"/>
    <w:rsid w:val="00AB2FE7"/>
    <w:rsid w:val="00AB304F"/>
    <w:rsid w:val="00AB3506"/>
    <w:rsid w:val="00AB3709"/>
    <w:rsid w:val="00AB38DF"/>
    <w:rsid w:val="00AB3A84"/>
    <w:rsid w:val="00AB3B6C"/>
    <w:rsid w:val="00AB3F1A"/>
    <w:rsid w:val="00AB442C"/>
    <w:rsid w:val="00AB44C3"/>
    <w:rsid w:val="00AB45BF"/>
    <w:rsid w:val="00AB4ED6"/>
    <w:rsid w:val="00AB5157"/>
    <w:rsid w:val="00AB536D"/>
    <w:rsid w:val="00AB542E"/>
    <w:rsid w:val="00AB54E6"/>
    <w:rsid w:val="00AB5794"/>
    <w:rsid w:val="00AB5A5B"/>
    <w:rsid w:val="00AB5E67"/>
    <w:rsid w:val="00AB63E9"/>
    <w:rsid w:val="00AB6B48"/>
    <w:rsid w:val="00AB6BF1"/>
    <w:rsid w:val="00AB6C80"/>
    <w:rsid w:val="00AB6F76"/>
    <w:rsid w:val="00AB7697"/>
    <w:rsid w:val="00AB77A7"/>
    <w:rsid w:val="00AB78E4"/>
    <w:rsid w:val="00AB7A90"/>
    <w:rsid w:val="00AB7AF7"/>
    <w:rsid w:val="00AC0033"/>
    <w:rsid w:val="00AC0712"/>
    <w:rsid w:val="00AC0AD6"/>
    <w:rsid w:val="00AC0B92"/>
    <w:rsid w:val="00AC1406"/>
    <w:rsid w:val="00AC1ABF"/>
    <w:rsid w:val="00AC1E62"/>
    <w:rsid w:val="00AC1E78"/>
    <w:rsid w:val="00AC22CA"/>
    <w:rsid w:val="00AC2423"/>
    <w:rsid w:val="00AC2577"/>
    <w:rsid w:val="00AC266E"/>
    <w:rsid w:val="00AC2834"/>
    <w:rsid w:val="00AC2DFE"/>
    <w:rsid w:val="00AC2FC9"/>
    <w:rsid w:val="00AC36A8"/>
    <w:rsid w:val="00AC3978"/>
    <w:rsid w:val="00AC3EFF"/>
    <w:rsid w:val="00AC438F"/>
    <w:rsid w:val="00AC4FD6"/>
    <w:rsid w:val="00AC563B"/>
    <w:rsid w:val="00AC5D2C"/>
    <w:rsid w:val="00AC60FC"/>
    <w:rsid w:val="00AC6A08"/>
    <w:rsid w:val="00AC6A5A"/>
    <w:rsid w:val="00AC6CE7"/>
    <w:rsid w:val="00AC710A"/>
    <w:rsid w:val="00AC7136"/>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3B"/>
    <w:rsid w:val="00AE7EE8"/>
    <w:rsid w:val="00AF0040"/>
    <w:rsid w:val="00AF015E"/>
    <w:rsid w:val="00AF01A6"/>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941"/>
    <w:rsid w:val="00AF5D0B"/>
    <w:rsid w:val="00AF5E6B"/>
    <w:rsid w:val="00AF5F3E"/>
    <w:rsid w:val="00AF7251"/>
    <w:rsid w:val="00AF73DC"/>
    <w:rsid w:val="00AF795C"/>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32A"/>
    <w:rsid w:val="00B10496"/>
    <w:rsid w:val="00B105C7"/>
    <w:rsid w:val="00B1104D"/>
    <w:rsid w:val="00B111C1"/>
    <w:rsid w:val="00B113B5"/>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41BD"/>
    <w:rsid w:val="00B246AD"/>
    <w:rsid w:val="00B24735"/>
    <w:rsid w:val="00B24A82"/>
    <w:rsid w:val="00B24BE6"/>
    <w:rsid w:val="00B24D88"/>
    <w:rsid w:val="00B24DC1"/>
    <w:rsid w:val="00B24F9B"/>
    <w:rsid w:val="00B25226"/>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A5C"/>
    <w:rsid w:val="00B40E1F"/>
    <w:rsid w:val="00B40E58"/>
    <w:rsid w:val="00B40EEC"/>
    <w:rsid w:val="00B40F2C"/>
    <w:rsid w:val="00B41251"/>
    <w:rsid w:val="00B412C6"/>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A72"/>
    <w:rsid w:val="00B47B07"/>
    <w:rsid w:val="00B47D2C"/>
    <w:rsid w:val="00B47E27"/>
    <w:rsid w:val="00B47FF9"/>
    <w:rsid w:val="00B5029F"/>
    <w:rsid w:val="00B503EF"/>
    <w:rsid w:val="00B50595"/>
    <w:rsid w:val="00B5070E"/>
    <w:rsid w:val="00B5087E"/>
    <w:rsid w:val="00B50894"/>
    <w:rsid w:val="00B5127E"/>
    <w:rsid w:val="00B519D1"/>
    <w:rsid w:val="00B51DAD"/>
    <w:rsid w:val="00B51E7A"/>
    <w:rsid w:val="00B52087"/>
    <w:rsid w:val="00B52486"/>
    <w:rsid w:val="00B52797"/>
    <w:rsid w:val="00B52A00"/>
    <w:rsid w:val="00B532C5"/>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608"/>
    <w:rsid w:val="00B56B44"/>
    <w:rsid w:val="00B56DD5"/>
    <w:rsid w:val="00B56E6B"/>
    <w:rsid w:val="00B56F06"/>
    <w:rsid w:val="00B56FC9"/>
    <w:rsid w:val="00B57085"/>
    <w:rsid w:val="00B57087"/>
    <w:rsid w:val="00B57ACF"/>
    <w:rsid w:val="00B57C37"/>
    <w:rsid w:val="00B60424"/>
    <w:rsid w:val="00B606E5"/>
    <w:rsid w:val="00B607BD"/>
    <w:rsid w:val="00B6084E"/>
    <w:rsid w:val="00B60894"/>
    <w:rsid w:val="00B60BEE"/>
    <w:rsid w:val="00B60EFA"/>
    <w:rsid w:val="00B60F5B"/>
    <w:rsid w:val="00B61086"/>
    <w:rsid w:val="00B61417"/>
    <w:rsid w:val="00B619F7"/>
    <w:rsid w:val="00B61DD7"/>
    <w:rsid w:val="00B61DDC"/>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A5F"/>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47E"/>
    <w:rsid w:val="00B974C5"/>
    <w:rsid w:val="00B9772B"/>
    <w:rsid w:val="00BA0604"/>
    <w:rsid w:val="00BA06FE"/>
    <w:rsid w:val="00BA0904"/>
    <w:rsid w:val="00BA0B4E"/>
    <w:rsid w:val="00BA0CDA"/>
    <w:rsid w:val="00BA0EE8"/>
    <w:rsid w:val="00BA1513"/>
    <w:rsid w:val="00BA1828"/>
    <w:rsid w:val="00BA1ACB"/>
    <w:rsid w:val="00BA23DE"/>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48A"/>
    <w:rsid w:val="00BB64C1"/>
    <w:rsid w:val="00BB661F"/>
    <w:rsid w:val="00BB6CE7"/>
    <w:rsid w:val="00BB74BA"/>
    <w:rsid w:val="00BB7720"/>
    <w:rsid w:val="00BB7733"/>
    <w:rsid w:val="00BB7919"/>
    <w:rsid w:val="00BB7A4A"/>
    <w:rsid w:val="00BB7AE3"/>
    <w:rsid w:val="00BB7AE6"/>
    <w:rsid w:val="00BB7F1D"/>
    <w:rsid w:val="00BC008F"/>
    <w:rsid w:val="00BC09DD"/>
    <w:rsid w:val="00BC0B9A"/>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37"/>
    <w:rsid w:val="00BD39EA"/>
    <w:rsid w:val="00BD3A94"/>
    <w:rsid w:val="00BD401D"/>
    <w:rsid w:val="00BD4307"/>
    <w:rsid w:val="00BD5042"/>
    <w:rsid w:val="00BD510D"/>
    <w:rsid w:val="00BD5C52"/>
    <w:rsid w:val="00BD5D36"/>
    <w:rsid w:val="00BD5FAB"/>
    <w:rsid w:val="00BD62C4"/>
    <w:rsid w:val="00BD62C8"/>
    <w:rsid w:val="00BD64F5"/>
    <w:rsid w:val="00BD727E"/>
    <w:rsid w:val="00BD7466"/>
    <w:rsid w:val="00BD7BE5"/>
    <w:rsid w:val="00BD7EC2"/>
    <w:rsid w:val="00BE04FF"/>
    <w:rsid w:val="00BE0582"/>
    <w:rsid w:val="00BE06FF"/>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590"/>
    <w:rsid w:val="00BE66D0"/>
    <w:rsid w:val="00BE6757"/>
    <w:rsid w:val="00BE6AF8"/>
    <w:rsid w:val="00BE6B96"/>
    <w:rsid w:val="00BE6DE8"/>
    <w:rsid w:val="00BE7073"/>
    <w:rsid w:val="00BE70CE"/>
    <w:rsid w:val="00BE7166"/>
    <w:rsid w:val="00BE756E"/>
    <w:rsid w:val="00BF037B"/>
    <w:rsid w:val="00BF0439"/>
    <w:rsid w:val="00BF0519"/>
    <w:rsid w:val="00BF05A0"/>
    <w:rsid w:val="00BF0C9C"/>
    <w:rsid w:val="00BF0DE3"/>
    <w:rsid w:val="00BF10B0"/>
    <w:rsid w:val="00BF156D"/>
    <w:rsid w:val="00BF1CB5"/>
    <w:rsid w:val="00BF1DBC"/>
    <w:rsid w:val="00BF2B7C"/>
    <w:rsid w:val="00BF2E16"/>
    <w:rsid w:val="00BF2FC9"/>
    <w:rsid w:val="00BF2FD9"/>
    <w:rsid w:val="00BF31A4"/>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615"/>
    <w:rsid w:val="00BF7B80"/>
    <w:rsid w:val="00BF7C37"/>
    <w:rsid w:val="00BF7D6F"/>
    <w:rsid w:val="00C00044"/>
    <w:rsid w:val="00C001AB"/>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EBF"/>
    <w:rsid w:val="00C03058"/>
    <w:rsid w:val="00C03174"/>
    <w:rsid w:val="00C0336D"/>
    <w:rsid w:val="00C034AA"/>
    <w:rsid w:val="00C03C8B"/>
    <w:rsid w:val="00C03CD0"/>
    <w:rsid w:val="00C04002"/>
    <w:rsid w:val="00C04394"/>
    <w:rsid w:val="00C04459"/>
    <w:rsid w:val="00C047A2"/>
    <w:rsid w:val="00C04CD2"/>
    <w:rsid w:val="00C050DC"/>
    <w:rsid w:val="00C053EB"/>
    <w:rsid w:val="00C05709"/>
    <w:rsid w:val="00C058A3"/>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8C7"/>
    <w:rsid w:val="00C108F0"/>
    <w:rsid w:val="00C10C3F"/>
    <w:rsid w:val="00C10C46"/>
    <w:rsid w:val="00C10CFD"/>
    <w:rsid w:val="00C10D42"/>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B81"/>
    <w:rsid w:val="00C16553"/>
    <w:rsid w:val="00C16570"/>
    <w:rsid w:val="00C16623"/>
    <w:rsid w:val="00C1686F"/>
    <w:rsid w:val="00C16B23"/>
    <w:rsid w:val="00C16CB9"/>
    <w:rsid w:val="00C170CC"/>
    <w:rsid w:val="00C1722D"/>
    <w:rsid w:val="00C17489"/>
    <w:rsid w:val="00C17754"/>
    <w:rsid w:val="00C17BA7"/>
    <w:rsid w:val="00C17BC1"/>
    <w:rsid w:val="00C17C99"/>
    <w:rsid w:val="00C17CD5"/>
    <w:rsid w:val="00C20205"/>
    <w:rsid w:val="00C20568"/>
    <w:rsid w:val="00C2056D"/>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F2"/>
    <w:rsid w:val="00C22BF7"/>
    <w:rsid w:val="00C231A2"/>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658"/>
    <w:rsid w:val="00C348ED"/>
    <w:rsid w:val="00C349C5"/>
    <w:rsid w:val="00C34CE7"/>
    <w:rsid w:val="00C34EC9"/>
    <w:rsid w:val="00C34FDC"/>
    <w:rsid w:val="00C35414"/>
    <w:rsid w:val="00C357B8"/>
    <w:rsid w:val="00C357D0"/>
    <w:rsid w:val="00C36B94"/>
    <w:rsid w:val="00C3705B"/>
    <w:rsid w:val="00C37191"/>
    <w:rsid w:val="00C37585"/>
    <w:rsid w:val="00C3764E"/>
    <w:rsid w:val="00C37B4E"/>
    <w:rsid w:val="00C37C3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BE0"/>
    <w:rsid w:val="00C47C00"/>
    <w:rsid w:val="00C47E0D"/>
    <w:rsid w:val="00C47F21"/>
    <w:rsid w:val="00C47FD2"/>
    <w:rsid w:val="00C5015B"/>
    <w:rsid w:val="00C50C38"/>
    <w:rsid w:val="00C5107F"/>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AB9"/>
    <w:rsid w:val="00C55CBE"/>
    <w:rsid w:val="00C5680F"/>
    <w:rsid w:val="00C56881"/>
    <w:rsid w:val="00C5688A"/>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B8"/>
    <w:rsid w:val="00C61C1D"/>
    <w:rsid w:val="00C61D3E"/>
    <w:rsid w:val="00C62031"/>
    <w:rsid w:val="00C6219D"/>
    <w:rsid w:val="00C626B3"/>
    <w:rsid w:val="00C62810"/>
    <w:rsid w:val="00C62B0F"/>
    <w:rsid w:val="00C62B15"/>
    <w:rsid w:val="00C63101"/>
    <w:rsid w:val="00C63CE2"/>
    <w:rsid w:val="00C64287"/>
    <w:rsid w:val="00C6450A"/>
    <w:rsid w:val="00C6454B"/>
    <w:rsid w:val="00C64622"/>
    <w:rsid w:val="00C64D81"/>
    <w:rsid w:val="00C64F3C"/>
    <w:rsid w:val="00C64F5D"/>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DE8"/>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FF"/>
    <w:rsid w:val="00C76384"/>
    <w:rsid w:val="00C7656A"/>
    <w:rsid w:val="00C766F6"/>
    <w:rsid w:val="00C7690F"/>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51FD"/>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FC5"/>
    <w:rsid w:val="00C964B2"/>
    <w:rsid w:val="00C966B0"/>
    <w:rsid w:val="00C96915"/>
    <w:rsid w:val="00C9707F"/>
    <w:rsid w:val="00C97208"/>
    <w:rsid w:val="00C973B5"/>
    <w:rsid w:val="00C97EC5"/>
    <w:rsid w:val="00C97EF7"/>
    <w:rsid w:val="00C97EF8"/>
    <w:rsid w:val="00CA012A"/>
    <w:rsid w:val="00CA06EC"/>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E2B"/>
    <w:rsid w:val="00CA5FD1"/>
    <w:rsid w:val="00CA6A9B"/>
    <w:rsid w:val="00CA6B62"/>
    <w:rsid w:val="00CA6B7B"/>
    <w:rsid w:val="00CA6CC7"/>
    <w:rsid w:val="00CA6D2A"/>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FD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F8F"/>
    <w:rsid w:val="00CE1510"/>
    <w:rsid w:val="00CE176E"/>
    <w:rsid w:val="00CE1883"/>
    <w:rsid w:val="00CE19D6"/>
    <w:rsid w:val="00CE2952"/>
    <w:rsid w:val="00CE2DA5"/>
    <w:rsid w:val="00CE37F1"/>
    <w:rsid w:val="00CE3D14"/>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5E3"/>
    <w:rsid w:val="00CE69AE"/>
    <w:rsid w:val="00CE6B6F"/>
    <w:rsid w:val="00CE6D5C"/>
    <w:rsid w:val="00CE6D60"/>
    <w:rsid w:val="00CE72C5"/>
    <w:rsid w:val="00CE7EFD"/>
    <w:rsid w:val="00CF0B05"/>
    <w:rsid w:val="00CF0CE8"/>
    <w:rsid w:val="00CF0D83"/>
    <w:rsid w:val="00CF119F"/>
    <w:rsid w:val="00CF12FF"/>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195"/>
    <w:rsid w:val="00CF51C1"/>
    <w:rsid w:val="00CF54DA"/>
    <w:rsid w:val="00CF56B9"/>
    <w:rsid w:val="00CF5988"/>
    <w:rsid w:val="00CF5FEF"/>
    <w:rsid w:val="00CF6305"/>
    <w:rsid w:val="00CF6427"/>
    <w:rsid w:val="00CF67B6"/>
    <w:rsid w:val="00CF6B0A"/>
    <w:rsid w:val="00CF6C05"/>
    <w:rsid w:val="00CF72E9"/>
    <w:rsid w:val="00CF7319"/>
    <w:rsid w:val="00CF7329"/>
    <w:rsid w:val="00CF73E0"/>
    <w:rsid w:val="00CF7970"/>
    <w:rsid w:val="00CF79C9"/>
    <w:rsid w:val="00CF7AB7"/>
    <w:rsid w:val="00D00601"/>
    <w:rsid w:val="00D007CE"/>
    <w:rsid w:val="00D00DF6"/>
    <w:rsid w:val="00D01829"/>
    <w:rsid w:val="00D01A20"/>
    <w:rsid w:val="00D01EEA"/>
    <w:rsid w:val="00D01F0A"/>
    <w:rsid w:val="00D021E3"/>
    <w:rsid w:val="00D02352"/>
    <w:rsid w:val="00D02379"/>
    <w:rsid w:val="00D025CD"/>
    <w:rsid w:val="00D02688"/>
    <w:rsid w:val="00D02B2C"/>
    <w:rsid w:val="00D02B75"/>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506"/>
    <w:rsid w:val="00D0685A"/>
    <w:rsid w:val="00D07904"/>
    <w:rsid w:val="00D07A8C"/>
    <w:rsid w:val="00D07AAA"/>
    <w:rsid w:val="00D07FB0"/>
    <w:rsid w:val="00D10206"/>
    <w:rsid w:val="00D1055D"/>
    <w:rsid w:val="00D10583"/>
    <w:rsid w:val="00D108AC"/>
    <w:rsid w:val="00D108B2"/>
    <w:rsid w:val="00D10B2A"/>
    <w:rsid w:val="00D10D2E"/>
    <w:rsid w:val="00D11104"/>
    <w:rsid w:val="00D11354"/>
    <w:rsid w:val="00D11697"/>
    <w:rsid w:val="00D11843"/>
    <w:rsid w:val="00D11A32"/>
    <w:rsid w:val="00D12023"/>
    <w:rsid w:val="00D120BA"/>
    <w:rsid w:val="00D125AE"/>
    <w:rsid w:val="00D129DB"/>
    <w:rsid w:val="00D12DBF"/>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2E6"/>
    <w:rsid w:val="00D21329"/>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7035"/>
    <w:rsid w:val="00D27251"/>
    <w:rsid w:val="00D279A1"/>
    <w:rsid w:val="00D279EE"/>
    <w:rsid w:val="00D27C88"/>
    <w:rsid w:val="00D27CC7"/>
    <w:rsid w:val="00D27ECA"/>
    <w:rsid w:val="00D27F28"/>
    <w:rsid w:val="00D27F84"/>
    <w:rsid w:val="00D27FA1"/>
    <w:rsid w:val="00D3017D"/>
    <w:rsid w:val="00D302C7"/>
    <w:rsid w:val="00D30399"/>
    <w:rsid w:val="00D3079A"/>
    <w:rsid w:val="00D30D98"/>
    <w:rsid w:val="00D310CD"/>
    <w:rsid w:val="00D31495"/>
    <w:rsid w:val="00D3180F"/>
    <w:rsid w:val="00D31923"/>
    <w:rsid w:val="00D31E74"/>
    <w:rsid w:val="00D31EB2"/>
    <w:rsid w:val="00D31F57"/>
    <w:rsid w:val="00D3286A"/>
    <w:rsid w:val="00D32D18"/>
    <w:rsid w:val="00D3402E"/>
    <w:rsid w:val="00D340C9"/>
    <w:rsid w:val="00D3418C"/>
    <w:rsid w:val="00D34792"/>
    <w:rsid w:val="00D34AEA"/>
    <w:rsid w:val="00D351B2"/>
    <w:rsid w:val="00D351DA"/>
    <w:rsid w:val="00D3521C"/>
    <w:rsid w:val="00D3584E"/>
    <w:rsid w:val="00D359E2"/>
    <w:rsid w:val="00D36D52"/>
    <w:rsid w:val="00D36F08"/>
    <w:rsid w:val="00D37085"/>
    <w:rsid w:val="00D370C8"/>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30FB"/>
    <w:rsid w:val="00D433F2"/>
    <w:rsid w:val="00D436E4"/>
    <w:rsid w:val="00D43726"/>
    <w:rsid w:val="00D43933"/>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F1B"/>
    <w:rsid w:val="00D7116C"/>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C"/>
    <w:rsid w:val="00D76979"/>
    <w:rsid w:val="00D769D5"/>
    <w:rsid w:val="00D76A92"/>
    <w:rsid w:val="00D7717C"/>
    <w:rsid w:val="00D772AF"/>
    <w:rsid w:val="00D77873"/>
    <w:rsid w:val="00D77AD2"/>
    <w:rsid w:val="00D77E0E"/>
    <w:rsid w:val="00D77E13"/>
    <w:rsid w:val="00D77FEE"/>
    <w:rsid w:val="00D80858"/>
    <w:rsid w:val="00D8113E"/>
    <w:rsid w:val="00D81365"/>
    <w:rsid w:val="00D814F8"/>
    <w:rsid w:val="00D81807"/>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D88"/>
    <w:rsid w:val="00D97E1D"/>
    <w:rsid w:val="00DA00BF"/>
    <w:rsid w:val="00DA0115"/>
    <w:rsid w:val="00DA02B0"/>
    <w:rsid w:val="00DA068E"/>
    <w:rsid w:val="00DA0984"/>
    <w:rsid w:val="00DA0F5A"/>
    <w:rsid w:val="00DA11A3"/>
    <w:rsid w:val="00DA122D"/>
    <w:rsid w:val="00DA1B66"/>
    <w:rsid w:val="00DA21C4"/>
    <w:rsid w:val="00DA2354"/>
    <w:rsid w:val="00DA25CF"/>
    <w:rsid w:val="00DA2F52"/>
    <w:rsid w:val="00DA2FE5"/>
    <w:rsid w:val="00DA30DB"/>
    <w:rsid w:val="00DA3259"/>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77"/>
    <w:rsid w:val="00DB53B7"/>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CD9"/>
    <w:rsid w:val="00DE6E28"/>
    <w:rsid w:val="00DE715E"/>
    <w:rsid w:val="00DE7A89"/>
    <w:rsid w:val="00DE7B57"/>
    <w:rsid w:val="00DE7D68"/>
    <w:rsid w:val="00DE7F41"/>
    <w:rsid w:val="00DF0177"/>
    <w:rsid w:val="00DF05EE"/>
    <w:rsid w:val="00DF07BA"/>
    <w:rsid w:val="00DF0DAD"/>
    <w:rsid w:val="00DF0ED6"/>
    <w:rsid w:val="00DF125B"/>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EC4"/>
    <w:rsid w:val="00E04F3B"/>
    <w:rsid w:val="00E0504D"/>
    <w:rsid w:val="00E0579D"/>
    <w:rsid w:val="00E059BC"/>
    <w:rsid w:val="00E05D7E"/>
    <w:rsid w:val="00E05E88"/>
    <w:rsid w:val="00E06388"/>
    <w:rsid w:val="00E0678C"/>
    <w:rsid w:val="00E06A8F"/>
    <w:rsid w:val="00E06CA6"/>
    <w:rsid w:val="00E07869"/>
    <w:rsid w:val="00E07AD3"/>
    <w:rsid w:val="00E07C1F"/>
    <w:rsid w:val="00E07FC9"/>
    <w:rsid w:val="00E1061E"/>
    <w:rsid w:val="00E111C5"/>
    <w:rsid w:val="00E11B15"/>
    <w:rsid w:val="00E11C7E"/>
    <w:rsid w:val="00E11E5F"/>
    <w:rsid w:val="00E11ED9"/>
    <w:rsid w:val="00E11F18"/>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F98"/>
    <w:rsid w:val="00E17034"/>
    <w:rsid w:val="00E171FC"/>
    <w:rsid w:val="00E172ED"/>
    <w:rsid w:val="00E17541"/>
    <w:rsid w:val="00E17585"/>
    <w:rsid w:val="00E177D9"/>
    <w:rsid w:val="00E17B1D"/>
    <w:rsid w:val="00E17B6D"/>
    <w:rsid w:val="00E17BA4"/>
    <w:rsid w:val="00E2007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C99"/>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B2D"/>
    <w:rsid w:val="00E37C3D"/>
    <w:rsid w:val="00E37D00"/>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788"/>
    <w:rsid w:val="00E4295E"/>
    <w:rsid w:val="00E42A43"/>
    <w:rsid w:val="00E42B5B"/>
    <w:rsid w:val="00E430DA"/>
    <w:rsid w:val="00E4398A"/>
    <w:rsid w:val="00E43DB0"/>
    <w:rsid w:val="00E4413C"/>
    <w:rsid w:val="00E44392"/>
    <w:rsid w:val="00E444A4"/>
    <w:rsid w:val="00E44668"/>
    <w:rsid w:val="00E4538F"/>
    <w:rsid w:val="00E454D0"/>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4DC"/>
    <w:rsid w:val="00E51945"/>
    <w:rsid w:val="00E51954"/>
    <w:rsid w:val="00E51A48"/>
    <w:rsid w:val="00E51CC6"/>
    <w:rsid w:val="00E52FE2"/>
    <w:rsid w:val="00E530C3"/>
    <w:rsid w:val="00E537CA"/>
    <w:rsid w:val="00E53CE6"/>
    <w:rsid w:val="00E53D1D"/>
    <w:rsid w:val="00E546E1"/>
    <w:rsid w:val="00E54758"/>
    <w:rsid w:val="00E54A05"/>
    <w:rsid w:val="00E54A2C"/>
    <w:rsid w:val="00E54DFA"/>
    <w:rsid w:val="00E54EB8"/>
    <w:rsid w:val="00E55A67"/>
    <w:rsid w:val="00E55E30"/>
    <w:rsid w:val="00E5637C"/>
    <w:rsid w:val="00E56439"/>
    <w:rsid w:val="00E5668F"/>
    <w:rsid w:val="00E5676E"/>
    <w:rsid w:val="00E56829"/>
    <w:rsid w:val="00E56887"/>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99C"/>
    <w:rsid w:val="00E85C8D"/>
    <w:rsid w:val="00E85CEB"/>
    <w:rsid w:val="00E86320"/>
    <w:rsid w:val="00E863BF"/>
    <w:rsid w:val="00E86B99"/>
    <w:rsid w:val="00E87042"/>
    <w:rsid w:val="00E8725B"/>
    <w:rsid w:val="00E87268"/>
    <w:rsid w:val="00E874A3"/>
    <w:rsid w:val="00E87758"/>
    <w:rsid w:val="00E87BF9"/>
    <w:rsid w:val="00E87CBB"/>
    <w:rsid w:val="00E87D89"/>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290"/>
    <w:rsid w:val="00EA42E6"/>
    <w:rsid w:val="00EA46CF"/>
    <w:rsid w:val="00EA473C"/>
    <w:rsid w:val="00EA4748"/>
    <w:rsid w:val="00EA4A92"/>
    <w:rsid w:val="00EA4CFF"/>
    <w:rsid w:val="00EA539C"/>
    <w:rsid w:val="00EA56E3"/>
    <w:rsid w:val="00EA572E"/>
    <w:rsid w:val="00EA5816"/>
    <w:rsid w:val="00EA5E38"/>
    <w:rsid w:val="00EA5F44"/>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440"/>
    <w:rsid w:val="00EB09CF"/>
    <w:rsid w:val="00EB0B52"/>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1C2"/>
    <w:rsid w:val="00EB36E9"/>
    <w:rsid w:val="00EB3836"/>
    <w:rsid w:val="00EB3FCA"/>
    <w:rsid w:val="00EB41B4"/>
    <w:rsid w:val="00EB4586"/>
    <w:rsid w:val="00EB4BD3"/>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3CD"/>
    <w:rsid w:val="00ED35A0"/>
    <w:rsid w:val="00ED3714"/>
    <w:rsid w:val="00ED39DA"/>
    <w:rsid w:val="00ED4151"/>
    <w:rsid w:val="00ED43B8"/>
    <w:rsid w:val="00ED444C"/>
    <w:rsid w:val="00ED450B"/>
    <w:rsid w:val="00ED4AED"/>
    <w:rsid w:val="00ED4EE2"/>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7E"/>
    <w:rsid w:val="00EE3B4C"/>
    <w:rsid w:val="00EE3B88"/>
    <w:rsid w:val="00EE3F20"/>
    <w:rsid w:val="00EE44D1"/>
    <w:rsid w:val="00EE4680"/>
    <w:rsid w:val="00EE48F7"/>
    <w:rsid w:val="00EE4CB1"/>
    <w:rsid w:val="00EE53EF"/>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648"/>
    <w:rsid w:val="00EF7794"/>
    <w:rsid w:val="00EF7A10"/>
    <w:rsid w:val="00EF7A26"/>
    <w:rsid w:val="00F00017"/>
    <w:rsid w:val="00F00272"/>
    <w:rsid w:val="00F00386"/>
    <w:rsid w:val="00F008CE"/>
    <w:rsid w:val="00F0098B"/>
    <w:rsid w:val="00F01219"/>
    <w:rsid w:val="00F013D6"/>
    <w:rsid w:val="00F01578"/>
    <w:rsid w:val="00F01879"/>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402D4"/>
    <w:rsid w:val="00F409FC"/>
    <w:rsid w:val="00F41259"/>
    <w:rsid w:val="00F415BA"/>
    <w:rsid w:val="00F41E57"/>
    <w:rsid w:val="00F42CAE"/>
    <w:rsid w:val="00F42E03"/>
    <w:rsid w:val="00F42E12"/>
    <w:rsid w:val="00F42F27"/>
    <w:rsid w:val="00F42F55"/>
    <w:rsid w:val="00F436A8"/>
    <w:rsid w:val="00F437CB"/>
    <w:rsid w:val="00F43A64"/>
    <w:rsid w:val="00F43C38"/>
    <w:rsid w:val="00F43E1A"/>
    <w:rsid w:val="00F43F5A"/>
    <w:rsid w:val="00F441BB"/>
    <w:rsid w:val="00F4478B"/>
    <w:rsid w:val="00F44BF7"/>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4C2"/>
    <w:rsid w:val="00F635E0"/>
    <w:rsid w:val="00F64916"/>
    <w:rsid w:val="00F65316"/>
    <w:rsid w:val="00F65C72"/>
    <w:rsid w:val="00F668C8"/>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19CE"/>
    <w:rsid w:val="00F9201A"/>
    <w:rsid w:val="00F92663"/>
    <w:rsid w:val="00F92727"/>
    <w:rsid w:val="00F92E81"/>
    <w:rsid w:val="00F92F66"/>
    <w:rsid w:val="00F93427"/>
    <w:rsid w:val="00F93511"/>
    <w:rsid w:val="00F9389C"/>
    <w:rsid w:val="00F93AF3"/>
    <w:rsid w:val="00F93DEB"/>
    <w:rsid w:val="00F94457"/>
    <w:rsid w:val="00F94786"/>
    <w:rsid w:val="00F94876"/>
    <w:rsid w:val="00F948F4"/>
    <w:rsid w:val="00F94D5D"/>
    <w:rsid w:val="00F95387"/>
    <w:rsid w:val="00F954E4"/>
    <w:rsid w:val="00F959E5"/>
    <w:rsid w:val="00F95E6D"/>
    <w:rsid w:val="00F95F17"/>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124E"/>
    <w:rsid w:val="00FB1438"/>
    <w:rsid w:val="00FB1CEC"/>
    <w:rsid w:val="00FB1DC2"/>
    <w:rsid w:val="00FB1F0A"/>
    <w:rsid w:val="00FB238D"/>
    <w:rsid w:val="00FB2709"/>
    <w:rsid w:val="00FB2C62"/>
    <w:rsid w:val="00FB2CF4"/>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5DD"/>
    <w:rsid w:val="00FC16CE"/>
    <w:rsid w:val="00FC1769"/>
    <w:rsid w:val="00FC1803"/>
    <w:rsid w:val="00FC18A9"/>
    <w:rsid w:val="00FC1A8D"/>
    <w:rsid w:val="00FC1E9E"/>
    <w:rsid w:val="00FC1F49"/>
    <w:rsid w:val="00FC21A4"/>
    <w:rsid w:val="00FC224C"/>
    <w:rsid w:val="00FC2460"/>
    <w:rsid w:val="00FC2582"/>
    <w:rsid w:val="00FC266E"/>
    <w:rsid w:val="00FC26A8"/>
    <w:rsid w:val="00FC26D3"/>
    <w:rsid w:val="00FC2C22"/>
    <w:rsid w:val="00FC2EAE"/>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15:docId w15:val="{18DF7528-694B-4839-9E4A-71835A51D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qFormat="1"/>
    <w:lsdException w:name="Table Grid" w:uiPriority="3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5D27"/>
    <w:rPr>
      <w:rFonts w:ascii="Times New Roman" w:eastAsia="MS Gothic" w:hAnsi="Times New Roman"/>
      <w:sz w:val="24"/>
      <w:lang w:val="en-GB"/>
    </w:rPr>
  </w:style>
  <w:style w:type="paragraph" w:styleId="Heading1">
    <w:name w:val="heading 1"/>
    <w:aliases w:val="H1,h1,app heading 1,l1,Memo Heading 1,h11,h12,h13,h14,h15,h16,Heading 1_a,heading 1,h17,h111,h121,h131,h141,h151,h161,h18,h112,h122,h132,h142,h152,h162,h19,h113,h123,h133,h143,h153,h163,NMP Heading 1,제목 1(no line),Alt+1,Alt+11,Alt+12,Alt+13"/>
    <w:basedOn w:val="Normal"/>
    <w:next w:val="Normal"/>
    <w:link w:val="Heading1Char"/>
    <w:uiPriority w:val="99"/>
    <w:qFormat/>
    <w:rsid w:val="0098555E"/>
    <w:pPr>
      <w:keepNext/>
      <w:tabs>
        <w:tab w:val="left" w:pos="0"/>
      </w:tabs>
      <w:spacing w:before="240" w:after="60"/>
      <w:outlineLvl w:val="0"/>
    </w:pPr>
    <w:rPr>
      <w:rFonts w:ascii="Arial" w:hAnsi="Arial"/>
      <w:kern w:val="28"/>
      <w:sz w:val="28"/>
    </w:rPr>
  </w:style>
  <w:style w:type="paragraph" w:styleId="Heading2">
    <w:name w:val="heading 2"/>
    <w:aliases w:val="DO NOT USE_h2,h2,h21,H2,Head2A,2,UNDERRUBRIK 1-2,Heading 2 Char,Header 2,Header2,22,heading2,2nd level,H21,H22,H23,H24,H25,R2,E2,†berschrift 2,õberschrift 2,Heading 2 3GPP,Head 2,l2,TitreProp,ITT t2,PA Major Section,Livello 2"/>
    <w:basedOn w:val="Normal"/>
    <w:next w:val="Normal"/>
    <w:link w:val="Heading2Char2"/>
    <w:qFormat/>
    <w:rsid w:val="0098555E"/>
    <w:pPr>
      <w:keepNext/>
      <w:spacing w:line="480" w:lineRule="auto"/>
      <w:outlineLvl w:val="1"/>
    </w:pPr>
    <w:rPr>
      <w:rFonts w:ascii="Arial" w:hAnsi="Arial"/>
    </w:rPr>
  </w:style>
  <w:style w:type="paragraph" w:styleId="Heading3">
    <w:name w:val="heading 3"/>
    <w:aliases w:val="Underrubrik2,H3,no break,Memo Heading 3"/>
    <w:basedOn w:val="Normal"/>
    <w:next w:val="Normal"/>
    <w:link w:val="Heading3Char"/>
    <w:qFormat/>
    <w:rsid w:val="0098555E"/>
    <w:pPr>
      <w:keepNext/>
      <w:spacing w:before="240" w:after="60"/>
      <w:outlineLvl w:val="2"/>
    </w:pPr>
    <w:rPr>
      <w:rFonts w:ascii="Arial" w:hAnsi="Arial"/>
    </w:rPr>
  </w:style>
  <w:style w:type="paragraph" w:styleId="Heading4">
    <w:name w:val="heading 4"/>
    <w:aliases w:val="h4,H4,H41,h41,H42,h42,H43,h43,H411,h411,H421,h421,H44,h44,H412,h412,H422,h422,H431,h431,H45,h45,H413,h413,H423,h423,H432,h432,H46,h46,H47,h47,Memo Heading 4,Memo Heading 5,heading 4,Heading,4,Memo,5,heading 4 + Indent: Left 0.5 in,标题3a,4th lev"/>
    <w:basedOn w:val="Normal"/>
    <w:next w:val="Normal"/>
    <w:link w:val="Heading4Char"/>
    <w:qFormat/>
    <w:rsid w:val="0098555E"/>
    <w:pPr>
      <w:keepNext/>
      <w:jc w:val="right"/>
      <w:outlineLvl w:val="3"/>
    </w:pPr>
    <w:rPr>
      <w:rFonts w:ascii="Arial" w:hAnsi="Arial"/>
      <w:i/>
    </w:rPr>
  </w:style>
  <w:style w:type="paragraph" w:styleId="Heading5">
    <w:name w:val="heading 5"/>
    <w:aliases w:val="H5,h5,Heading5,标题 51,Head5,M5,mh2,Module heading 2,heading 8,Numbered Sub-list,Heading 81"/>
    <w:basedOn w:val="Normal"/>
    <w:next w:val="Normal"/>
    <w:link w:val="Heading5Char"/>
    <w:qFormat/>
    <w:rsid w:val="0098555E"/>
    <w:pPr>
      <w:keepNext/>
      <w:spacing w:line="360" w:lineRule="auto"/>
      <w:outlineLvl w:val="4"/>
    </w:pPr>
    <w:rPr>
      <w:sz w:val="26"/>
      <w:u w:val="single"/>
    </w:rPr>
  </w:style>
  <w:style w:type="paragraph" w:styleId="Heading6">
    <w:name w:val="heading 6"/>
    <w:basedOn w:val="Normal"/>
    <w:next w:val="Normal"/>
    <w:link w:val="Heading6Char"/>
    <w:uiPriority w:val="9"/>
    <w:qFormat/>
    <w:rsid w:val="0098555E"/>
    <w:pPr>
      <w:spacing w:before="240" w:after="60"/>
      <w:outlineLvl w:val="5"/>
    </w:pPr>
    <w:rPr>
      <w:i/>
      <w:sz w:val="22"/>
    </w:rPr>
  </w:style>
  <w:style w:type="paragraph" w:styleId="Heading7">
    <w:name w:val="heading 7"/>
    <w:basedOn w:val="Normal"/>
    <w:next w:val="Normal"/>
    <w:link w:val="Heading7Char"/>
    <w:uiPriority w:val="9"/>
    <w:qFormat/>
    <w:rsid w:val="0098555E"/>
    <w:pPr>
      <w:spacing w:before="240" w:after="60"/>
      <w:outlineLvl w:val="6"/>
    </w:pPr>
    <w:rPr>
      <w:rFonts w:ascii="Arial" w:hAnsi="Arial"/>
    </w:rPr>
  </w:style>
  <w:style w:type="paragraph" w:styleId="Heading8">
    <w:name w:val="heading 8"/>
    <w:aliases w:val="Table Heading"/>
    <w:basedOn w:val="Normal"/>
    <w:next w:val="Normal"/>
    <w:link w:val="Heading8Char"/>
    <w:uiPriority w:val="9"/>
    <w:qFormat/>
    <w:rsid w:val="0098555E"/>
    <w:pPr>
      <w:spacing w:before="240" w:after="60"/>
      <w:outlineLvl w:val="7"/>
    </w:pPr>
    <w:rPr>
      <w:rFonts w:ascii="Arial" w:hAnsi="Arial"/>
      <w:i/>
    </w:rPr>
  </w:style>
  <w:style w:type="paragraph" w:styleId="Heading9">
    <w:name w:val="heading 9"/>
    <w:aliases w:val="Figure Heading,FH"/>
    <w:basedOn w:val="Normal"/>
    <w:next w:val="Normal"/>
    <w:link w:val="Heading9Char"/>
    <w:uiPriority w:val="9"/>
    <w:qFormat/>
    <w:rsid w:val="0098555E"/>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unnumbered">
    <w:name w:val="Heading 1 unnumbered"/>
    <w:basedOn w:val="Heading1"/>
    <w:next w:val="BodyText"/>
    <w:uiPriority w:val="99"/>
    <w:qFormat/>
    <w:rsid w:val="0098555E"/>
    <w:pPr>
      <w:tabs>
        <w:tab w:val="num" w:pos="360"/>
      </w:tabs>
      <w:spacing w:before="360" w:after="240"/>
      <w:ind w:left="360" w:hanging="360"/>
      <w:outlineLvl w:val="9"/>
    </w:pPr>
    <w:rPr>
      <w:rFonts w:ascii="Times New Roman" w:hAnsi="Times New Roman"/>
      <w:sz w:val="32"/>
    </w:rPr>
  </w:style>
  <w:style w:type="paragraph" w:styleId="BodyText">
    <w:name w:val="Body Text"/>
    <w:basedOn w:val="Normal"/>
    <w:link w:val="BodyTextChar"/>
    <w:qFormat/>
    <w:rsid w:val="0098555E"/>
    <w:pPr>
      <w:spacing w:after="120"/>
    </w:pPr>
  </w:style>
  <w:style w:type="paragraph" w:styleId="BodyTextIndent">
    <w:name w:val="Body Text Indent"/>
    <w:basedOn w:val="Normal"/>
    <w:link w:val="BodyTextIndentChar"/>
    <w:uiPriority w:val="99"/>
    <w:qFormat/>
    <w:rsid w:val="0098555E"/>
    <w:pPr>
      <w:ind w:left="360"/>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basedOn w:val="Normal"/>
    <w:link w:val="HeaderChar"/>
    <w:qFormat/>
    <w:rsid w:val="0098555E"/>
    <w:pPr>
      <w:widowControl w:val="0"/>
    </w:pPr>
    <w:rPr>
      <w:rFonts w:ascii="Arial" w:eastAsia="MS Mincho" w:hAnsi="Arial"/>
      <w:b/>
      <w:noProof/>
      <w:sz w:val="18"/>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locked/>
    <w:rsid w:val="0086665A"/>
    <w:rPr>
      <w:rFonts w:ascii="Arial" w:hAnsi="Arial"/>
      <w:b/>
      <w:noProof/>
      <w:sz w:val="18"/>
      <w:lang w:val="en-GB"/>
    </w:rPr>
  </w:style>
  <w:style w:type="paragraph" w:styleId="DocumentMap">
    <w:name w:val="Document Map"/>
    <w:basedOn w:val="Normal"/>
    <w:link w:val="DocumentMapChar"/>
    <w:uiPriority w:val="99"/>
    <w:semiHidden/>
    <w:qFormat/>
    <w:rsid w:val="0098555E"/>
    <w:pPr>
      <w:shd w:val="clear" w:color="auto" w:fill="000080"/>
    </w:pPr>
    <w:rPr>
      <w:rFonts w:ascii="Tahoma" w:hAnsi="Tahoma"/>
    </w:rPr>
  </w:style>
  <w:style w:type="paragraph" w:styleId="PlainText">
    <w:name w:val="Plain Text"/>
    <w:basedOn w:val="Normal"/>
    <w:link w:val="PlainTextChar"/>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Normal"/>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List"/>
    <w:link w:val="B1Char"/>
    <w:qFormat/>
    <w:rsid w:val="0098555E"/>
  </w:style>
  <w:style w:type="paragraph" w:styleId="List">
    <w:name w:val="List"/>
    <w:basedOn w:val="Normal"/>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Normal"/>
    <w:next w:val="Normal"/>
    <w:uiPriority w:val="99"/>
    <w:qFormat/>
    <w:rsid w:val="0098555E"/>
    <w:pPr>
      <w:keepLines/>
      <w:tabs>
        <w:tab w:val="center" w:pos="4536"/>
        <w:tab w:val="right" w:pos="9072"/>
      </w:tabs>
      <w:spacing w:after="180"/>
    </w:pPr>
    <w:rPr>
      <w:noProof/>
    </w:rPr>
  </w:style>
  <w:style w:type="paragraph" w:customStyle="1" w:styleId="lptext">
    <w:name w:val="lˆptext"/>
    <w:basedOn w:val="Normal"/>
    <w:uiPriority w:val="99"/>
    <w:qFormat/>
    <w:rsid w:val="0098555E"/>
    <w:pPr>
      <w:spacing w:before="100" w:after="100"/>
      <w:ind w:left="860"/>
    </w:pPr>
    <w:rPr>
      <w:rFonts w:ascii="Times" w:hAnsi="Times"/>
    </w:rPr>
  </w:style>
  <w:style w:type="character" w:styleId="FootnoteReference">
    <w:name w:val="footnote reference"/>
    <w:rsid w:val="0098555E"/>
    <w:rPr>
      <w:rFonts w:eastAsia="Times New Roman"/>
      <w:b/>
      <w:noProof w:val="0"/>
      <w:kern w:val="2"/>
      <w:position w:val="6"/>
      <w:sz w:val="16"/>
      <w:lang w:val="en-GB"/>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98555E"/>
    <w:pPr>
      <w:keepLines/>
      <w:ind w:left="454" w:hanging="454"/>
    </w:pPr>
    <w:rPr>
      <w:sz w:val="16"/>
    </w:rPr>
  </w:style>
  <w:style w:type="paragraph" w:styleId="Caption">
    <w:name w:val="caption"/>
    <w:aliases w:val="cap,cap Char,Caption Char,Caption Char1 Char,cap Char Char1,Caption Char Char1 Char,cap Char2,条目,Ca,cap1,cap2,cap11,Légende-figure,Légende-figure Char,Beschrifubg,Beschriftung Char,label,cap11 Char Char Char,captions,Beschriftung Char Char,C"/>
    <w:basedOn w:val="Normal"/>
    <w:next w:val="Normal"/>
    <w:link w:val="CaptionChar1"/>
    <w:qFormat/>
    <w:rsid w:val="0098555E"/>
    <w:pPr>
      <w:spacing w:before="120" w:after="120"/>
    </w:pPr>
    <w:rPr>
      <w:b/>
    </w:rPr>
  </w:style>
  <w:style w:type="paragraph" w:customStyle="1" w:styleId="a">
    <w:name w:val="佐藤２"/>
    <w:basedOn w:val="Normal"/>
    <w:uiPriority w:val="99"/>
    <w:qFormat/>
    <w:rsid w:val="0098555E"/>
    <w:pPr>
      <w:numPr>
        <w:numId w:val="2"/>
      </w:numPr>
      <w:spacing w:after="180"/>
    </w:pPr>
  </w:style>
  <w:style w:type="paragraph" w:styleId="BodyTextIndent2">
    <w:name w:val="Body Text Indent 2"/>
    <w:basedOn w:val="Normal"/>
    <w:link w:val="BodyTextIndent2Char"/>
    <w:uiPriority w:val="99"/>
    <w:qFormat/>
    <w:rsid w:val="0098555E"/>
    <w:pPr>
      <w:widowControl w:val="0"/>
      <w:autoSpaceDE w:val="0"/>
      <w:autoSpaceDN w:val="0"/>
      <w:adjustRightInd w:val="0"/>
      <w:ind w:left="1656"/>
      <w:jc w:val="both"/>
      <w:textAlignment w:val="baseline"/>
    </w:pPr>
    <w:rPr>
      <w:kern w:val="2"/>
    </w:rPr>
  </w:style>
  <w:style w:type="paragraph" w:styleId="ListBullet2">
    <w:name w:val="List Bullet 2"/>
    <w:aliases w:val="lb2"/>
    <w:basedOn w:val="ListBullet"/>
    <w:autoRedefine/>
    <w:uiPriority w:val="99"/>
    <w:qFormat/>
    <w:rsid w:val="0098555E"/>
    <w:pPr>
      <w:tabs>
        <w:tab w:val="clear" w:pos="360"/>
      </w:tabs>
      <w:spacing w:after="60"/>
      <w:ind w:left="1080" w:hanging="357"/>
    </w:pPr>
    <w:rPr>
      <w:rFonts w:ascii="Arial" w:hAnsi="Arial"/>
    </w:rPr>
  </w:style>
  <w:style w:type="paragraph" w:styleId="ListBullet">
    <w:name w:val="List Bullet"/>
    <w:basedOn w:val="Normal"/>
    <w:autoRedefine/>
    <w:uiPriority w:val="99"/>
    <w:qFormat/>
    <w:rsid w:val="0098555E"/>
    <w:pPr>
      <w:tabs>
        <w:tab w:val="num" w:pos="360"/>
      </w:tabs>
      <w:ind w:left="360" w:hanging="360"/>
    </w:pPr>
  </w:style>
  <w:style w:type="paragraph" w:customStyle="1" w:styleId="ListBulletLast">
    <w:name w:val="List Bullet Last"/>
    <w:aliases w:val="lbl"/>
    <w:basedOn w:val="ListBullet"/>
    <w:next w:val="BodyText"/>
    <w:uiPriority w:val="99"/>
    <w:qFormat/>
    <w:rsid w:val="0098555E"/>
    <w:pPr>
      <w:tabs>
        <w:tab w:val="clear" w:pos="360"/>
      </w:tabs>
      <w:spacing w:after="240"/>
      <w:ind w:left="714" w:hanging="357"/>
    </w:pPr>
    <w:rPr>
      <w:rFonts w:ascii="Arial" w:hAnsi="Arial"/>
    </w:rPr>
  </w:style>
  <w:style w:type="paragraph" w:styleId="Footer">
    <w:name w:val="footer"/>
    <w:basedOn w:val="Normal"/>
    <w:link w:val="FooterChar"/>
    <w:uiPriority w:val="99"/>
    <w:qFormat/>
    <w:rsid w:val="0098555E"/>
    <w:pPr>
      <w:tabs>
        <w:tab w:val="center" w:pos="4536"/>
        <w:tab w:val="right" w:pos="9072"/>
      </w:tabs>
      <w:spacing w:before="120"/>
    </w:pPr>
    <w:rPr>
      <w:lang w:val="de-DE"/>
    </w:rPr>
  </w:style>
  <w:style w:type="paragraph" w:styleId="List2">
    <w:name w:val="List 2"/>
    <w:basedOn w:val="List"/>
    <w:uiPriority w:val="99"/>
    <w:qFormat/>
    <w:rsid w:val="0098555E"/>
    <w:pPr>
      <w:ind w:left="851"/>
    </w:pPr>
  </w:style>
  <w:style w:type="paragraph" w:customStyle="1" w:styleId="TitleText">
    <w:name w:val="Title Text"/>
    <w:basedOn w:val="Normal"/>
    <w:next w:val="Normal"/>
    <w:uiPriority w:val="99"/>
    <w:qFormat/>
    <w:rsid w:val="0098555E"/>
    <w:pPr>
      <w:spacing w:after="220"/>
    </w:pPr>
    <w:rPr>
      <w:rFonts w:ascii="Arial" w:hAnsi="Arial"/>
      <w:b/>
      <w:sz w:val="22"/>
    </w:rPr>
  </w:style>
  <w:style w:type="paragraph" w:styleId="Title">
    <w:name w:val="Title"/>
    <w:basedOn w:val="Normal"/>
    <w:link w:val="TitleChar"/>
    <w:uiPriority w:val="99"/>
    <w:qFormat/>
    <w:rsid w:val="0098555E"/>
    <w:pPr>
      <w:jc w:val="center"/>
    </w:pPr>
    <w:rPr>
      <w:rFonts w:ascii="Arial" w:hAnsi="Arial"/>
      <w:b/>
    </w:rPr>
  </w:style>
  <w:style w:type="paragraph" w:styleId="TableofFigures">
    <w:name w:val="table of figures"/>
    <w:basedOn w:val="TOC1"/>
    <w:next w:val="Normal"/>
    <w:uiPriority w:val="99"/>
    <w:semiHidden/>
    <w:qFormat/>
    <w:rsid w:val="0098555E"/>
    <w:pPr>
      <w:tabs>
        <w:tab w:val="right" w:leader="dot" w:pos="9360"/>
      </w:tabs>
      <w:spacing w:before="120" w:after="120"/>
    </w:pPr>
    <w:rPr>
      <w:caps/>
    </w:rPr>
  </w:style>
  <w:style w:type="paragraph" w:styleId="TOC1">
    <w:name w:val="toc 1"/>
    <w:basedOn w:val="Normal"/>
    <w:next w:val="Normal"/>
    <w:autoRedefine/>
    <w:uiPriority w:val="99"/>
    <w:qFormat/>
    <w:rsid w:val="0098555E"/>
  </w:style>
  <w:style w:type="character" w:styleId="PageNumber">
    <w:name w:val="page number"/>
    <w:rsid w:val="0098555E"/>
    <w:rPr>
      <w:rFonts w:eastAsia="Times New Roman"/>
      <w:noProof w:val="0"/>
      <w:kern w:val="2"/>
      <w:sz w:val="21"/>
      <w:lang w:val="en-GB"/>
    </w:rPr>
  </w:style>
  <w:style w:type="paragraph" w:styleId="BodyText3">
    <w:name w:val="Body Text 3"/>
    <w:basedOn w:val="Normal"/>
    <w:link w:val="BodyText3Char"/>
    <w:uiPriority w:val="99"/>
    <w:qFormat/>
    <w:rsid w:val="0098555E"/>
    <w:pPr>
      <w:jc w:val="both"/>
    </w:pPr>
  </w:style>
  <w:style w:type="paragraph" w:customStyle="1" w:styleId="TableText">
    <w:name w:val="Table_Text"/>
    <w:basedOn w:val="Normal"/>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BodyText"/>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rsid w:val="0098555E"/>
    <w:pPr>
      <w:overflowPunct w:val="0"/>
      <w:autoSpaceDE w:val="0"/>
      <w:autoSpaceDN w:val="0"/>
      <w:adjustRightInd w:val="0"/>
      <w:textAlignment w:val="baseline"/>
    </w:pPr>
  </w:style>
  <w:style w:type="paragraph" w:customStyle="1" w:styleId="B3">
    <w:name w:val="B3"/>
    <w:basedOn w:val="List3"/>
    <w:link w:val="B3Char"/>
    <w:qFormat/>
    <w:rsid w:val="0098555E"/>
    <w:pPr>
      <w:overflowPunct w:val="0"/>
      <w:autoSpaceDE w:val="0"/>
      <w:autoSpaceDN w:val="0"/>
      <w:adjustRightInd w:val="0"/>
      <w:spacing w:after="180"/>
      <w:ind w:leftChars="0" w:left="1135" w:firstLineChars="0" w:hanging="284"/>
      <w:textAlignment w:val="baseline"/>
    </w:pPr>
  </w:style>
  <w:style w:type="paragraph" w:styleId="List3">
    <w:name w:val="List 3"/>
    <w:basedOn w:val="Normal"/>
    <w:uiPriority w:val="99"/>
    <w:qFormat/>
    <w:rsid w:val="0098555E"/>
    <w:pPr>
      <w:ind w:leftChars="400" w:left="100" w:hangingChars="200" w:hanging="200"/>
    </w:pPr>
  </w:style>
  <w:style w:type="paragraph" w:customStyle="1" w:styleId="RecCCITT">
    <w:name w:val="Rec_CCITT_#"/>
    <w:basedOn w:val="Normal"/>
    <w:uiPriority w:val="99"/>
    <w:qFormat/>
    <w:rsid w:val="0098555E"/>
    <w:pPr>
      <w:keepNext/>
      <w:keepLines/>
      <w:spacing w:after="180"/>
    </w:pPr>
    <w:rPr>
      <w:b/>
    </w:rPr>
  </w:style>
  <w:style w:type="character" w:styleId="Hyperlink">
    <w:name w:val="Hyperlink"/>
    <w:uiPriority w:val="99"/>
    <w:rsid w:val="0098555E"/>
    <w:rPr>
      <w:rFonts w:eastAsia="Times New Roman"/>
      <w:noProof w:val="0"/>
      <w:color w:val="0000FF"/>
      <w:kern w:val="2"/>
      <w:sz w:val="21"/>
      <w:u w:val="single"/>
      <w:lang w:val="en-GB"/>
    </w:rPr>
  </w:style>
  <w:style w:type="character" w:styleId="FollowedHyperlink">
    <w:name w:val="FollowedHyperlink"/>
    <w:rsid w:val="0098555E"/>
    <w:rPr>
      <w:rFonts w:eastAsia="Times New Roman"/>
      <w:noProof w:val="0"/>
      <w:color w:val="800080"/>
      <w:kern w:val="2"/>
      <w:sz w:val="21"/>
      <w:u w:val="single"/>
      <w:lang w:val="en-GB"/>
    </w:rPr>
  </w:style>
  <w:style w:type="character" w:styleId="CommentReference">
    <w:name w:val="annotation reference"/>
    <w:qFormat/>
    <w:rsid w:val="0098555E"/>
    <w:rPr>
      <w:rFonts w:eastAsia="Times New Roman"/>
      <w:noProof w:val="0"/>
      <w:kern w:val="2"/>
      <w:sz w:val="16"/>
      <w:lang w:val="en-GB"/>
    </w:rPr>
  </w:style>
  <w:style w:type="paragraph" w:styleId="BalloonText">
    <w:name w:val="Balloon Text"/>
    <w:basedOn w:val="Normal"/>
    <w:link w:val="BalloonTextChar"/>
    <w:uiPriority w:val="99"/>
    <w:qFormat/>
    <w:rsid w:val="0098555E"/>
    <w:rPr>
      <w:rFonts w:ascii="Arial" w:hAnsi="Arial"/>
      <w:sz w:val="18"/>
    </w:rPr>
  </w:style>
  <w:style w:type="character" w:customStyle="1" w:styleId="BalloonTextChar">
    <w:name w:val="Balloon Text Char"/>
    <w:link w:val="BalloonText"/>
    <w:uiPriority w:val="99"/>
    <w:rsid w:val="00DC57EE"/>
    <w:rPr>
      <w:rFonts w:ascii="Arial" w:eastAsia="MS Gothic" w:hAnsi="Arial"/>
      <w:sz w:val="18"/>
      <w:lang w:val="en-GB"/>
    </w:rPr>
  </w:style>
  <w:style w:type="paragraph" w:customStyle="1" w:styleId="Reference">
    <w:name w:val="Reference"/>
    <w:basedOn w:val="Normal"/>
    <w:uiPriority w:val="99"/>
    <w:qFormat/>
    <w:rsid w:val="0098555E"/>
    <w:pPr>
      <w:widowControl w:val="0"/>
      <w:ind w:left="283" w:hanging="283"/>
      <w:jc w:val="both"/>
    </w:pPr>
    <w:rPr>
      <w:rFonts w:ascii="Arial" w:eastAsia="MS Mincho" w:hAnsi="Arial"/>
      <w:kern w:val="2"/>
      <w:sz w:val="21"/>
      <w:lang w:val="de-DE"/>
    </w:rPr>
  </w:style>
  <w:style w:type="paragraph" w:styleId="CommentText">
    <w:name w:val="annotation text"/>
    <w:basedOn w:val="Normal"/>
    <w:link w:val="CommentTextChar"/>
    <w:qFormat/>
    <w:rsid w:val="0098555E"/>
    <w:rPr>
      <w:sz w:val="20"/>
    </w:rPr>
  </w:style>
  <w:style w:type="character" w:customStyle="1" w:styleId="CommentTextChar">
    <w:name w:val="Comment Text Char"/>
    <w:basedOn w:val="DefaultParagraphFont"/>
    <w:link w:val="CommentText"/>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0">
    <w:name w:val="図表番号 (文字)"/>
    <w:aliases w:val="cap (文字),cap Char (文字) (文字)1,Beschrifubg (文字),3GPP Caption Table (文字),cap Char Char Char Char Char Char Char (文字),Caption Char2 (文字),Caption Char Char Char (文字),fighead2 (文字)"/>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CommentSubject">
    <w:name w:val="annotation subject"/>
    <w:basedOn w:val="CommentText"/>
    <w:next w:val="CommentText"/>
    <w:link w:val="CommentSubjectChar"/>
    <w:uiPriority w:val="99"/>
    <w:qFormat/>
    <w:rsid w:val="0098555E"/>
    <w:rPr>
      <w:b/>
      <w:sz w:val="24"/>
    </w:rPr>
  </w:style>
  <w:style w:type="character" w:customStyle="1" w:styleId="CommentSubjectChar">
    <w:name w:val="Comment Subject Char"/>
    <w:basedOn w:val="CommentTextChar"/>
    <w:link w:val="CommentSubject"/>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宋体"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Normal"/>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TableGrid">
    <w:name w:val="Table Grid"/>
    <w:basedOn w:val="TableNormal"/>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宋体" w:hAnsi="Arial" w:cs="Arial"/>
      <w:color w:val="0000FF"/>
      <w:kern w:val="2"/>
      <w:lang w:eastAsia="zh-CN"/>
    </w:rPr>
  </w:style>
  <w:style w:type="paragraph" w:styleId="NormalWeb">
    <w:name w:val="Normal (Web)"/>
    <w:basedOn w:val="Normal"/>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Normal"/>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Revision">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Normal"/>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列出段落"/>
    <w:basedOn w:val="Normal"/>
    <w:link w:val="ListParagraphChar"/>
    <w:uiPriority w:val="34"/>
    <w:qFormat/>
    <w:rsid w:val="002D136A"/>
    <w:pPr>
      <w:ind w:leftChars="400" w:left="840"/>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1640AD"/>
    <w:rPr>
      <w:rFonts w:ascii="Times New Roman" w:eastAsia="MS Gothic" w:hAnsi="Times New Roman"/>
      <w:sz w:val="24"/>
      <w:lang w:val="en-GB"/>
    </w:rPr>
  </w:style>
  <w:style w:type="paragraph" w:customStyle="1" w:styleId="TAR">
    <w:name w:val="TAR"/>
    <w:basedOn w:val="Normal"/>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Normal"/>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NoteHeading">
    <w:name w:val="Note Heading"/>
    <w:basedOn w:val="Normal"/>
    <w:next w:val="Normal"/>
    <w:link w:val="NoteHeadingChar"/>
    <w:uiPriority w:val="99"/>
    <w:qFormat/>
    <w:rsid w:val="00384D66"/>
    <w:pPr>
      <w:jc w:val="center"/>
    </w:pPr>
    <w:rPr>
      <w:b/>
      <w:color w:val="FF0000"/>
      <w:szCs w:val="21"/>
      <w:lang w:val="en-US"/>
    </w:rPr>
  </w:style>
  <w:style w:type="character" w:customStyle="1" w:styleId="NoteHeadingChar">
    <w:name w:val="Note Heading Char"/>
    <w:basedOn w:val="DefaultParagraphFont"/>
    <w:link w:val="NoteHeading"/>
    <w:uiPriority w:val="99"/>
    <w:rsid w:val="00384D66"/>
    <w:rPr>
      <w:rFonts w:ascii="Times New Roman" w:eastAsia="MS Gothic" w:hAnsi="Times New Roman"/>
      <w:b/>
      <w:color w:val="FF0000"/>
      <w:sz w:val="24"/>
      <w:szCs w:val="21"/>
    </w:rPr>
  </w:style>
  <w:style w:type="paragraph" w:styleId="Closing">
    <w:name w:val="Closing"/>
    <w:basedOn w:val="Normal"/>
    <w:link w:val="ClosingChar"/>
    <w:uiPriority w:val="99"/>
    <w:qFormat/>
    <w:rsid w:val="00384D66"/>
    <w:pPr>
      <w:jc w:val="right"/>
    </w:pPr>
    <w:rPr>
      <w:b/>
      <w:color w:val="FF0000"/>
      <w:szCs w:val="21"/>
      <w:lang w:val="en-US"/>
    </w:rPr>
  </w:style>
  <w:style w:type="character" w:customStyle="1" w:styleId="ClosingChar">
    <w:name w:val="Closing Char"/>
    <w:basedOn w:val="DefaultParagraphFont"/>
    <w:link w:val="Closing"/>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BodyText"/>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Normal"/>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ListNumber3">
    <w:name w:val="List Number 3"/>
    <w:basedOn w:val="Normal"/>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PlaceholderText">
    <w:name w:val="Placeholder Text"/>
    <w:basedOn w:val="DefaultParagraphFont"/>
    <w:uiPriority w:val="99"/>
    <w:semiHidden/>
    <w:rsid w:val="004D2ABD"/>
    <w:rPr>
      <w:color w:val="808080"/>
    </w:rPr>
  </w:style>
  <w:style w:type="paragraph" w:customStyle="1" w:styleId="H6">
    <w:name w:val="H6"/>
    <w:basedOn w:val="Heading5"/>
    <w:next w:val="Normal"/>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uiPriority w:val="39"/>
    <w:qFormat/>
    <w:rsid w:val="00DC57EE"/>
    <w:pPr>
      <w:ind w:left="1418" w:hanging="1418"/>
    </w:pPr>
  </w:style>
  <w:style w:type="paragraph" w:styleId="TOC8">
    <w:name w:val="toc 8"/>
    <w:basedOn w:val="TOC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Heading1"/>
    <w:next w:val="Normal"/>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Normal"/>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Normal"/>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Normal"/>
    <w:uiPriority w:val="99"/>
    <w:qFormat/>
    <w:rsid w:val="00DC57EE"/>
    <w:pPr>
      <w:keepLines/>
      <w:spacing w:after="180"/>
      <w:ind w:left="1702" w:hanging="1418"/>
    </w:pPr>
    <w:rPr>
      <w:rFonts w:eastAsiaTheme="minorEastAsia"/>
      <w:sz w:val="20"/>
      <w:lang w:eastAsia="en-US"/>
    </w:rPr>
  </w:style>
  <w:style w:type="paragraph" w:customStyle="1" w:styleId="FP">
    <w:name w:val="FP"/>
    <w:basedOn w:val="Normal"/>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Normal"/>
    <w:qFormat/>
    <w:rsid w:val="00DC57EE"/>
    <w:pPr>
      <w:spacing w:after="180"/>
      <w:ind w:left="1418" w:hanging="284"/>
    </w:pPr>
    <w:rPr>
      <w:rFonts w:eastAsiaTheme="minorEastAsia"/>
      <w:sz w:val="20"/>
      <w:lang w:eastAsia="en-US"/>
    </w:rPr>
  </w:style>
  <w:style w:type="paragraph" w:customStyle="1" w:styleId="B5">
    <w:name w:val="B5"/>
    <w:basedOn w:val="Normal"/>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Normal"/>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
    <w:name w:val="网格表 1 浅色1"/>
    <w:basedOn w:val="TableNormal"/>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sid w:val="00C94D79"/>
    <w:rPr>
      <w:rFonts w:ascii="Arial" w:eastAsiaTheme="minorEastAsia" w:hAnsi="Arial"/>
      <w:sz w:val="18"/>
      <w:lang w:val="en-GB" w:eastAsia="en-US"/>
    </w:rPr>
  </w:style>
  <w:style w:type="character" w:customStyle="1" w:styleId="PLChar">
    <w:name w:val="PL Char"/>
    <w:basedOn w:val="DefaultParagraphFont"/>
    <w:link w:val="PL"/>
    <w:qFormat/>
    <w:locked/>
    <w:rsid w:val="00BF5D41"/>
    <w:rPr>
      <w:rFonts w:ascii="Courier New" w:eastAsiaTheme="minorEastAsia" w:hAnsi="Courier New"/>
      <w:noProof/>
      <w:sz w:val="16"/>
      <w:lang w:val="en-GB" w:eastAsia="en-US"/>
    </w:rPr>
  </w:style>
  <w:style w:type="paragraph" w:customStyle="1" w:styleId="10">
    <w:name w:val="正文1"/>
    <w:uiPriority w:val="99"/>
    <w:qFormat/>
    <w:rsid w:val="00AF09C2"/>
    <w:rPr>
      <w:rFonts w:eastAsia="宋体" w:cs="Times"/>
      <w:sz w:val="24"/>
      <w:szCs w:val="24"/>
      <w:lang w:eastAsia="zh-CN"/>
    </w:rPr>
  </w:style>
  <w:style w:type="paragraph" w:customStyle="1" w:styleId="Style1">
    <w:name w:val="Style1"/>
    <w:basedOn w:val="Normal"/>
    <w:link w:val="Style1Char"/>
    <w:qFormat/>
    <w:rsid w:val="00AF09C2"/>
    <w:pPr>
      <w:spacing w:before="100" w:beforeAutospacing="1" w:after="100" w:afterAutospacing="1" w:line="300" w:lineRule="auto"/>
      <w:ind w:firstLine="360"/>
      <w:contextualSpacing/>
      <w:jc w:val="both"/>
    </w:pPr>
    <w:rPr>
      <w:rFonts w:eastAsia="宋体"/>
      <w:szCs w:val="24"/>
      <w:lang w:val="en-US" w:eastAsia="zh-CN"/>
    </w:rPr>
  </w:style>
  <w:style w:type="paragraph" w:customStyle="1" w:styleId="Bullets">
    <w:name w:val="Bullets"/>
    <w:basedOn w:val="Normal"/>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Normal"/>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Normal"/>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DefaultParagraphFont"/>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Normal"/>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宋体" w:hAnsi="Times New Roman"/>
      <w:sz w:val="24"/>
      <w:szCs w:val="24"/>
      <w:lang w:eastAsia="zh-CN"/>
    </w:rPr>
  </w:style>
  <w:style w:type="paragraph" w:customStyle="1" w:styleId="3GPPText">
    <w:name w:val="3GPP Text"/>
    <w:basedOn w:val="Normal"/>
    <w:link w:val="3GPPTextChar"/>
    <w:qFormat/>
    <w:rsid w:val="00C6450A"/>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3GPPTextChar">
    <w:name w:val="3GPP Text Char"/>
    <w:link w:val="3GPPText"/>
    <w:qFormat/>
    <w:rsid w:val="00C6450A"/>
    <w:rPr>
      <w:rFonts w:ascii="Times New Roman" w:eastAsia="宋体" w:hAnsi="Times New Roman"/>
      <w:sz w:val="22"/>
      <w:lang w:eastAsia="en-US"/>
    </w:rPr>
  </w:style>
  <w:style w:type="paragraph" w:customStyle="1" w:styleId="3GPPAgreements">
    <w:name w:val="3GPP Agreements"/>
    <w:basedOn w:val="Normal"/>
    <w:link w:val="3GPPAgreementsChar"/>
    <w:qFormat/>
    <w:rsid w:val="00FC3868"/>
    <w:pPr>
      <w:numPr>
        <w:numId w:val="8"/>
      </w:numPr>
      <w:spacing w:before="60" w:after="60"/>
      <w:jc w:val="both"/>
    </w:pPr>
    <w:rPr>
      <w:rFonts w:eastAsia="宋体"/>
      <w:lang w:val="en-US" w:eastAsia="zh-CN"/>
    </w:rPr>
  </w:style>
  <w:style w:type="character" w:styleId="Emphasis">
    <w:name w:val="Emphasis"/>
    <w:basedOn w:val="DefaultParagraphFont"/>
    <w:uiPriority w:val="20"/>
    <w:qFormat/>
    <w:rsid w:val="00D0553E"/>
    <w:rPr>
      <w:rFonts w:ascii="Times New Roman" w:hAnsi="Times New Roman" w:cs="Times New Roman" w:hint="default"/>
      <w:i/>
      <w:iCs/>
    </w:rPr>
  </w:style>
  <w:style w:type="paragraph" w:customStyle="1" w:styleId="Agreement">
    <w:name w:val="Agreement"/>
    <w:basedOn w:val="Normal"/>
    <w:next w:val="Doc-text2"/>
    <w:uiPriority w:val="99"/>
    <w:qFormat/>
    <w:rsid w:val="001C5646"/>
    <w:pPr>
      <w:spacing w:before="60"/>
    </w:pPr>
    <w:rPr>
      <w:rFonts w:ascii="Arial" w:eastAsia="Times New Roman" w:hAnsi="Arial"/>
      <w:b/>
      <w:sz w:val="20"/>
      <w:szCs w:val="24"/>
    </w:rPr>
  </w:style>
  <w:style w:type="character" w:customStyle="1" w:styleId="Heading1Char">
    <w:name w:val="Heading 1 Char"/>
    <w:aliases w:val="H1 Char1,h1 Char1,app heading 1 Char1,l1 Char1,Memo Heading 1 Char1,h11 Char1,h12 Char1,h13 Char1,h14 Char1,h15 Char1,h16 Char1,Heading 1_a Char,heading 1 Char,h17 Char,h111 Char,h121 Char,h131 Char,h141 Char,h151 Char,h161 Char,h18 Char"/>
    <w:basedOn w:val="DefaultParagraphFont"/>
    <w:link w:val="Heading1"/>
    <w:rsid w:val="00FA6E98"/>
    <w:rPr>
      <w:rFonts w:ascii="Arial" w:eastAsia="MS Gothic" w:hAnsi="Arial"/>
      <w:kern w:val="28"/>
      <w:sz w:val="28"/>
      <w:lang w:val="en-GB"/>
    </w:rPr>
  </w:style>
  <w:style w:type="character" w:customStyle="1" w:styleId="Heading2Char2">
    <w:name w:val="Heading 2 Char2"/>
    <w:aliases w:val="DO NOT USE_h2 Char1,h2 Char1,h21 Char1,H2 Char1,Head2A Char1,2 Char1,UNDERRUBRIK 1-2 Char1,Heading 2 Char Char,Header 2 Char,Header2 Char,22 Char,heading2 Char,2nd level Char,H21 Char,H22 Char,H23 Char,H24 Char,H25 Char,R2 Char,E2 Char"/>
    <w:basedOn w:val="DefaultParagraphFont"/>
    <w:link w:val="Heading2"/>
    <w:rsid w:val="00FA6E98"/>
    <w:rPr>
      <w:rFonts w:ascii="Arial" w:eastAsia="MS Gothic" w:hAnsi="Arial"/>
      <w:sz w:val="24"/>
      <w:lang w:val="en-GB"/>
    </w:rPr>
  </w:style>
  <w:style w:type="character" w:customStyle="1" w:styleId="Heading3Char">
    <w:name w:val="Heading 3 Char"/>
    <w:aliases w:val="Underrubrik2 Char1,H3 Char1,no break Char1,Memo Heading 3 Char1"/>
    <w:basedOn w:val="DefaultParagraphFont"/>
    <w:link w:val="Heading3"/>
    <w:rsid w:val="00FA6E98"/>
    <w:rPr>
      <w:rFonts w:ascii="Arial" w:eastAsia="MS Gothic" w:hAnsi="Arial"/>
      <w:sz w:val="24"/>
      <w:lang w:val="en-GB"/>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FA6E98"/>
    <w:rPr>
      <w:rFonts w:ascii="Arial" w:eastAsia="MS Gothic" w:hAnsi="Arial"/>
      <w:i/>
      <w:sz w:val="24"/>
      <w:lang w:val="en-GB"/>
    </w:rPr>
  </w:style>
  <w:style w:type="character" w:customStyle="1" w:styleId="Heading5Char">
    <w:name w:val="Heading 5 Char"/>
    <w:aliases w:val="H5 Char1,h5 Char,Heading5 Char,标题 51 Char,Head5 Char,M5 Char,mh2 Char,Module heading 2 Char,heading 8 Char,Numbered Sub-list Char,Heading 81 Char"/>
    <w:basedOn w:val="DefaultParagraphFont"/>
    <w:link w:val="Heading5"/>
    <w:rsid w:val="00FA6E98"/>
    <w:rPr>
      <w:rFonts w:ascii="Times New Roman" w:eastAsia="MS Gothic" w:hAnsi="Times New Roman"/>
      <w:sz w:val="26"/>
      <w:u w:val="single"/>
      <w:lang w:val="en-GB"/>
    </w:rPr>
  </w:style>
  <w:style w:type="character" w:customStyle="1" w:styleId="Heading6Char">
    <w:name w:val="Heading 6 Char"/>
    <w:basedOn w:val="DefaultParagraphFont"/>
    <w:link w:val="Heading6"/>
    <w:rsid w:val="00FA6E98"/>
    <w:rPr>
      <w:rFonts w:ascii="Times New Roman" w:eastAsia="MS Gothic" w:hAnsi="Times New Roman"/>
      <w:i/>
      <w:sz w:val="22"/>
      <w:lang w:val="en-GB"/>
    </w:rPr>
  </w:style>
  <w:style w:type="character" w:customStyle="1" w:styleId="Heading7Char">
    <w:name w:val="Heading 7 Char"/>
    <w:basedOn w:val="DefaultParagraphFont"/>
    <w:link w:val="Heading7"/>
    <w:rsid w:val="00FA6E98"/>
    <w:rPr>
      <w:rFonts w:ascii="Arial" w:eastAsia="MS Gothic" w:hAnsi="Arial"/>
      <w:sz w:val="24"/>
      <w:lang w:val="en-GB"/>
    </w:rPr>
  </w:style>
  <w:style w:type="character" w:customStyle="1" w:styleId="Heading8Char">
    <w:name w:val="Heading 8 Char"/>
    <w:aliases w:val="Table Heading Char1"/>
    <w:basedOn w:val="DefaultParagraphFont"/>
    <w:link w:val="Heading8"/>
    <w:rsid w:val="00FA6E98"/>
    <w:rPr>
      <w:rFonts w:ascii="Arial" w:eastAsia="MS Gothic" w:hAnsi="Arial"/>
      <w:i/>
      <w:sz w:val="24"/>
      <w:lang w:val="en-GB"/>
    </w:rPr>
  </w:style>
  <w:style w:type="character" w:customStyle="1" w:styleId="Heading9Char">
    <w:name w:val="Heading 9 Char"/>
    <w:aliases w:val="Figure Heading Char1,FH Char1"/>
    <w:basedOn w:val="DefaultParagraphFont"/>
    <w:link w:val="Heading9"/>
    <w:rsid w:val="00FA6E98"/>
    <w:rPr>
      <w:rFonts w:ascii="Arial" w:eastAsia="MS Gothic" w:hAnsi="Arial"/>
      <w:b/>
      <w:i/>
      <w:sz w:val="18"/>
      <w:lang w:val="en-GB"/>
    </w:rPr>
  </w:style>
  <w:style w:type="character" w:customStyle="1" w:styleId="BodyTextChar">
    <w:name w:val="Body Text Char"/>
    <w:basedOn w:val="DefaultParagraphFont"/>
    <w:link w:val="BodyText"/>
    <w:rsid w:val="00FA6E98"/>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rsid w:val="00FA6E98"/>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rsid w:val="00FA6E98"/>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rsid w:val="00FA6E98"/>
    <w:rPr>
      <w:rFonts w:ascii="Courier New" w:eastAsia="MS Gothic" w:hAnsi="Courier New"/>
      <w:sz w:val="24"/>
      <w:lang w:val="en-GB"/>
    </w:rPr>
  </w:style>
  <w:style w:type="character" w:customStyle="1" w:styleId="FootnoteTextChar">
    <w:name w:val="Footnote Text Char"/>
    <w:aliases w:val="footnote text1 Char1,footnote text2 Char1,footnote text3 Char1,footnote text4 Char1,footnote text5 Char1,footnote text6 Char1,footnote text7 Char1,footnote text11 Char1,footnote text21 Char1,footnote text31 Char1,footnote text41 Char1"/>
    <w:basedOn w:val="DefaultParagraphFont"/>
    <w:link w:val="FootnoteText"/>
    <w:rsid w:val="00FA6E98"/>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rsid w:val="00FA6E98"/>
    <w:rPr>
      <w:rFonts w:ascii="Times New Roman" w:eastAsia="MS Gothic" w:hAnsi="Times New Roman"/>
      <w:kern w:val="2"/>
      <w:sz w:val="24"/>
      <w:lang w:val="en-GB"/>
    </w:rPr>
  </w:style>
  <w:style w:type="character" w:customStyle="1" w:styleId="FooterChar">
    <w:name w:val="Footer Char"/>
    <w:basedOn w:val="DefaultParagraphFont"/>
    <w:link w:val="Footer"/>
    <w:uiPriority w:val="99"/>
    <w:rsid w:val="00FA6E98"/>
    <w:rPr>
      <w:rFonts w:ascii="Times New Roman" w:eastAsia="MS Gothic" w:hAnsi="Times New Roman"/>
      <w:sz w:val="24"/>
      <w:lang w:val="de-DE"/>
    </w:rPr>
  </w:style>
  <w:style w:type="character" w:customStyle="1" w:styleId="TitleChar">
    <w:name w:val="Title Char"/>
    <w:basedOn w:val="DefaultParagraphFont"/>
    <w:link w:val="Title"/>
    <w:uiPriority w:val="99"/>
    <w:rsid w:val="00FA6E98"/>
    <w:rPr>
      <w:rFonts w:ascii="Arial" w:eastAsia="MS Gothic" w:hAnsi="Arial"/>
      <w:b/>
      <w:sz w:val="24"/>
      <w:lang w:val="en-GB"/>
    </w:rPr>
  </w:style>
  <w:style w:type="character" w:customStyle="1" w:styleId="BodyText3Char">
    <w:name w:val="Body Text 3 Char"/>
    <w:basedOn w:val="DefaultParagraphFont"/>
    <w:link w:val="BodyText3"/>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DefaultParagraphFont"/>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DefaultParagraphFont"/>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DefaultParagraphFont"/>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DefaultParagraphFont"/>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DefaultParagraphFont"/>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DefaultParagraphFont"/>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DefaultParagraphFont"/>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DefaultParagraphFont"/>
    <w:semiHidden/>
    <w:rsid w:val="00FA6E98"/>
    <w:rPr>
      <w:rFonts w:ascii="Times New Roman" w:eastAsia="MS Gothic" w:hAnsi="Times New Roman"/>
      <w:sz w:val="24"/>
      <w:lang w:val="en-GB"/>
    </w:rPr>
  </w:style>
  <w:style w:type="character" w:customStyle="1" w:styleId="CaptionChar1">
    <w:name w:val="Caption Char1"/>
    <w:aliases w:val="cap Char1,cap Char Char,Caption Char Char,Caption Char1 Char Char,cap Char Char1 Char,Caption Char Char1 Char Char,cap Char2 Char,条目 Char,Ca Char,cap1 Char,cap2 Char,cap11 Char,Légende-figure Char1,Légende-figure Char Char,Beschrifubg Char"/>
    <w:link w:val="Caption"/>
    <w:locked/>
    <w:rsid w:val="00FA6E98"/>
    <w:rPr>
      <w:rFonts w:ascii="Times New Roman" w:eastAsia="MS Gothic" w:hAnsi="Times New Roman"/>
      <w:b/>
      <w:sz w:val="24"/>
      <w:lang w:val="en-GB"/>
    </w:rPr>
  </w:style>
  <w:style w:type="character" w:customStyle="1" w:styleId="apple-converted-space">
    <w:name w:val="apple-converted-space"/>
    <w:basedOn w:val="DefaultParagraphFont"/>
    <w:qFormat/>
    <w:rsid w:val="00FA6E98"/>
  </w:style>
  <w:style w:type="character" w:styleId="Strong">
    <w:name w:val="Strong"/>
    <w:uiPriority w:val="22"/>
    <w:qFormat/>
    <w:rsid w:val="00FA6E98"/>
    <w:rPr>
      <w:b/>
      <w:bCs/>
    </w:rPr>
  </w:style>
  <w:style w:type="character" w:customStyle="1" w:styleId="110">
    <w:name w:val="見出し 1 (文字)1"/>
    <w:aliases w:val="H1 (文字)1,h1 (文字)1,app heading 1 (文字)1,l1 (文字)1,Memo Heading 1 (文字)1,h11 (文字)1,h12 (文字)1,h13 (文字)1,h14 (文字)1,h15 (文字)1,h16 (文字)1"/>
    <w:basedOn w:val="DefaultParagraphFont"/>
    <w:rsid w:val="00E84717"/>
    <w:rPr>
      <w:rFonts w:asciiTheme="majorHAnsi" w:eastAsiaTheme="majorEastAsia" w:hAnsiTheme="majorHAnsi" w:cstheme="majorBidi"/>
      <w:sz w:val="24"/>
      <w:szCs w:val="24"/>
      <w:lang w:val="en-GB"/>
    </w:rPr>
  </w:style>
  <w:style w:type="character" w:customStyle="1" w:styleId="21">
    <w:name w:val="見出し 2 (文字)1"/>
    <w:aliases w:val="DO NOT USE_h2 (文字)1,h2 (文字)1,h21 (文字)1,H2 (文字)1,Head2A (文字)1,2 (文字)1,UNDERRUBRIK 1-2 (文字)1"/>
    <w:basedOn w:val="DefaultParagraphFont"/>
    <w:semiHidden/>
    <w:rsid w:val="00E84717"/>
    <w:rPr>
      <w:rFonts w:asciiTheme="majorHAnsi" w:eastAsiaTheme="majorEastAsia" w:hAnsiTheme="majorHAnsi" w:cstheme="majorBidi"/>
      <w:sz w:val="24"/>
      <w:lang w:val="en-GB"/>
    </w:rPr>
  </w:style>
  <w:style w:type="character" w:customStyle="1" w:styleId="31">
    <w:name w:val="見出し 3 (文字)1"/>
    <w:aliases w:val="Underrubrik2 (文字)1,H3 (文字)1,no break (文字)1,Memo Heading 3 (文字)1"/>
    <w:basedOn w:val="DefaultParagraphFont"/>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DefaultParagraphFont"/>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DefaultParagraphFont"/>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DefaultParagraphFont"/>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DefaultParagraphFont"/>
    <w:semiHidden/>
    <w:rsid w:val="00E84717"/>
    <w:rPr>
      <w:rFonts w:ascii="Times New Roman" w:eastAsia="MS Gothic" w:hAnsi="Times New Roman" w:cs="Times New Roman"/>
      <w:sz w:val="24"/>
      <w:lang w:val="en-GB"/>
    </w:rPr>
  </w:style>
  <w:style w:type="character" w:customStyle="1" w:styleId="12">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DefaultParagraphFont"/>
    <w:semiHidden/>
    <w:rsid w:val="00E84717"/>
    <w:rPr>
      <w:rFonts w:ascii="Times New Roman" w:eastAsia="MS Gothic" w:hAnsi="Times New Roman"/>
      <w:sz w:val="24"/>
      <w:lang w:val="en-GB"/>
    </w:rPr>
  </w:style>
  <w:style w:type="character" w:customStyle="1" w:styleId="13">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宋体" w:hAnsi="Times New Roman"/>
      <w:sz w:val="24"/>
      <w:lang w:eastAsia="zh-CN"/>
    </w:rPr>
  </w:style>
  <w:style w:type="paragraph" w:customStyle="1" w:styleId="tal0">
    <w:name w:val="tal"/>
    <w:basedOn w:val="Normal"/>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rsid w:val="00B55E1D"/>
    <w:rPr>
      <w:rFonts w:ascii="Arial" w:eastAsia="Times New Roman" w:hAnsi="Arial"/>
    </w:rPr>
  </w:style>
  <w:style w:type="character" w:customStyle="1" w:styleId="apple-style-span">
    <w:name w:val="apple-style-span"/>
    <w:basedOn w:val="DefaultParagraphFont"/>
    <w:rsid w:val="00B55E1D"/>
  </w:style>
  <w:style w:type="character" w:customStyle="1" w:styleId="TALChar">
    <w:name w:val="TAL Char"/>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Normal"/>
    <w:next w:val="Normal"/>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宋体" w:hAnsi="Times New Roman"/>
      <w:color w:val="000000"/>
      <w:sz w:val="24"/>
      <w:szCs w:val="24"/>
      <w:lang w:eastAsia="en-US"/>
    </w:rPr>
  </w:style>
  <w:style w:type="paragraph" w:styleId="NoSpacing">
    <w:name w:val="No Spacing"/>
    <w:basedOn w:val="Normal"/>
    <w:link w:val="NoSpacingChar"/>
    <w:uiPriority w:val="1"/>
    <w:qFormat/>
    <w:rsid w:val="00B55E1D"/>
    <w:pPr>
      <w:jc w:val="both"/>
    </w:pPr>
    <w:rPr>
      <w:rFonts w:ascii="Arial" w:eastAsia="Times New Roman" w:hAnsi="Arial"/>
      <w:sz w:val="20"/>
      <w:lang w:val="en-US"/>
    </w:rPr>
  </w:style>
  <w:style w:type="paragraph" w:customStyle="1" w:styleId="Steps-9thset">
    <w:name w:val="Steps-9th set"/>
    <w:basedOn w:val="Normal"/>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ListParagraph"/>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Normal"/>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BodyText"/>
    <w:uiPriority w:val="99"/>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4">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DefaultParagraphFont"/>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Normal"/>
    <w:uiPriority w:val="99"/>
    <w:qFormat/>
    <w:rsid w:val="008223DB"/>
    <w:pPr>
      <w:widowControl w:val="0"/>
      <w:numPr>
        <w:numId w:val="17"/>
      </w:numPr>
      <w:tabs>
        <w:tab w:val="left" w:pos="1701"/>
      </w:tabs>
      <w:spacing w:after="120"/>
      <w:ind w:left="1701" w:hanging="1701"/>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Heading1"/>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package" Target="embeddings/Microsoft_Visio_Drawing2.vsdx"/><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image" Target="media/image21.w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4.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wmf"/><Relationship Id="rId38" Type="http://schemas.openxmlformats.org/officeDocument/2006/relationships/image" Target="media/image24.emf"/><Relationship Id="rId46" Type="http://schemas.openxmlformats.org/officeDocument/2006/relationships/image" Target="media/image31.emf"/><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package" Target="embeddings/Microsoft_Visio_Drawing1.vsdx"/><Relationship Id="rId40" Type="http://schemas.openxmlformats.org/officeDocument/2006/relationships/image" Target="media/image25.emf"/><Relationship Id="rId45" Type="http://schemas.openxmlformats.org/officeDocument/2006/relationships/image" Target="media/image30.png"/><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package" Target="embeddings/Microsoft_Visio_Drawing.vsdx"/><Relationship Id="rId36" Type="http://schemas.openxmlformats.org/officeDocument/2006/relationships/image" Target="media/image23.emf"/><Relationship Id="rId49" Type="http://schemas.openxmlformats.org/officeDocument/2006/relationships/image" Target="media/image33.png"/><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7.png"/><Relationship Id="rId35" Type="http://schemas.openxmlformats.org/officeDocument/2006/relationships/image" Target="media/image22.wmf"/><Relationship Id="rId43" Type="http://schemas.openxmlformats.org/officeDocument/2006/relationships/image" Target="media/image28.png"/><Relationship Id="rId48" Type="http://schemas.openxmlformats.org/officeDocument/2006/relationships/package" Target="embeddings/Microsoft_Visio_Drawing3.vsdx"/><Relationship Id="rId8" Type="http://schemas.openxmlformats.org/officeDocument/2006/relationships/styles" Target="styles.xml"/><Relationship Id="rId51"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file>

<file path=customXml/item5.xml><?xml version="1.0" encoding="utf-8"?>
<ct:contentTypeSchema xmlns:ct="http://schemas.microsoft.com/office/2006/metadata/contentType" xmlns:ma="http://schemas.microsoft.com/office/2006/metadata/properties/metaAttributes" ct:_="" ma:_="" ma:contentTypeName="Document" ma:contentTypeID="0x010100FAB03A38315ACD43A77092EB7608F100" ma:contentTypeVersion="11" ma:contentTypeDescription="Create a new document." ma:contentTypeScope="" ma:versionID="7dc4ebd6e9addf30e8b057d128f2b1c4">
  <xsd:schema xmlns:xsd="http://www.w3.org/2001/XMLSchema" xmlns:xs="http://www.w3.org/2001/XMLSchema" xmlns:p="http://schemas.microsoft.com/office/2006/metadata/properties" xmlns:ns3="71c5aaf6-e6ce-465b-b873-5148d2a4c105" xmlns:ns4="109d699c-9c6d-4eef-ab81-bfe25224c215" xmlns:ns5="9b35e4af-6f1e-436f-9533-0c519f21b230" targetNamespace="http://schemas.microsoft.com/office/2006/metadata/properties" ma:root="true" ma:fieldsID="784872a9f607ffcfb540c11e35e12b2c" ns3:_="" ns4:_="" ns5:_="">
    <xsd:import namespace="71c5aaf6-e6ce-465b-b873-5148d2a4c105"/>
    <xsd:import namespace="109d699c-9c6d-4eef-ab81-bfe25224c215"/>
    <xsd:import namespace="9b35e4af-6f1e-436f-9533-0c519f21b230"/>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Details" minOccurs="0"/>
                <xsd:element ref="ns4:SharingHintHash" minOccurs="0"/>
                <xsd:element ref="ns5:MediaServiceAutoTags" minOccurs="0"/>
                <xsd:element ref="ns5:MediaServiceOCR" minOccurs="0"/>
                <xsd:element ref="ns5:MediaServiceMetadata" minOccurs="0"/>
                <xsd:element ref="ns5:MediaServiceFastMetadata" minOccurs="0"/>
                <xsd:element ref="ns5:MediaServiceDateTaken" minOccurs="0"/>
                <xsd:element ref="ns4:SharedWithUsers" minOccurs="0"/>
                <xsd:element ref="ns5:MediaServiceLocation"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d699c-9c6d-4eef-ab81-bfe25224c215" elementFormDefault="qualified">
    <xsd:import namespace="http://schemas.microsoft.com/office/2006/documentManagement/types"/>
    <xsd:import namespace="http://schemas.microsoft.com/office/infopath/2007/PartnerControls"/>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35e4af-6f1e-436f-9533-0c519f21b230" elementFormDefault="qualified">
    <xsd:import namespace="http://schemas.microsoft.com/office/2006/documentManagement/types"/>
    <xsd:import namespace="http://schemas.microsoft.com/office/infopath/2007/PartnerControls"/>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5C0FD-C8FD-439F-AB19-7DC9E3CB19ED}">
  <ds:schemaRefs>
    <ds:schemaRef ds:uri="http://schemas.microsoft.com/office/2006/metadata/properties"/>
    <ds:schemaRef ds:uri="http://schemas.microsoft.com/office/infopath/2007/PartnerControls"/>
    <ds:schemaRef ds:uri="71c5aaf6-e6ce-465b-b873-5148d2a4c105"/>
  </ds:schemaRefs>
</ds:datastoreItem>
</file>

<file path=customXml/itemProps2.xml><?xml version="1.0" encoding="utf-8"?>
<ds:datastoreItem xmlns:ds="http://schemas.openxmlformats.org/officeDocument/2006/customXml" ds:itemID="{046EDED4-26DB-4B00-93D5-EABF1D08E20C}">
  <ds:schemaRefs>
    <ds:schemaRef ds:uri="Microsoft.SharePoint.Taxonomy.ContentTypeSync"/>
  </ds:schemaRefs>
</ds:datastoreItem>
</file>

<file path=customXml/itemProps3.xml><?xml version="1.0" encoding="utf-8"?>
<ds:datastoreItem xmlns:ds="http://schemas.openxmlformats.org/officeDocument/2006/customXml" ds:itemID="{74C2B8BC-EC61-460A-A912-3C8DB6AFBD0D}">
  <ds:schemaRefs>
    <ds:schemaRef ds:uri="http://schemas.microsoft.com/sharepoint/v3/contenttype/forms"/>
  </ds:schemaRefs>
</ds:datastoreItem>
</file>

<file path=customXml/itemProps4.xml><?xml version="1.0" encoding="utf-8"?>
<ds:datastoreItem xmlns:ds="http://schemas.openxmlformats.org/officeDocument/2006/customXml" ds:itemID="{EA1D905F-CE2A-4F6F-92A3-1A11AC74B0B1}">
  <ds:schemaRefs>
    <ds:schemaRef ds:uri="http://schemas.microsoft.com/sharepoint/events"/>
  </ds:schemaRefs>
</ds:datastoreItem>
</file>

<file path=customXml/itemProps5.xml><?xml version="1.0" encoding="utf-8"?>
<ds:datastoreItem xmlns:ds="http://schemas.openxmlformats.org/officeDocument/2006/customXml" ds:itemID="{F1FE8ABE-FF8D-46F0-8834-DFBF09D32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09d699c-9c6d-4eef-ab81-bfe25224c215"/>
    <ds:schemaRef ds:uri="9b35e4af-6f1e-436f-9533-0c519f21b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0F4B2B9-2128-496C-B1EB-7B8DE379A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14410</Words>
  <Characters>82139</Characters>
  <Application>Microsoft Office Word</Application>
  <DocSecurity>0</DocSecurity>
  <Lines>684</Lines>
  <Paragraphs>192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TSG-RAN Working Group 1 Meeting #26</vt:lpstr>
      <vt:lpstr>TSG-RAN Working Group 1 Meeting #26</vt:lpstr>
      <vt:lpstr>TSG-RAN Working Group 1 Meeting #26</vt:lpstr>
    </vt:vector>
  </TitlesOfParts>
  <Company>NTTDoCoMo</Company>
  <LinksUpToDate>false</LinksUpToDate>
  <CharactersWithSpaces>96357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keywords>CTPClassification=CTP_NT</cp:keywords>
  <cp:lastModifiedBy>CATT - Ren Da</cp:lastModifiedBy>
  <cp:revision>4</cp:revision>
  <cp:lastPrinted>2017-08-09T04:40:00Z</cp:lastPrinted>
  <dcterms:created xsi:type="dcterms:W3CDTF">2021-05-19T20:50:00Z</dcterms:created>
  <dcterms:modified xsi:type="dcterms:W3CDTF">2021-05-19T20:52:00Z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(2)rrL1C+qT+7thyIwEL/Jm8X7ap2mSxuCq6cqLYBJAt4SoSm9utSi8+pqLYUJIKz3Eze82tKsu
fwjOxMv6+h6FtdEYk35co+ZlJXKqnkIGrEiGg9Nn/aeim2tB0GxFtmreqcpMLI+ZcDxuxy6G
Cvcu2YSCIR/yoFEIOS035AhaeKpfbFw5TDaA0zT36wNbUSiGTSWSFtc/y6Py58I48tcmlpHh
65CT2NpZrT1zC9R+yS</vt:lpwstr>
  </property>
  <property fmtid="{D5CDD505-2E9C-101B-9397-08002B2CF9AE}" pid="3" name="_2015_ms_pID_7253431">
    <vt:lpwstr>KadjkC+NR9iRxUBXbjJFYiMWiBNIKZ2w3O+qW0udKTMMuop994Z3LM
W5OHqKYxIPSOwv9ruH58PY7Qi31xuRE5I2GcaqxNllNYmR5MrOMv4EyA/z/BQXnAkRTZY+hb
UThgLm/8ejudhC2rTyaXEE2u2nX8LpdFQDUfvr4F+3jRCt2tdze2pe/Oj7rYkaLTZDbTq2Ac
xnOFnzRFGPrMu3YM</vt:lpwstr>
  </property>
  <property fmtid="{D5CDD505-2E9C-101B-9397-08002B2CF9AE}" pid="4" name="ContentTypeId">
    <vt:lpwstr>0x010100FAB03A38315ACD43A77092EB7608F100</vt:lpwstr>
  </property>
  <property fmtid="{D5CDD505-2E9C-101B-9397-08002B2CF9AE}" pid="5" name="NSCPROP_SA">
    <vt:lpwstr>C:\Users\youngbum.kim\AppData\Local\Microsoft\Windows\INetCache\Content.Outlook\TUBL2G98\R1-20xxxxx_Rel16_RAN1_UE feature list NR_afterRAN1#99_v1-vivo-OPPO2-NOK.docx</vt:lpwstr>
  </property>
  <property fmtid="{D5CDD505-2E9C-101B-9397-08002B2CF9AE}" pid="6" name="TitusGUID">
    <vt:lpwstr>d7bf772d-b5d7-4002-a037-6805c9997566</vt:lpwstr>
  </property>
  <property fmtid="{D5CDD505-2E9C-101B-9397-08002B2CF9AE}" pid="7" name="CTP_TimeStamp">
    <vt:lpwstr>2020-03-16 14:44:50Z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1585321116</vt:lpwstr>
  </property>
</Properties>
</file>