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C220C9">
        <w:rPr>
          <w:rFonts w:eastAsia="MS Mincho"/>
          <w:b/>
          <w:bCs/>
          <w:sz w:val="24"/>
          <w:szCs w:val="24"/>
        </w:rPr>
        <w:t>e-Meeting</w:t>
      </w:r>
      <w:proofErr w:type="gramEnd"/>
      <w:r w:rsidRPr="00C220C9">
        <w:rPr>
          <w:rFonts w:eastAsia="MS Mincho"/>
          <w:b/>
          <w:bCs/>
          <w:sz w:val="24"/>
          <w:szCs w:val="24"/>
        </w:rPr>
        <w:t xml:space="preserve">,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BC5B564">
              <v:shape id="DtsShapeName"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63C11D01">
                <v:stroke joinstyle="miter"/>
                <v:path textboxrect="5034,2279,16566,13674" o:connecttype="custom" o:connectlocs="9,2;3,9;9,19;16,9" o:connectangles="270,180,90,0"/>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 xml:space="preserve">[105-e-NR-MBS-01] Email discussion/approval on mechanisms to support group scheduling for RRC_CONNECTED UEs with checkpoints for agreements on May 24, May 27 – </w:t>
      </w:r>
      <w:proofErr w:type="spellStart"/>
      <w:r>
        <w:rPr>
          <w:highlight w:val="cyan"/>
          <w:lang w:eastAsia="x-none"/>
        </w:rPr>
        <w:t>Fei</w:t>
      </w:r>
      <w:proofErr w:type="spellEnd"/>
      <w:r>
        <w:rPr>
          <w:highlight w:val="cyan"/>
          <w:lang w:eastAsia="x-none"/>
        </w:rPr>
        <w:t xml:space="preserve">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afc"/>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c"/>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c"/>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c"/>
        <w:widowControl w:val="0"/>
        <w:numPr>
          <w:ilvl w:val="2"/>
          <w:numId w:val="42"/>
        </w:numPr>
        <w:spacing w:after="120"/>
        <w:jc w:val="both"/>
      </w:pPr>
      <w:r w:rsidRPr="00655272">
        <w:t xml:space="preserve">It is up to </w:t>
      </w:r>
      <w:proofErr w:type="spellStart"/>
      <w:r w:rsidRPr="00655272">
        <w:t>gNB</w:t>
      </w:r>
      <w:proofErr w:type="spellEnd"/>
      <w:r w:rsidRPr="00655272">
        <w:t xml:space="preserve"> to configure the same or different CORESETs for unicast and multicast scheduling within the CFR. </w:t>
      </w:r>
    </w:p>
    <w:p w14:paraId="5FBFB407" w14:textId="17E2EF5F" w:rsidR="00516E87" w:rsidRPr="00655272" w:rsidRDefault="00516E87" w:rsidP="00516E87">
      <w:pPr>
        <w:pStyle w:val="afc"/>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c"/>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c"/>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c"/>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c"/>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c"/>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c"/>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c"/>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c"/>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c"/>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c"/>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c"/>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c"/>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c"/>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c"/>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c"/>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c"/>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c"/>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c"/>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c"/>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c"/>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c"/>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c"/>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c"/>
        <w:widowControl w:val="0"/>
        <w:numPr>
          <w:ilvl w:val="1"/>
          <w:numId w:val="42"/>
        </w:numPr>
        <w:spacing w:after="120"/>
        <w:jc w:val="both"/>
      </w:pPr>
      <w:r w:rsidRPr="00655272">
        <w:t>Proposal 6: PDSCH-</w:t>
      </w:r>
      <w:proofErr w:type="spellStart"/>
      <w:r w:rsidRPr="00655272">
        <w:t>Config</w:t>
      </w:r>
      <w:proofErr w:type="spellEnd"/>
      <w:r w:rsidRPr="00655272">
        <w:t xml:space="preserve"> for CFR can share the common fields in PDSCH-</w:t>
      </w:r>
      <w:proofErr w:type="spellStart"/>
      <w:r w:rsidRPr="00655272">
        <w:t>Config</w:t>
      </w:r>
      <w:proofErr w:type="spellEnd"/>
      <w:r w:rsidRPr="00655272">
        <w:t xml:space="preserve"> for unicast to reduce signaling payload size for MBS.</w:t>
      </w:r>
    </w:p>
    <w:p w14:paraId="78ED76A1" w14:textId="52B36214" w:rsidR="00BE7198" w:rsidRPr="00655272" w:rsidRDefault="00BE7198" w:rsidP="00772672">
      <w:pPr>
        <w:pStyle w:val="afc"/>
        <w:widowControl w:val="0"/>
        <w:numPr>
          <w:ilvl w:val="1"/>
          <w:numId w:val="42"/>
        </w:numPr>
        <w:spacing w:after="120"/>
        <w:jc w:val="both"/>
      </w:pPr>
      <w:r w:rsidRPr="00655272">
        <w:t>Proposal 7: PDCCH-</w:t>
      </w:r>
      <w:proofErr w:type="spellStart"/>
      <w:r w:rsidRPr="00655272">
        <w:t>Config</w:t>
      </w:r>
      <w:proofErr w:type="spellEnd"/>
      <w:r w:rsidRPr="00655272">
        <w:t xml:space="preserve"> for CFR can share the common fields in PDCCH-</w:t>
      </w:r>
      <w:proofErr w:type="spellStart"/>
      <w:r w:rsidRPr="00655272">
        <w:t>Config</w:t>
      </w:r>
      <w:proofErr w:type="spellEnd"/>
      <w:r w:rsidRPr="00655272">
        <w:t xml:space="preserve"> for unicast to reduce signaling payload size for MBS.</w:t>
      </w:r>
    </w:p>
    <w:p w14:paraId="46C68A2F" w14:textId="549FA8DC" w:rsidR="003351EA" w:rsidRPr="00655272" w:rsidRDefault="003351EA" w:rsidP="00772672">
      <w:pPr>
        <w:pStyle w:val="afc"/>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c"/>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c"/>
        <w:widowControl w:val="0"/>
        <w:numPr>
          <w:ilvl w:val="1"/>
          <w:numId w:val="42"/>
        </w:numPr>
        <w:spacing w:after="120"/>
        <w:jc w:val="both"/>
      </w:pPr>
      <w:r w:rsidRPr="00655272">
        <w:t xml:space="preserve">Proposal 10: It is up to </w:t>
      </w:r>
      <w:proofErr w:type="spellStart"/>
      <w:r w:rsidRPr="00655272">
        <w:t>gNB</w:t>
      </w:r>
      <w:proofErr w:type="spellEnd"/>
      <w:r w:rsidRPr="00655272">
        <w:t xml:space="preserve"> that multicast can be scheduled in a dedicated unicast BWP when no CFR is configured for that BWP.</w:t>
      </w:r>
    </w:p>
    <w:p w14:paraId="46FB009C" w14:textId="1B915F2C" w:rsidR="003351EA" w:rsidRPr="00655272" w:rsidRDefault="003351EA" w:rsidP="00772672">
      <w:pPr>
        <w:pStyle w:val="afc"/>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c"/>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c"/>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c"/>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w:t>
      </w:r>
      <w:proofErr w:type="spellStart"/>
      <w:r w:rsidRPr="00655272">
        <w:t>config</w:t>
      </w:r>
      <w:proofErr w:type="spellEnd"/>
      <w:r w:rsidRPr="00655272">
        <w:t xml:space="preserve"> parameters.</w:t>
      </w:r>
    </w:p>
    <w:p w14:paraId="46AE06B6" w14:textId="77777777" w:rsidR="00FB5D53" w:rsidRPr="00655272" w:rsidRDefault="00FB5D53" w:rsidP="00FB5D53">
      <w:pPr>
        <w:pStyle w:val="afc"/>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c"/>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c"/>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c"/>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c"/>
        <w:widowControl w:val="0"/>
        <w:numPr>
          <w:ilvl w:val="1"/>
          <w:numId w:val="42"/>
        </w:numPr>
        <w:spacing w:after="120"/>
        <w:jc w:val="both"/>
      </w:pPr>
      <w:r w:rsidRPr="00655272">
        <w:t xml:space="preserve">Observation-4: Multiple common frequency resources can be configured per UE based on </w:t>
      </w:r>
      <w:proofErr w:type="spellStart"/>
      <w:r w:rsidRPr="00655272">
        <w:t>gNB</w:t>
      </w:r>
      <w:proofErr w:type="spellEnd"/>
      <w:r w:rsidRPr="00655272">
        <w:t xml:space="preserve">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c"/>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c"/>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c"/>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c"/>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c"/>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c"/>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c"/>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c"/>
        <w:widowControl w:val="0"/>
        <w:numPr>
          <w:ilvl w:val="0"/>
          <w:numId w:val="42"/>
        </w:numPr>
        <w:spacing w:after="120"/>
        <w:jc w:val="both"/>
      </w:pPr>
      <w:proofErr w:type="spellStart"/>
      <w:r w:rsidRPr="00655272">
        <w:rPr>
          <w:i/>
          <w:iCs/>
          <w:u w:val="single"/>
        </w:rPr>
        <w:t>MediaTek</w:t>
      </w:r>
      <w:proofErr w:type="spellEnd"/>
    </w:p>
    <w:p w14:paraId="390A6118" w14:textId="77777777" w:rsidR="00217D63" w:rsidRPr="00655272" w:rsidRDefault="00217D63" w:rsidP="007937A7">
      <w:pPr>
        <w:pStyle w:val="afc"/>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c"/>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c"/>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c"/>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c"/>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c"/>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c"/>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c"/>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c"/>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w:t>
      </w:r>
      <w:proofErr w:type="spellStart"/>
      <w:r w:rsidRPr="00655272">
        <w:t>config</w:t>
      </w:r>
      <w:proofErr w:type="spellEnd"/>
      <w:r w:rsidRPr="00655272">
        <w:t xml:space="preserve"> for unicast in the dedicated unicast BWP cannot be used for multicast transmission even if the CORESET is fully contained in the CFR in frequency domain, but the CORESET configured in PDCCH-</w:t>
      </w:r>
      <w:proofErr w:type="spellStart"/>
      <w:r w:rsidRPr="00655272">
        <w:t>config</w:t>
      </w:r>
      <w:proofErr w:type="spellEnd"/>
      <w:r w:rsidRPr="00655272">
        <w:t xml:space="preserve"> for MBS in the CFR can be used for unicast transmission.</w:t>
      </w:r>
    </w:p>
    <w:p w14:paraId="741E0587" w14:textId="4C2AC854" w:rsidR="00654DAA" w:rsidRPr="00655272" w:rsidRDefault="00654DAA" w:rsidP="007937A7">
      <w:pPr>
        <w:pStyle w:val="afc"/>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c"/>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c"/>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c"/>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c"/>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c"/>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c"/>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c"/>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afc"/>
        <w:widowControl w:val="0"/>
        <w:numPr>
          <w:ilvl w:val="1"/>
          <w:numId w:val="42"/>
        </w:numPr>
        <w:spacing w:after="120"/>
        <w:jc w:val="both"/>
      </w:pPr>
      <w:r w:rsidRPr="00655272">
        <w:lastRenderedPageBreak/>
        <w:t>Proposal 5. If the PDSCH-</w:t>
      </w:r>
      <w:proofErr w:type="spellStart"/>
      <w:r w:rsidRPr="00655272">
        <w:t>config</w:t>
      </w:r>
      <w:proofErr w:type="spellEnd"/>
      <w:r w:rsidRPr="00655272">
        <w:t>/PDCCH-</w:t>
      </w:r>
      <w:proofErr w:type="spellStart"/>
      <w:r w:rsidRPr="00655272">
        <w:t>config</w:t>
      </w:r>
      <w:proofErr w:type="spellEnd"/>
      <w:r w:rsidRPr="00655272">
        <w:t xml:space="preserve"> for MBS is not configured, the PDSCH-</w:t>
      </w:r>
      <w:proofErr w:type="spellStart"/>
      <w:r w:rsidRPr="00655272">
        <w:t>Config</w:t>
      </w:r>
      <w:proofErr w:type="spellEnd"/>
      <w:r w:rsidRPr="00655272">
        <w:t>/PDCCH-</w:t>
      </w:r>
      <w:proofErr w:type="spellStart"/>
      <w:r w:rsidRPr="00655272">
        <w:t>config</w:t>
      </w:r>
      <w:proofErr w:type="spellEnd"/>
      <w:r w:rsidRPr="00655272">
        <w:t xml:space="preserve"> of the dedicated unicast BWP can be re-used for group-common PDCCH/PDSCH.</w:t>
      </w:r>
    </w:p>
    <w:p w14:paraId="0351FB30" w14:textId="77777777" w:rsidR="00591AD9" w:rsidRPr="00655272" w:rsidRDefault="00591AD9" w:rsidP="00591AD9">
      <w:pPr>
        <w:pStyle w:val="afc"/>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c"/>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c"/>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c"/>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c"/>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c"/>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c"/>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c"/>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c"/>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c"/>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c"/>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c"/>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c"/>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c"/>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c"/>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c"/>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c"/>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c"/>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c"/>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c"/>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c"/>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c"/>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c"/>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c"/>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c"/>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afc"/>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c"/>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c"/>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c"/>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c"/>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c"/>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c"/>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c"/>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c"/>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c"/>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c"/>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c"/>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c"/>
        <w:widowControl w:val="0"/>
        <w:numPr>
          <w:ilvl w:val="1"/>
          <w:numId w:val="42"/>
        </w:numPr>
        <w:spacing w:after="120"/>
        <w:jc w:val="both"/>
      </w:pPr>
      <w:r w:rsidRPr="00655272">
        <w:t xml:space="preserve">Proposal 8: For multicast, MBS capable UE activates only one CFR at a time for REL-17 regardless of whether or not more than one CFR is configured by </w:t>
      </w:r>
      <w:proofErr w:type="spellStart"/>
      <w:r w:rsidRPr="00655272">
        <w:t>gNB</w:t>
      </w:r>
      <w:proofErr w:type="spellEnd"/>
      <w:r w:rsidRPr="00655272">
        <w:t xml:space="preserve"> can be supported (whichever CFR option is agreed).</w:t>
      </w:r>
    </w:p>
    <w:p w14:paraId="70AC5E62" w14:textId="77777777" w:rsidR="007A7305" w:rsidRPr="00655272" w:rsidRDefault="007A7305" w:rsidP="007937A7">
      <w:pPr>
        <w:pStyle w:val="afc"/>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c"/>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c"/>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c"/>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c"/>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c"/>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c"/>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c"/>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c"/>
        <w:widowControl w:val="0"/>
        <w:numPr>
          <w:ilvl w:val="0"/>
          <w:numId w:val="42"/>
        </w:numPr>
        <w:spacing w:after="120"/>
        <w:jc w:val="both"/>
      </w:pPr>
      <w:r w:rsidRPr="00655272">
        <w:rPr>
          <w:i/>
          <w:iCs/>
          <w:u w:val="single"/>
        </w:rPr>
        <w:t xml:space="preserve">NTT </w:t>
      </w:r>
      <w:proofErr w:type="spellStart"/>
      <w:r w:rsidRPr="00655272">
        <w:rPr>
          <w:i/>
          <w:iCs/>
          <w:u w:val="single"/>
        </w:rPr>
        <w:t>Docomo</w:t>
      </w:r>
      <w:proofErr w:type="spellEnd"/>
    </w:p>
    <w:p w14:paraId="36588E4C" w14:textId="77777777" w:rsidR="00B93667" w:rsidRPr="00655272" w:rsidRDefault="00B93667" w:rsidP="00B93667">
      <w:pPr>
        <w:pStyle w:val="afc"/>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afc"/>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c"/>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c"/>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c"/>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c"/>
        <w:widowControl w:val="0"/>
        <w:numPr>
          <w:ilvl w:val="1"/>
          <w:numId w:val="42"/>
        </w:numPr>
        <w:spacing w:after="120"/>
        <w:jc w:val="both"/>
      </w:pPr>
      <w:r w:rsidRPr="00655272">
        <w:t xml:space="preserve">Observation 1: In order to support multicast when no CFR is configured, it is needed to specify how </w:t>
      </w:r>
      <w:proofErr w:type="gramStart"/>
      <w:r w:rsidRPr="00655272">
        <w:t>does a UE decide</w:t>
      </w:r>
      <w:proofErr w:type="gramEnd"/>
      <w:r w:rsidRPr="00655272">
        <w:t xml:space="preserve"> whether or not to perform multicast reception processing.</w:t>
      </w:r>
    </w:p>
    <w:p w14:paraId="08D2FA09" w14:textId="77777777" w:rsidR="00964633" w:rsidRPr="00655272" w:rsidRDefault="00964633" w:rsidP="00964633">
      <w:pPr>
        <w:pStyle w:val="afc"/>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c"/>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c"/>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c"/>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c"/>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c"/>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c"/>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c"/>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c"/>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c"/>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c"/>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c"/>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c"/>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c"/>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c"/>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c"/>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c"/>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c"/>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c"/>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c"/>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c"/>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afc"/>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c"/>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c"/>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c"/>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c"/>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c"/>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c"/>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c"/>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c"/>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c"/>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w:t>
      </w:r>
      <w:proofErr w:type="gramStart"/>
      <w:r w:rsidR="002854F6">
        <w:rPr>
          <w:lang w:eastAsia="zh-CN"/>
        </w:rPr>
        <w:t>NTT</w:t>
      </w:r>
      <w:proofErr w:type="gramEnd"/>
      <w:r w:rsidR="002854F6">
        <w:rPr>
          <w:lang w:eastAsia="zh-CN"/>
        </w:rPr>
        <w:t xml:space="preserve"> </w:t>
      </w:r>
      <w:proofErr w:type="spellStart"/>
      <w:r w:rsidR="002854F6">
        <w:rPr>
          <w:lang w:eastAsia="zh-CN"/>
        </w:rPr>
        <w:t>Docomo</w:t>
      </w:r>
      <w:proofErr w:type="spellEnd"/>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w:t>
      </w:r>
      <w:proofErr w:type="gramStart"/>
      <w:r w:rsidR="00970A61">
        <w:rPr>
          <w:lang w:eastAsia="zh-CN"/>
        </w:rPr>
        <w:t>Ericsson</w:t>
      </w:r>
      <w:proofErr w:type="gramEnd"/>
      <w:r w:rsidR="00970A61">
        <w:rPr>
          <w:lang w:eastAsia="zh-CN"/>
        </w:rPr>
        <w:t xml:space="preserve">]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proofErr w:type="spellStart"/>
      <w:r w:rsidR="008471B0">
        <w:rPr>
          <w:lang w:eastAsia="zh-CN"/>
        </w:rPr>
        <w:t>MediaTek</w:t>
      </w:r>
      <w:proofErr w:type="spellEnd"/>
      <w:r w:rsidR="008471B0">
        <w:rPr>
          <w:lang w:eastAsia="zh-CN"/>
        </w:rPr>
        <w:t xml:space="preserve">,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c"/>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c"/>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c"/>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c"/>
        <w:widowControl w:val="0"/>
        <w:numPr>
          <w:ilvl w:val="0"/>
          <w:numId w:val="55"/>
        </w:numPr>
        <w:spacing w:after="120"/>
        <w:jc w:val="both"/>
        <w:rPr>
          <w:lang w:eastAsia="zh-CN"/>
        </w:rPr>
      </w:pPr>
      <w:proofErr w:type="gramStart"/>
      <w:r>
        <w:rPr>
          <w:lang w:eastAsia="zh-CN"/>
        </w:rPr>
        <w:t>the</w:t>
      </w:r>
      <w:proofErr w:type="gramEnd"/>
      <w:r>
        <w:rPr>
          <w:lang w:eastAsia="zh-CN"/>
        </w:rPr>
        <w:t xml:space="preserve"> LBRM for GC-PDSCH TBS is determined per CFR.</w:t>
      </w:r>
    </w:p>
    <w:p w14:paraId="486E554B" w14:textId="5463AF39" w:rsidR="00EC4E88" w:rsidRDefault="00EC4E88" w:rsidP="008435C7">
      <w:pPr>
        <w:pStyle w:val="afc"/>
        <w:widowControl w:val="0"/>
        <w:numPr>
          <w:ilvl w:val="0"/>
          <w:numId w:val="55"/>
        </w:numPr>
        <w:spacing w:after="120"/>
        <w:jc w:val="both"/>
        <w:rPr>
          <w:lang w:eastAsia="zh-CN"/>
        </w:rPr>
      </w:pPr>
      <w:proofErr w:type="gramStart"/>
      <w:r>
        <w:rPr>
          <w:lang w:eastAsia="zh-CN"/>
        </w:rPr>
        <w:t>the</w:t>
      </w:r>
      <w:proofErr w:type="gramEnd"/>
      <w:r>
        <w:rPr>
          <w:lang w:eastAsia="zh-CN"/>
        </w:rPr>
        <w:t xml:space="preserv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c"/>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c"/>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pdsch-config</w:t>
            </w:r>
            <w:proofErr w:type="spellEnd"/>
            <w:r w:rsidRPr="003B05CC">
              <w:rPr>
                <w:bCs/>
                <w:lang w:eastAsia="zh-CN"/>
              </w:rPr>
              <w:t xml:space="preserve">, the </w:t>
            </w:r>
            <w:proofErr w:type="spellStart"/>
            <w:r w:rsidRPr="003B05CC">
              <w:rPr>
                <w:bCs/>
                <w:lang w:eastAsia="zh-CN"/>
              </w:rPr>
              <w:t>pdcch-config</w:t>
            </w:r>
            <w:proofErr w:type="spellEnd"/>
            <w:r w:rsidRPr="003B05CC">
              <w:rPr>
                <w:bCs/>
                <w:lang w:eastAsia="zh-CN"/>
              </w:rPr>
              <w:t xml:space="preserve">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sps-config</w:t>
            </w:r>
            <w:proofErr w:type="spellEnd"/>
            <w:r w:rsidRPr="003B05CC">
              <w:rPr>
                <w:bCs/>
                <w:lang w:eastAsia="zh-CN"/>
              </w:rPr>
              <w:t xml:space="preserve">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c"/>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rFonts w:hint="eastAsia"/>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rFonts w:hint="eastAsia"/>
                <w:bCs/>
                <w:lang w:eastAsia="zh-CN"/>
              </w:rPr>
            </w:pPr>
          </w:p>
        </w:tc>
      </w:tr>
    </w:tbl>
    <w:p w14:paraId="1177B534" w14:textId="77777777" w:rsidR="00372FFC"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lastRenderedPageBreak/>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afc"/>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c"/>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c"/>
        <w:widowControl w:val="0"/>
        <w:numPr>
          <w:ilvl w:val="2"/>
          <w:numId w:val="42"/>
        </w:numPr>
        <w:spacing w:after="120"/>
        <w:jc w:val="both"/>
      </w:pPr>
      <w:bookmarkStart w:id="11" w:name="_Hlk71957568"/>
      <w:r w:rsidRPr="00EB4384">
        <w:t xml:space="preserve">It is up to </w:t>
      </w:r>
      <w:proofErr w:type="spellStart"/>
      <w:r w:rsidRPr="00EB4384">
        <w:t>gNB</w:t>
      </w:r>
      <w:proofErr w:type="spellEnd"/>
      <w:r w:rsidRPr="00EB4384">
        <w:t xml:space="preserve"> to configure the same or different CORESETs for unicast and multicast scheduling within the CFR.</w:t>
      </w:r>
      <w:bookmarkEnd w:id="11"/>
      <w:r w:rsidRPr="00EB4384">
        <w:t xml:space="preserve"> </w:t>
      </w:r>
    </w:p>
    <w:p w14:paraId="71FA0C16" w14:textId="77777777" w:rsidR="00A156B2" w:rsidRPr="00EB4384" w:rsidRDefault="00A156B2" w:rsidP="00A156B2">
      <w:pPr>
        <w:pStyle w:val="afc"/>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c"/>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c"/>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c"/>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c"/>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c"/>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c"/>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c"/>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c"/>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c"/>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c"/>
        <w:widowControl w:val="0"/>
        <w:numPr>
          <w:ilvl w:val="1"/>
          <w:numId w:val="42"/>
        </w:numPr>
        <w:spacing w:after="120"/>
        <w:jc w:val="both"/>
      </w:pPr>
      <w:r w:rsidRPr="00EB4384">
        <w:t xml:space="preserve">Proposal 11: For a UE receiving group-common PDSCH transmitted with PTM scheme 1, a TPC-PUCCH-RNTI </w:t>
      </w:r>
      <w:r w:rsidRPr="00EB4384">
        <w:lastRenderedPageBreak/>
        <w:t>different from that for unicast should be configured.</w:t>
      </w:r>
    </w:p>
    <w:p w14:paraId="350FDA9A" w14:textId="0F74AC5A" w:rsidR="00100354" w:rsidRPr="00EB4384" w:rsidRDefault="00100354" w:rsidP="007937A7">
      <w:pPr>
        <w:pStyle w:val="afc"/>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c"/>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c"/>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c"/>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c"/>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c"/>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c"/>
        <w:widowControl w:val="0"/>
        <w:numPr>
          <w:ilvl w:val="2"/>
          <w:numId w:val="42"/>
        </w:numPr>
        <w:spacing w:after="120"/>
        <w:jc w:val="both"/>
      </w:pPr>
      <w:bookmarkStart w:id="12"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afc"/>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12"/>
    </w:p>
    <w:p w14:paraId="0CE9F601" w14:textId="77777777" w:rsidR="00F96C6D" w:rsidRPr="00EB4384" w:rsidRDefault="00F96C6D" w:rsidP="00F96C6D">
      <w:pPr>
        <w:pStyle w:val="afc"/>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c"/>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c"/>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c"/>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c"/>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c"/>
        <w:widowControl w:val="0"/>
        <w:numPr>
          <w:ilvl w:val="2"/>
          <w:numId w:val="42"/>
        </w:numPr>
        <w:spacing w:after="120"/>
        <w:jc w:val="both"/>
      </w:pPr>
      <w:bookmarkStart w:id="13" w:name="_Hlk71963221"/>
      <w:r w:rsidRPr="00EB4384">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afc"/>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c"/>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c"/>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c"/>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c"/>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c"/>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c"/>
        <w:widowControl w:val="0"/>
        <w:numPr>
          <w:ilvl w:val="2"/>
          <w:numId w:val="42"/>
        </w:numPr>
        <w:spacing w:after="120"/>
        <w:jc w:val="both"/>
      </w:pPr>
      <w:r w:rsidRPr="00EB4384">
        <w:t>Option 4: the CORESET configured in PDCCH-</w:t>
      </w:r>
      <w:proofErr w:type="spellStart"/>
      <w:r w:rsidRPr="00EB4384">
        <w:t>config</w:t>
      </w:r>
      <w:proofErr w:type="spellEnd"/>
      <w:r w:rsidRPr="00EB4384">
        <w:t xml:space="preserve"> for unicast in the dedicated unicast BWP cannot be used for multicast transmission even if the CORESET is fully contained in the CFR in frequency domain, but the CORESET configured in PDCCH-</w:t>
      </w:r>
      <w:proofErr w:type="spellStart"/>
      <w:r w:rsidRPr="00EB4384">
        <w:t>config</w:t>
      </w:r>
      <w:proofErr w:type="spellEnd"/>
      <w:r w:rsidRPr="00EB4384">
        <w:t xml:space="preserve"> for MBS in the CFR can be used for unicast transmission.</w:t>
      </w:r>
    </w:p>
    <w:p w14:paraId="047FD117" w14:textId="3402EF12" w:rsidR="00FF4BAE" w:rsidRPr="00EB4384" w:rsidRDefault="00FF4BAE" w:rsidP="00FF4BAE">
      <w:pPr>
        <w:pStyle w:val="afc"/>
        <w:widowControl w:val="0"/>
        <w:numPr>
          <w:ilvl w:val="1"/>
          <w:numId w:val="42"/>
        </w:numPr>
        <w:spacing w:after="120"/>
        <w:jc w:val="both"/>
      </w:pPr>
      <w:r w:rsidRPr="00EB4384">
        <w:t xml:space="preserve">Proposal 8: For MBS group-common PDCCH, the budget of BDs/CCEs of </w:t>
      </w:r>
      <w:proofErr w:type="gramStart"/>
      <w:r w:rsidRPr="00EB4384">
        <w:t>an</w:t>
      </w:r>
      <w:proofErr w:type="gramEnd"/>
      <w:r w:rsidRPr="00EB4384">
        <w:t xml:space="preserve">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c"/>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c"/>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c"/>
        <w:widowControl w:val="0"/>
        <w:numPr>
          <w:ilvl w:val="2"/>
          <w:numId w:val="42"/>
        </w:numPr>
        <w:spacing w:after="120"/>
        <w:jc w:val="both"/>
      </w:pPr>
      <w:r w:rsidRPr="00EB4384">
        <w:t xml:space="preserve">DCI format 1_x: it is counted as “other RNTI”, and </w:t>
      </w:r>
      <w:proofErr w:type="spellStart"/>
      <w:r w:rsidRPr="00EB4384">
        <w:t>gNB</w:t>
      </w:r>
      <w:proofErr w:type="spellEnd"/>
      <w:r w:rsidRPr="00EB4384">
        <w:t xml:space="preserve"> will ensure that the number of DCI sizes does not exceed budget.</w:t>
      </w:r>
    </w:p>
    <w:p w14:paraId="10096376" w14:textId="77777777" w:rsidR="004E7CA2" w:rsidRPr="00EB4384" w:rsidRDefault="004E7CA2" w:rsidP="007937A7">
      <w:pPr>
        <w:pStyle w:val="afc"/>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c"/>
        <w:widowControl w:val="0"/>
        <w:numPr>
          <w:ilvl w:val="1"/>
          <w:numId w:val="42"/>
        </w:numPr>
        <w:spacing w:after="120"/>
        <w:jc w:val="both"/>
      </w:pPr>
      <w:r w:rsidRPr="00EB4384">
        <w:lastRenderedPageBreak/>
        <w:t>Proposal 9: If a CFR is configured for multicast in RRC-CONNECTED state and confined within a dedicated unicast BWP, option 1 is supported.</w:t>
      </w:r>
    </w:p>
    <w:p w14:paraId="60C7A433" w14:textId="65244852" w:rsidR="00D3625B" w:rsidRPr="00EB4384" w:rsidRDefault="00D3625B" w:rsidP="00D3625B">
      <w:pPr>
        <w:pStyle w:val="afc"/>
        <w:widowControl w:val="0"/>
        <w:numPr>
          <w:ilvl w:val="2"/>
          <w:numId w:val="42"/>
        </w:numPr>
        <w:spacing w:after="120"/>
        <w:jc w:val="both"/>
      </w:pPr>
      <w:r w:rsidRPr="00EB4384">
        <w:t>Option 1: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7285086D" w14:textId="77777777" w:rsidR="00672793" w:rsidRPr="00EB4384" w:rsidRDefault="00672793" w:rsidP="00672793">
      <w:pPr>
        <w:pStyle w:val="afc"/>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c"/>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c"/>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c"/>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c"/>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c"/>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c"/>
        <w:widowControl w:val="0"/>
        <w:numPr>
          <w:ilvl w:val="1"/>
          <w:numId w:val="42"/>
        </w:numPr>
        <w:spacing w:after="120"/>
        <w:jc w:val="both"/>
      </w:pPr>
      <w:r w:rsidRPr="00EB4384">
        <w:t>Proposal 20: Option 1 is supported that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589C740D" w14:textId="31CC60E4" w:rsidR="003474A8" w:rsidRPr="00EB4384" w:rsidRDefault="003474A8" w:rsidP="003474A8">
      <w:pPr>
        <w:pStyle w:val="afc"/>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c"/>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c"/>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c"/>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c"/>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c"/>
        <w:widowControl w:val="0"/>
        <w:numPr>
          <w:ilvl w:val="1"/>
          <w:numId w:val="42"/>
        </w:numPr>
        <w:spacing w:after="120"/>
        <w:jc w:val="both"/>
      </w:pPr>
      <w:r w:rsidRPr="00EB4384">
        <w:t>Observation-6: It would be beneficial to maintain currently defined limits for the total number of CORESETs within PDCCH-</w:t>
      </w:r>
      <w:proofErr w:type="spellStart"/>
      <w:r w:rsidRPr="00EB4384">
        <w:t>config</w:t>
      </w:r>
      <w:proofErr w:type="spellEnd"/>
      <w:r w:rsidRPr="00EB4384">
        <w:t xml:space="preserve"> for unicast and MBS, in order to minimize UE and </w:t>
      </w:r>
      <w:proofErr w:type="spellStart"/>
      <w:r w:rsidRPr="00EB4384">
        <w:t>gNB</w:t>
      </w:r>
      <w:proofErr w:type="spellEnd"/>
      <w:r w:rsidRPr="00EB4384">
        <w:t xml:space="preserve"> complexity and to ensure backward compatibility.</w:t>
      </w:r>
    </w:p>
    <w:p w14:paraId="57F7C814" w14:textId="69162DE1" w:rsidR="00AE3E55" w:rsidRPr="00EB4384" w:rsidRDefault="00AE3E55" w:rsidP="00AE3E55">
      <w:pPr>
        <w:pStyle w:val="afc"/>
        <w:widowControl w:val="0"/>
        <w:numPr>
          <w:ilvl w:val="1"/>
          <w:numId w:val="42"/>
        </w:numPr>
        <w:spacing w:after="120"/>
        <w:jc w:val="both"/>
      </w:pPr>
      <w:r w:rsidRPr="00EB4384">
        <w:t xml:space="preserve">Proposal-4: The existing limits on the total number of CORESETs for UE-specific BWPs are also applied to those BWPs with MBS CFR, and the number of CORESETs configured within the MBS CFR should be left to </w:t>
      </w:r>
      <w:proofErr w:type="spellStart"/>
      <w:r w:rsidRPr="00EB4384">
        <w:t>gNB</w:t>
      </w:r>
      <w:proofErr w:type="spellEnd"/>
      <w:r w:rsidRPr="00EB4384">
        <w:t xml:space="preserve"> implementation.</w:t>
      </w:r>
    </w:p>
    <w:p w14:paraId="2A24EA4D" w14:textId="77777777" w:rsidR="00AE3E55" w:rsidRPr="00EB4384" w:rsidRDefault="00AE3E55" w:rsidP="00AE3E55">
      <w:pPr>
        <w:pStyle w:val="afc"/>
        <w:widowControl w:val="0"/>
        <w:numPr>
          <w:ilvl w:val="1"/>
          <w:numId w:val="42"/>
        </w:numPr>
        <w:spacing w:after="120"/>
        <w:jc w:val="both"/>
      </w:pPr>
      <w:r w:rsidRPr="00EB4384">
        <w:t xml:space="preserve">Observation-7: The </w:t>
      </w:r>
      <w:proofErr w:type="spellStart"/>
      <w:r w:rsidRPr="00EB4384">
        <w:t>gNB</w:t>
      </w:r>
      <w:proofErr w:type="spellEnd"/>
      <w:r w:rsidRPr="00EB4384">
        <w:t xml:space="preserve">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c"/>
        <w:widowControl w:val="0"/>
        <w:numPr>
          <w:ilvl w:val="1"/>
          <w:numId w:val="42"/>
        </w:numPr>
        <w:spacing w:after="120"/>
        <w:jc w:val="both"/>
      </w:pPr>
      <w:r w:rsidRPr="00EB4384">
        <w:t>Proposal-5: Agree to support option 1 where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59DA40CE" w14:textId="77777777" w:rsidR="00FD6AF1" w:rsidRPr="00EB4384" w:rsidRDefault="00FD6AF1" w:rsidP="00FD6AF1">
      <w:pPr>
        <w:pStyle w:val="afc"/>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c"/>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c"/>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c"/>
        <w:widowControl w:val="0"/>
        <w:numPr>
          <w:ilvl w:val="1"/>
          <w:numId w:val="42"/>
        </w:numPr>
        <w:spacing w:after="120"/>
        <w:jc w:val="both"/>
      </w:pPr>
      <w:r w:rsidRPr="00EB4384">
        <w:lastRenderedPageBreak/>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afc"/>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afc"/>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14"/>
      <w:bookmarkEnd w:id="15"/>
    </w:p>
    <w:p w14:paraId="1D01E283" w14:textId="77777777" w:rsidR="00FD6AF1" w:rsidRPr="00EB4384" w:rsidRDefault="00FD6AF1" w:rsidP="00FD6AF1">
      <w:pPr>
        <w:pStyle w:val="afc"/>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c"/>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c"/>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afc"/>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c"/>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c"/>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c"/>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c"/>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c"/>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c"/>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c"/>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c"/>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c"/>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c"/>
        <w:widowControl w:val="0"/>
        <w:numPr>
          <w:ilvl w:val="0"/>
          <w:numId w:val="42"/>
        </w:numPr>
        <w:spacing w:after="120"/>
        <w:jc w:val="both"/>
      </w:pPr>
      <w:proofErr w:type="spellStart"/>
      <w:r w:rsidRPr="00EB4384">
        <w:rPr>
          <w:i/>
          <w:iCs/>
          <w:u w:val="single"/>
        </w:rPr>
        <w:t>MediaTek</w:t>
      </w:r>
      <w:proofErr w:type="spellEnd"/>
    </w:p>
    <w:p w14:paraId="611653D3" w14:textId="77777777" w:rsidR="00016640" w:rsidRPr="00EB4384" w:rsidRDefault="00016640" w:rsidP="007937A7">
      <w:pPr>
        <w:pStyle w:val="afc"/>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c"/>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c"/>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c"/>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c"/>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c"/>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c"/>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c"/>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c"/>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c"/>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c"/>
        <w:widowControl w:val="0"/>
        <w:numPr>
          <w:ilvl w:val="1"/>
          <w:numId w:val="42"/>
        </w:numPr>
        <w:spacing w:after="120"/>
        <w:jc w:val="both"/>
      </w:pPr>
      <w:r w:rsidRPr="00EB4384">
        <w:lastRenderedPageBreak/>
        <w:t>Proposal 7. Support Option 1: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4D43C243" w14:textId="77777777" w:rsidR="009063DB" w:rsidRPr="00EB4384" w:rsidRDefault="009063DB" w:rsidP="009063DB">
      <w:pPr>
        <w:pStyle w:val="afc"/>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c"/>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c"/>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c"/>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c"/>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c"/>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c"/>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c"/>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c"/>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c"/>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c"/>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c"/>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c"/>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c"/>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c"/>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c"/>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c"/>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c"/>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c"/>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c"/>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c"/>
        <w:widowControl w:val="0"/>
        <w:numPr>
          <w:ilvl w:val="1"/>
          <w:numId w:val="42"/>
        </w:numPr>
        <w:spacing w:after="120"/>
        <w:jc w:val="both"/>
      </w:pPr>
      <w:r w:rsidRPr="00EB4384">
        <w:lastRenderedPageBreak/>
        <w:t xml:space="preserve">Proposal 12. Confirm the working assumption of keep the “3+1” DCI size budget defined in Rel-15 for Rel-17 MBS. </w:t>
      </w:r>
    </w:p>
    <w:p w14:paraId="42AF7AF6" w14:textId="77777777" w:rsidR="009063DB" w:rsidRPr="00EB4384" w:rsidRDefault="009063DB" w:rsidP="000C3937">
      <w:pPr>
        <w:pStyle w:val="afc"/>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c"/>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c"/>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c"/>
        <w:widowControl w:val="0"/>
        <w:numPr>
          <w:ilvl w:val="2"/>
          <w:numId w:val="42"/>
        </w:numPr>
        <w:spacing w:after="120"/>
        <w:jc w:val="both"/>
      </w:pPr>
      <w:r w:rsidRPr="00EB4384">
        <w:t xml:space="preserve">The G-RNTI DCI format 1_2 size can be configured by </w:t>
      </w:r>
      <w:proofErr w:type="spellStart"/>
      <w:r w:rsidRPr="00EB4384">
        <w:t>gNB</w:t>
      </w:r>
      <w:proofErr w:type="spellEnd"/>
      <w:r w:rsidRPr="00EB4384">
        <w:t xml:space="preserve">, which is larger than the original calculation of </w:t>
      </w:r>
      <w:proofErr w:type="spellStart"/>
      <w:r w:rsidRPr="00EB4384">
        <w:t>bitlength</w:t>
      </w:r>
      <w:proofErr w:type="spellEnd"/>
      <w:r w:rsidRPr="00EB4384">
        <w:t xml:space="preserve"> of DCI fields according to configurations. </w:t>
      </w:r>
    </w:p>
    <w:p w14:paraId="642D4E89" w14:textId="77777777" w:rsidR="00E90915" w:rsidRPr="00EB4384" w:rsidRDefault="00E90915" w:rsidP="007937A7">
      <w:pPr>
        <w:pStyle w:val="afc"/>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c"/>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c"/>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c"/>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c"/>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c"/>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c"/>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c"/>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c"/>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c"/>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c"/>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c"/>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c"/>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c"/>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c"/>
        <w:widowControl w:val="0"/>
        <w:numPr>
          <w:ilvl w:val="1"/>
          <w:numId w:val="42"/>
        </w:numPr>
        <w:spacing w:after="120"/>
        <w:jc w:val="both"/>
      </w:pPr>
      <w:r w:rsidRPr="00EB4384">
        <w:t>Proposal 5: CORESET sharing option 3 is supported, i.e.,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but the CORESET configured in PDCCH-</w:t>
      </w:r>
      <w:proofErr w:type="spellStart"/>
      <w:r w:rsidRPr="00EB4384">
        <w:t>config</w:t>
      </w:r>
      <w:proofErr w:type="spellEnd"/>
      <w:r w:rsidRPr="00EB4384">
        <w:t xml:space="preserve"> for MBS in the CFR cannot be used for unicast transmission.</w:t>
      </w:r>
    </w:p>
    <w:p w14:paraId="0CBA9E31" w14:textId="77777777" w:rsidR="00353230" w:rsidRPr="00EB4384" w:rsidRDefault="00353230" w:rsidP="007937A7">
      <w:pPr>
        <w:pStyle w:val="afc"/>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c"/>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c"/>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c"/>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c"/>
        <w:widowControl w:val="0"/>
        <w:numPr>
          <w:ilvl w:val="1"/>
          <w:numId w:val="42"/>
        </w:numPr>
        <w:spacing w:after="120"/>
        <w:jc w:val="both"/>
      </w:pPr>
      <w:r w:rsidRPr="00EB4384">
        <w:lastRenderedPageBreak/>
        <w:t xml:space="preserve">Proposal 8: If a CFR is configured for multicast in RRC-CONNECTED state and confined within a dedicated unicast BWP, </w:t>
      </w:r>
    </w:p>
    <w:p w14:paraId="255964A5" w14:textId="77777777" w:rsidR="003F0F97" w:rsidRPr="00EB4384" w:rsidRDefault="003F0F97" w:rsidP="003F0F97">
      <w:pPr>
        <w:pStyle w:val="afc"/>
        <w:widowControl w:val="0"/>
        <w:numPr>
          <w:ilvl w:val="2"/>
          <w:numId w:val="42"/>
        </w:numPr>
        <w:spacing w:after="120"/>
        <w:jc w:val="both"/>
      </w:pPr>
      <w:r w:rsidRPr="00EB4384">
        <w:t>Option 4: the CORESET configured in PDCCH-</w:t>
      </w:r>
      <w:proofErr w:type="spellStart"/>
      <w:r w:rsidRPr="00EB4384">
        <w:t>config</w:t>
      </w:r>
      <w:proofErr w:type="spellEnd"/>
      <w:r w:rsidRPr="00EB4384">
        <w:t xml:space="preserve">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w:t>
      </w:r>
      <w:proofErr w:type="spellStart"/>
      <w:r w:rsidRPr="00EB4384">
        <w:t>config</w:t>
      </w:r>
      <w:proofErr w:type="spellEnd"/>
      <w:r w:rsidRPr="00EB4384">
        <w:t xml:space="preserve">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c"/>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c"/>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c"/>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c"/>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c"/>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c"/>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c"/>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c"/>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c"/>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c"/>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c"/>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c"/>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c"/>
        <w:widowControl w:val="0"/>
        <w:numPr>
          <w:ilvl w:val="1"/>
          <w:numId w:val="42"/>
        </w:numPr>
        <w:spacing w:after="120"/>
        <w:jc w:val="both"/>
      </w:pPr>
      <w:r w:rsidRPr="00EB4384">
        <w:t xml:space="preserve">Observation 3: Whether or not a UE monitors PDCCH for detection of unicast DCIs and multicast DCIs in a same CORESET is a </w:t>
      </w:r>
      <w:proofErr w:type="spellStart"/>
      <w:r w:rsidRPr="00EB4384">
        <w:t>gNB</w:t>
      </w:r>
      <w:proofErr w:type="spellEnd"/>
      <w:r w:rsidRPr="00EB4384">
        <w:t xml:space="preserve"> implementation issue.</w:t>
      </w:r>
    </w:p>
    <w:p w14:paraId="64A30ACA" w14:textId="77777777" w:rsidR="008F2F88" w:rsidRPr="00EB4384" w:rsidRDefault="008F2F88" w:rsidP="008F2F88">
      <w:pPr>
        <w:pStyle w:val="afc"/>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c"/>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w:t>
      </w:r>
      <w:proofErr w:type="spellStart"/>
      <w:r w:rsidRPr="00EB4384">
        <w:t>ity</w:t>
      </w:r>
      <w:proofErr w:type="spellEnd"/>
      <w:r w:rsidRPr="00EB4384">
        <w:t xml:space="preserve">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afc"/>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c"/>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c"/>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c"/>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c"/>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c"/>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c"/>
        <w:widowControl w:val="0"/>
        <w:numPr>
          <w:ilvl w:val="1"/>
          <w:numId w:val="42"/>
        </w:numPr>
        <w:spacing w:after="120"/>
        <w:jc w:val="both"/>
      </w:pPr>
      <w:r w:rsidRPr="00EB4384">
        <w:t xml:space="preserve">Proposal 10: It is up to </w:t>
      </w:r>
      <w:proofErr w:type="spellStart"/>
      <w:r w:rsidRPr="00EB4384">
        <w:t>gNB</w:t>
      </w:r>
      <w:proofErr w:type="spellEnd"/>
      <w:r w:rsidRPr="00EB4384">
        <w:t xml:space="preserve"> configuration whether a CORESET ID is configured for both a CFR and the UE active BWP associated to the CFR. However, if the CFR is confined within UE active BWP, CORESET used by the CFR </w:t>
      </w:r>
      <w:r w:rsidRPr="00EB4384">
        <w:lastRenderedPageBreak/>
        <w:t>should be confined within the CFR in frequency.</w:t>
      </w:r>
    </w:p>
    <w:p w14:paraId="1B17A18D" w14:textId="3A31C141" w:rsidR="002C2905" w:rsidRPr="00EB4384" w:rsidRDefault="002C2905" w:rsidP="002C2905">
      <w:pPr>
        <w:pStyle w:val="afc"/>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c"/>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afc"/>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c"/>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c"/>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c"/>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c"/>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c"/>
        <w:widowControl w:val="0"/>
        <w:numPr>
          <w:ilvl w:val="1"/>
          <w:numId w:val="42"/>
        </w:numPr>
        <w:spacing w:after="120"/>
        <w:jc w:val="both"/>
      </w:pPr>
      <w:r w:rsidRPr="00EB4384">
        <w:t>Proposal 16: Multiple TCI states can be configured in PDSCH-</w:t>
      </w:r>
      <w:proofErr w:type="spellStart"/>
      <w:r w:rsidRPr="00EB4384">
        <w:t>config</w:t>
      </w:r>
      <w:proofErr w:type="spellEnd"/>
      <w:r w:rsidRPr="00EB4384">
        <w:t xml:space="preserve"> for group common PDSCH for the CFR.</w:t>
      </w:r>
    </w:p>
    <w:p w14:paraId="7267C4BE" w14:textId="1838E68B" w:rsidR="001A5791" w:rsidRPr="00EB4384" w:rsidRDefault="001A5791" w:rsidP="002C2905">
      <w:pPr>
        <w:pStyle w:val="afc"/>
        <w:widowControl w:val="0"/>
        <w:numPr>
          <w:ilvl w:val="1"/>
          <w:numId w:val="42"/>
        </w:numPr>
        <w:spacing w:after="120"/>
        <w:jc w:val="both"/>
      </w:pPr>
      <w:r w:rsidRPr="00EB4384">
        <w:t xml:space="preserve">Proposal 17: From </w:t>
      </w:r>
      <w:proofErr w:type="spellStart"/>
      <w:r w:rsidRPr="00EB4384">
        <w:t>gNB</w:t>
      </w:r>
      <w:proofErr w:type="spellEnd"/>
      <w:r w:rsidRPr="00EB4384">
        <w:t xml:space="preserve"> perspective, </w:t>
      </w:r>
      <w:proofErr w:type="spellStart"/>
      <w:r w:rsidRPr="00EB4384">
        <w:t>gNB</w:t>
      </w:r>
      <w:proofErr w:type="spellEnd"/>
      <w:r w:rsidRPr="00EB4384">
        <w:t xml:space="preserve">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c"/>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c"/>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c"/>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c"/>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c"/>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c"/>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c"/>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c"/>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c"/>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c"/>
        <w:widowControl w:val="0"/>
        <w:numPr>
          <w:ilvl w:val="1"/>
          <w:numId w:val="42"/>
        </w:numPr>
        <w:spacing w:after="120"/>
        <w:jc w:val="both"/>
      </w:pPr>
      <w:r w:rsidRPr="00EB4384">
        <w:t>Proposal 5: Support Option 4 for sharing CORESETs between PDCCH-</w:t>
      </w:r>
      <w:proofErr w:type="spellStart"/>
      <w:r w:rsidRPr="00EB4384">
        <w:t>Config</w:t>
      </w:r>
      <w:proofErr w:type="spellEnd"/>
      <w:r w:rsidRPr="00EB4384">
        <w:t xml:space="preserve"> for unicast and PDCCH-</w:t>
      </w:r>
      <w:proofErr w:type="spellStart"/>
      <w:r w:rsidRPr="00EB4384">
        <w:t>Config</w:t>
      </w:r>
      <w:proofErr w:type="spellEnd"/>
      <w:r w:rsidRPr="00EB4384">
        <w:t xml:space="preserve"> for multicast.</w:t>
      </w:r>
    </w:p>
    <w:p w14:paraId="0FBC09E2" w14:textId="77777777" w:rsidR="00624C97" w:rsidRPr="00EB4384" w:rsidRDefault="00624C97" w:rsidP="00624C97">
      <w:pPr>
        <w:pStyle w:val="afc"/>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c"/>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c"/>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c"/>
        <w:widowControl w:val="0"/>
        <w:numPr>
          <w:ilvl w:val="1"/>
          <w:numId w:val="42"/>
        </w:numPr>
        <w:spacing w:after="120"/>
        <w:jc w:val="both"/>
      </w:pPr>
      <w:r w:rsidRPr="00EB4384">
        <w:t>Proposal 5: For the down-selection of the usage of the CORESET configured in PDCCH-</w:t>
      </w:r>
      <w:proofErr w:type="spellStart"/>
      <w:r w:rsidRPr="00EB4384">
        <w:t>config</w:t>
      </w:r>
      <w:proofErr w:type="spellEnd"/>
      <w:r w:rsidRPr="00EB4384">
        <w:t xml:space="preserve"> for unicast and the CORESET configured in PDCCH-</w:t>
      </w:r>
      <w:proofErr w:type="spellStart"/>
      <w:r w:rsidRPr="00EB4384">
        <w:t>config</w:t>
      </w:r>
      <w:proofErr w:type="spellEnd"/>
      <w:r w:rsidRPr="00EB4384">
        <w:t xml:space="preserve"> for MBS in the CFR, option 3 is supported. </w:t>
      </w:r>
    </w:p>
    <w:p w14:paraId="3ABAA24C" w14:textId="77777777" w:rsidR="00B64CD1" w:rsidRPr="00EB4384" w:rsidRDefault="00B64CD1" w:rsidP="00B64CD1">
      <w:pPr>
        <w:pStyle w:val="afc"/>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c"/>
        <w:widowControl w:val="0"/>
        <w:numPr>
          <w:ilvl w:val="1"/>
          <w:numId w:val="42"/>
        </w:numPr>
        <w:spacing w:after="120"/>
        <w:jc w:val="both"/>
      </w:pPr>
      <w:r w:rsidRPr="00EB4384">
        <w:lastRenderedPageBreak/>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c"/>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c"/>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c"/>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c"/>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c"/>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c"/>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c"/>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c"/>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c"/>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c"/>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c"/>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c"/>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c"/>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c"/>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c"/>
        <w:widowControl w:val="0"/>
        <w:numPr>
          <w:ilvl w:val="2"/>
          <w:numId w:val="42"/>
        </w:numPr>
        <w:spacing w:after="120"/>
        <w:jc w:val="both"/>
      </w:pPr>
      <w:r w:rsidRPr="00EB4384">
        <w:t>Support of G-RNTI(s)</w:t>
      </w:r>
    </w:p>
    <w:p w14:paraId="41B399D8" w14:textId="65F08C43" w:rsidR="00E5566B" w:rsidRPr="00EB4384" w:rsidRDefault="002F0831" w:rsidP="00E5566B">
      <w:pPr>
        <w:pStyle w:val="afc"/>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c"/>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c"/>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c"/>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afc"/>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c"/>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c"/>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c"/>
        <w:widowControl w:val="0"/>
        <w:numPr>
          <w:ilvl w:val="1"/>
          <w:numId w:val="42"/>
        </w:numPr>
        <w:spacing w:after="120"/>
        <w:jc w:val="both"/>
      </w:pPr>
      <w:r w:rsidRPr="00EB4384">
        <w:t xml:space="preserve">Observation 18: For MBS Fallback DCI format, legacy DCI format 1_0, can be reused in the CSS without requiring additional </w:t>
      </w:r>
      <w:proofErr w:type="gramStart"/>
      <w:r w:rsidRPr="00EB4384">
        <w:t>Blind</w:t>
      </w:r>
      <w:proofErr w:type="gramEnd"/>
      <w:r w:rsidRPr="00EB4384">
        <w:t xml:space="preserve"> decoding and without requiring DCI size alignment between unicast and multicast.</w:t>
      </w:r>
    </w:p>
    <w:p w14:paraId="3F1B7571" w14:textId="4E67CB85" w:rsidR="008F63BA" w:rsidRPr="00EB4384" w:rsidRDefault="008F63BA" w:rsidP="008F63BA">
      <w:pPr>
        <w:pStyle w:val="afc"/>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c"/>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c"/>
        <w:widowControl w:val="0"/>
        <w:numPr>
          <w:ilvl w:val="1"/>
          <w:numId w:val="42"/>
        </w:numPr>
        <w:spacing w:after="120"/>
        <w:jc w:val="both"/>
      </w:pPr>
      <w:r w:rsidRPr="00EB4384">
        <w:lastRenderedPageBreak/>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c"/>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c"/>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c"/>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c"/>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c"/>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c"/>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c"/>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w:t>
      </w:r>
      <w:proofErr w:type="spellStart"/>
      <w:r w:rsidR="006C0576">
        <w:rPr>
          <w:lang w:eastAsia="zh-CN"/>
        </w:rPr>
        <w:t>gNB</w:t>
      </w:r>
      <w:proofErr w:type="spellEnd"/>
      <w:r w:rsidR="006C0576">
        <w:rPr>
          <w:lang w:eastAsia="zh-CN"/>
        </w:rPr>
        <w:t xml:space="preserve"> implementation to use the </w:t>
      </w:r>
      <w:r w:rsidR="00171C46">
        <w:rPr>
          <w:lang w:eastAsia="zh-CN"/>
        </w:rPr>
        <w:t>same or different CORESETs for unicast DCIs and multicast DCIs.</w:t>
      </w:r>
      <w:r w:rsidR="00672E5D">
        <w:rPr>
          <w:lang w:eastAsia="zh-CN"/>
        </w:rPr>
        <w:t xml:space="preserve"> 3 companies [ZTE, QC, NTT </w:t>
      </w:r>
      <w:proofErr w:type="spellStart"/>
      <w:r w:rsidR="00672E5D">
        <w:rPr>
          <w:lang w:eastAsia="zh-CN"/>
        </w:rPr>
        <w:t>Docomo</w:t>
      </w:r>
      <w:proofErr w:type="spellEnd"/>
      <w:r w:rsidR="00672E5D">
        <w:rPr>
          <w:lang w:eastAsia="zh-CN"/>
        </w:rPr>
        <w:t>]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w:t>
      </w:r>
      <w:r w:rsidR="003F4D7A">
        <w:rPr>
          <w:lang w:eastAsia="zh-CN"/>
        </w:rPr>
        <w:lastRenderedPageBreak/>
        <w:t>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c"/>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c"/>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c"/>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w:t>
      </w:r>
      <w:proofErr w:type="spellStart"/>
      <w:r w:rsidR="00AF0DC4" w:rsidRPr="00AF0DC4">
        <w:rPr>
          <w:rFonts w:eastAsiaTheme="minorEastAsia"/>
          <w:lang w:eastAsia="zh-CN"/>
        </w:rPr>
        <w:t>gNB</w:t>
      </w:r>
      <w:proofErr w:type="spellEnd"/>
      <w:r w:rsidR="00AF0DC4" w:rsidRPr="00AF0DC4">
        <w:rPr>
          <w:rFonts w:eastAsiaTheme="minorEastAsia"/>
          <w:lang w:eastAsia="zh-CN"/>
        </w:rPr>
        <w:t xml:space="preserve"> implementation</w:t>
      </w:r>
      <w:r w:rsidRPr="0059242C">
        <w:rPr>
          <w:rFonts w:eastAsiaTheme="minorEastAsia"/>
          <w:lang w:eastAsia="zh-CN"/>
        </w:rPr>
        <w:t>.</w:t>
      </w:r>
    </w:p>
    <w:p w14:paraId="5DBC4ECD" w14:textId="1AAE8097" w:rsidR="00136835" w:rsidRPr="00510157" w:rsidRDefault="00136835" w:rsidP="00510157">
      <w:pPr>
        <w:pStyle w:val="afc"/>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proofErr w:type="spellStart"/>
      <w:r w:rsidRPr="00691590">
        <w:rPr>
          <w:lang w:eastAsia="zh-CN"/>
        </w:rPr>
        <w:t>interpretat</w:t>
      </w:r>
      <w:r>
        <w:rPr>
          <w:lang w:eastAsia="zh-CN"/>
        </w:rPr>
        <w:t>ed</w:t>
      </w:r>
      <w:proofErr w:type="spellEnd"/>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c"/>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c"/>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F3414A" w14:paraId="00FE7BB9" w14:textId="77777777" w:rsidTr="008444E3">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8444E3">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w:t>
            </w:r>
            <w:proofErr w:type="spellStart"/>
            <w:r>
              <w:rPr>
                <w:bCs/>
                <w:lang w:eastAsia="zh-CN"/>
              </w:rPr>
              <w:t>gNB</w:t>
            </w:r>
            <w:proofErr w:type="spellEnd"/>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lastRenderedPageBreak/>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w:t>
            </w:r>
            <w:proofErr w:type="gramStart"/>
            <w:r>
              <w:rPr>
                <w:bCs/>
                <w:lang w:eastAsia="zh-CN"/>
              </w:rPr>
              <w:t>for</w:t>
            </w:r>
            <w:proofErr w:type="gramEnd"/>
            <w:r>
              <w:rPr>
                <w:bCs/>
                <w:lang w:eastAsia="zh-CN"/>
              </w:rPr>
              <w:t xml:space="preserve">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8444E3">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w:t>
            </w:r>
            <w:proofErr w:type="spellStart"/>
            <w:r w:rsidRPr="0054444E">
              <w:rPr>
                <w:color w:val="FF0000"/>
              </w:rPr>
              <w:t>config</w:t>
            </w:r>
            <w:proofErr w:type="spellEnd"/>
            <w:r w:rsidRPr="0054444E">
              <w:rPr>
                <w:color w:val="FF0000"/>
              </w:rPr>
              <w:t xml:space="preserve"> for MBS (i.e., separate from the PDCCH-</w:t>
            </w:r>
            <w:proofErr w:type="spellStart"/>
            <w:r w:rsidRPr="0054444E">
              <w:rPr>
                <w:color w:val="FF0000"/>
              </w:rPr>
              <w:t>Config</w:t>
            </w:r>
            <w:proofErr w:type="spellEnd"/>
            <w:r w:rsidRPr="0054444E">
              <w:rPr>
                <w:color w:val="FF0000"/>
              </w:rPr>
              <w:t xml:space="preserve">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8444E3">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PDCCH-</w:t>
            </w:r>
            <w:proofErr w:type="spellStart"/>
            <w:r w:rsidRPr="00C02743">
              <w:rPr>
                <w:bCs/>
                <w:lang w:eastAsia="zh-CN"/>
              </w:rPr>
              <w:t>config</w:t>
            </w:r>
            <w:proofErr w:type="spellEnd"/>
            <w:r w:rsidRPr="00C02743">
              <w:rPr>
                <w:bCs/>
                <w:lang w:eastAsia="zh-CN"/>
              </w:rPr>
              <w:t xml:space="preserve"> for MBS </w:t>
            </w:r>
            <w:r>
              <w:rPr>
                <w:bCs/>
                <w:lang w:eastAsia="zh-CN"/>
              </w:rPr>
              <w:t>does not preclude to configure a same CORESET with PDCCH-</w:t>
            </w:r>
            <w:proofErr w:type="spellStart"/>
            <w:r>
              <w:rPr>
                <w:bCs/>
                <w:lang w:eastAsia="zh-CN"/>
              </w:rPr>
              <w:t>config</w:t>
            </w:r>
            <w:proofErr w:type="spellEnd"/>
            <w:r>
              <w:rPr>
                <w:bCs/>
                <w:lang w:eastAsia="zh-CN"/>
              </w:rPr>
              <w:t xml:space="preserve"> of unicast dedicated BWP. For example, </w:t>
            </w:r>
            <w:proofErr w:type="spellStart"/>
            <w:r>
              <w:rPr>
                <w:bCs/>
                <w:lang w:eastAsia="zh-CN"/>
              </w:rPr>
              <w:t>gNB</w:t>
            </w:r>
            <w:proofErr w:type="spellEnd"/>
            <w:r>
              <w:rPr>
                <w:bCs/>
                <w:lang w:eastAsia="zh-CN"/>
              </w:rPr>
              <w:t xml:space="preserve"> can configure a CORESET with index 1 under PDCCH-</w:t>
            </w:r>
            <w:proofErr w:type="spellStart"/>
            <w:r>
              <w:rPr>
                <w:bCs/>
                <w:lang w:eastAsia="zh-CN"/>
              </w:rPr>
              <w:lastRenderedPageBreak/>
              <w:t>config</w:t>
            </w:r>
            <w:proofErr w:type="spellEnd"/>
            <w:r>
              <w:rPr>
                <w:bCs/>
                <w:lang w:eastAsia="zh-CN"/>
              </w:rPr>
              <w:t xml:space="preserve"> </w:t>
            </w:r>
            <w:r w:rsidRPr="00C02743">
              <w:rPr>
                <w:bCs/>
                <w:lang w:eastAsia="zh-CN"/>
              </w:rPr>
              <w:t xml:space="preserve">of the dedicated unicast BWP </w:t>
            </w:r>
            <w:r>
              <w:rPr>
                <w:bCs/>
                <w:lang w:eastAsia="zh-CN"/>
              </w:rPr>
              <w:t>and also configure CORESET#1 under PDCCH-</w:t>
            </w:r>
            <w:proofErr w:type="spellStart"/>
            <w:r>
              <w:rPr>
                <w:bCs/>
                <w:lang w:eastAsia="zh-CN"/>
              </w:rPr>
              <w:t>config</w:t>
            </w:r>
            <w:proofErr w:type="spellEnd"/>
            <w:r>
              <w:rPr>
                <w:bCs/>
                <w:lang w:eastAsia="zh-CN"/>
              </w:rPr>
              <w:t xml:space="preserve">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 xml:space="preserve">interpretation of ‘FDRA’ field”, it is also related to DCI size alignment, e.g., the CFR has different size with initial DL BWP/unicast active BWP, but the </w:t>
            </w:r>
            <w:proofErr w:type="spellStart"/>
            <w:r>
              <w:rPr>
                <w:lang w:eastAsia="zh-CN"/>
              </w:rPr>
              <w:t>bitlength</w:t>
            </w:r>
            <w:proofErr w:type="spellEnd"/>
            <w:r>
              <w:rPr>
                <w:lang w:eastAsia="zh-CN"/>
              </w:rPr>
              <w:t xml:space="preserve">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8444E3">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rFonts w:hint="eastAsia"/>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rFonts w:hint="eastAsia"/>
                <w:bCs/>
                <w:lang w:eastAsia="zh-CN"/>
              </w:rPr>
            </w:pPr>
            <w:r>
              <w:rPr>
                <w:rFonts w:hint="eastAsia"/>
                <w:lang w:eastAsia="zh-CN"/>
              </w:rPr>
              <w:t>W</w:t>
            </w:r>
            <w:r>
              <w:rPr>
                <w:lang w:eastAsia="zh-CN"/>
              </w:rPr>
              <w:t>e are ok with Proposal 2-6 and 2-7.</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c"/>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afc"/>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afc"/>
        <w:widowControl w:val="0"/>
        <w:numPr>
          <w:ilvl w:val="1"/>
          <w:numId w:val="42"/>
        </w:numPr>
        <w:spacing w:after="120"/>
        <w:jc w:val="both"/>
      </w:pPr>
      <w:r w:rsidRPr="003961F7">
        <w:t xml:space="preserve">Proposal 7: </w:t>
      </w:r>
      <w:bookmarkStart w:id="23" w:name="_Hlk71981145"/>
      <w:r w:rsidRPr="003961F7">
        <w:t xml:space="preserve">It is up to </w:t>
      </w:r>
      <w:proofErr w:type="spellStart"/>
      <w:r w:rsidRPr="003961F7">
        <w:t>gNB</w:t>
      </w:r>
      <w:proofErr w:type="spellEnd"/>
      <w:r w:rsidRPr="003961F7">
        <w:t xml:space="preserve"> to retransmit the failed TB via PTM scheme 1 or PTP.</w:t>
      </w:r>
    </w:p>
    <w:p w14:paraId="5F56D9F2" w14:textId="54EB3A06" w:rsidR="008444E3" w:rsidRPr="003961F7" w:rsidRDefault="00E75841" w:rsidP="00E75841">
      <w:pPr>
        <w:pStyle w:val="afc"/>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afc"/>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c"/>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c"/>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c"/>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afc"/>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c"/>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c"/>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c"/>
        <w:widowControl w:val="0"/>
        <w:numPr>
          <w:ilvl w:val="1"/>
          <w:numId w:val="42"/>
        </w:numPr>
        <w:spacing w:after="120"/>
        <w:jc w:val="both"/>
      </w:pPr>
      <w:bookmarkStart w:id="24" w:name="_Hlk68988366"/>
      <w:r w:rsidRPr="003961F7">
        <w:lastRenderedPageBreak/>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c"/>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afc"/>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c"/>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afc"/>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c"/>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c"/>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c"/>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c"/>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c"/>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afc"/>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c"/>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c"/>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c"/>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c"/>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c"/>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c"/>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c"/>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c"/>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c"/>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c"/>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c"/>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c"/>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c"/>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c"/>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c"/>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c"/>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c"/>
        <w:widowControl w:val="0"/>
        <w:numPr>
          <w:ilvl w:val="2"/>
          <w:numId w:val="42"/>
        </w:numPr>
        <w:spacing w:after="120"/>
        <w:jc w:val="both"/>
      </w:pPr>
      <w:r w:rsidRPr="003961F7">
        <w:lastRenderedPageBreak/>
        <w:t>The same HARQ process ID and NDI bit (not toggled) are used to signal transmission of the same TB.</w:t>
      </w:r>
    </w:p>
    <w:p w14:paraId="05B14EB1" w14:textId="77777777" w:rsidR="00E300DF" w:rsidRPr="003961F7" w:rsidRDefault="00E300DF" w:rsidP="00E300DF">
      <w:pPr>
        <w:pStyle w:val="afc"/>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c"/>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c"/>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c"/>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c"/>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c"/>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c"/>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c"/>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c"/>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c"/>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c"/>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c"/>
        <w:widowControl w:val="0"/>
        <w:numPr>
          <w:ilvl w:val="1"/>
          <w:numId w:val="42"/>
        </w:numPr>
        <w:spacing w:after="120"/>
        <w:jc w:val="both"/>
      </w:pPr>
      <w:r w:rsidRPr="003961F7">
        <w:t xml:space="preserve">Proposal 8: Different group RNTIs corresponding to high and low </w:t>
      </w:r>
      <w:proofErr w:type="spellStart"/>
      <w:r w:rsidRPr="003961F7">
        <w:t>QoS</w:t>
      </w:r>
      <w:proofErr w:type="spellEnd"/>
      <w:r w:rsidRPr="003961F7">
        <w:t xml:space="preserve"> delivery modes are configured for RRC_CONNECTED UEs</w:t>
      </w:r>
    </w:p>
    <w:p w14:paraId="57F7C528" w14:textId="77777777" w:rsidR="00353230" w:rsidRPr="003961F7" w:rsidRDefault="00353230" w:rsidP="007937A7">
      <w:pPr>
        <w:pStyle w:val="afc"/>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c"/>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c"/>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c"/>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c"/>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c"/>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c"/>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c"/>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c"/>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c"/>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c"/>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c"/>
        <w:widowControl w:val="0"/>
        <w:numPr>
          <w:ilvl w:val="1"/>
          <w:numId w:val="42"/>
        </w:numPr>
        <w:spacing w:after="120"/>
        <w:jc w:val="both"/>
      </w:pPr>
      <w:r w:rsidRPr="003961F7">
        <w:t xml:space="preserve">Proposal 19: Upon receiving PTP retransmission of a TB with a HPN, UE expects PTP retransmission of the TB </w:t>
      </w:r>
      <w:r w:rsidRPr="003961F7">
        <w:lastRenderedPageBreak/>
        <w:t>after sending NACK to the TB.</w:t>
      </w:r>
    </w:p>
    <w:p w14:paraId="0003585A" w14:textId="77777777" w:rsidR="008A5065" w:rsidRPr="003961F7" w:rsidRDefault="008A5065" w:rsidP="008A5065">
      <w:pPr>
        <w:pStyle w:val="afc"/>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c"/>
        <w:widowControl w:val="0"/>
        <w:numPr>
          <w:ilvl w:val="1"/>
          <w:numId w:val="42"/>
        </w:numPr>
        <w:spacing w:after="120"/>
        <w:jc w:val="both"/>
      </w:pPr>
      <w:r w:rsidRPr="003961F7">
        <w:t xml:space="preserve">Proposal 20: After transmitting PTP retransmission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 </w:t>
      </w:r>
    </w:p>
    <w:p w14:paraId="5640E83A"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c"/>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c"/>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c"/>
        <w:widowControl w:val="0"/>
        <w:numPr>
          <w:ilvl w:val="1"/>
          <w:numId w:val="42"/>
        </w:numPr>
        <w:spacing w:after="120"/>
        <w:jc w:val="both"/>
      </w:pPr>
      <w:r w:rsidRPr="003961F7">
        <w:t xml:space="preserve">Proposal 21: After transmitting unicast 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w:t>
      </w:r>
    </w:p>
    <w:p w14:paraId="01D446E9"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c"/>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c"/>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c"/>
        <w:widowControl w:val="0"/>
        <w:numPr>
          <w:ilvl w:val="1"/>
          <w:numId w:val="42"/>
        </w:numPr>
        <w:spacing w:after="120"/>
        <w:jc w:val="both"/>
      </w:pPr>
      <w:r w:rsidRPr="003961F7">
        <w:t xml:space="preserve">Proposal 22: After transmitting group common PDCCH/PDSCH with a HPN, it is up to </w:t>
      </w:r>
      <w:proofErr w:type="spellStart"/>
      <w:r w:rsidRPr="003961F7">
        <w:t>gNB</w:t>
      </w:r>
      <w:proofErr w:type="spellEnd"/>
      <w:r w:rsidRPr="003961F7">
        <w:t xml:space="preserve"> whether UE specific DCI with the same HPN and a toggled NDI can be transmitted to schedule new TX of unicast PDSCH.</w:t>
      </w:r>
    </w:p>
    <w:p w14:paraId="2CA95814"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c"/>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c"/>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c"/>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c"/>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c"/>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c"/>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c"/>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c"/>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c"/>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c"/>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c"/>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c"/>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c"/>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c"/>
        <w:widowControl w:val="0"/>
        <w:numPr>
          <w:ilvl w:val="0"/>
          <w:numId w:val="42"/>
        </w:numPr>
        <w:spacing w:after="120"/>
        <w:jc w:val="both"/>
      </w:pPr>
      <w:r w:rsidRPr="003961F7">
        <w:rPr>
          <w:i/>
          <w:iCs/>
          <w:u w:val="single"/>
        </w:rPr>
        <w:lastRenderedPageBreak/>
        <w:t>Google</w:t>
      </w:r>
    </w:p>
    <w:p w14:paraId="06B26A11" w14:textId="7958C65B" w:rsidR="00E46F7F" w:rsidRPr="003961F7" w:rsidRDefault="00E46F7F" w:rsidP="00E46F7F">
      <w:pPr>
        <w:pStyle w:val="afc"/>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c"/>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c"/>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c"/>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c"/>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c"/>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c"/>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c"/>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c"/>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c"/>
        <w:widowControl w:val="0"/>
        <w:numPr>
          <w:ilvl w:val="1"/>
          <w:numId w:val="42"/>
        </w:numPr>
        <w:spacing w:after="120"/>
        <w:jc w:val="both"/>
      </w:pPr>
      <w:r w:rsidRPr="003961F7">
        <w:t xml:space="preserve">Proposal 4: RAN1 to study possible ways of ensuring that with PTM initial </w:t>
      </w:r>
      <w:proofErr w:type="spellStart"/>
      <w:r w:rsidRPr="003961F7">
        <w:t>Tx</w:t>
      </w:r>
      <w:proofErr w:type="spellEnd"/>
      <w:r w:rsidRPr="003961F7">
        <w:t xml:space="preserve">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c"/>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c"/>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c"/>
        <w:widowControl w:val="0"/>
        <w:numPr>
          <w:ilvl w:val="1"/>
          <w:numId w:val="42"/>
        </w:numPr>
        <w:spacing w:after="120"/>
        <w:jc w:val="both"/>
      </w:pPr>
      <w:r w:rsidRPr="003961F7">
        <w:t xml:space="preserve">Proposal 5: </w:t>
      </w:r>
      <w:bookmarkStart w:id="2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c"/>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c"/>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c"/>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c"/>
        <w:widowControl w:val="0"/>
        <w:numPr>
          <w:ilvl w:val="2"/>
          <w:numId w:val="42"/>
        </w:numPr>
        <w:spacing w:after="120"/>
        <w:jc w:val="both"/>
      </w:pPr>
      <w:r w:rsidRPr="003961F7">
        <w:t>Other solutions not precluded</w:t>
      </w:r>
    </w:p>
    <w:bookmarkEnd w:id="26"/>
    <w:p w14:paraId="43111A04" w14:textId="0BE275BF" w:rsidR="0097043C" w:rsidRPr="003961F7" w:rsidRDefault="0097043C" w:rsidP="0097043C">
      <w:pPr>
        <w:pStyle w:val="afc"/>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c"/>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c"/>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c"/>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 xml:space="preserve">UE could receive another PDSCH via PTM </w:t>
      </w:r>
      <w:r w:rsidR="00CE4BD7" w:rsidRPr="00CE4BD7">
        <w:rPr>
          <w:lang w:eastAsia="zh-CN"/>
        </w:rPr>
        <w:lastRenderedPageBreak/>
        <w:t>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xml:space="preserve">, CATT, </w:t>
      </w:r>
      <w:proofErr w:type="gramStart"/>
      <w:r w:rsidR="0036436D">
        <w:rPr>
          <w:lang w:eastAsia="zh-CN"/>
        </w:rPr>
        <w:t>Lenovo</w:t>
      </w:r>
      <w:proofErr w:type="gramEnd"/>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xml:space="preserve">, NTT </w:t>
      </w:r>
      <w:proofErr w:type="spellStart"/>
      <w:r w:rsidR="001B0F95">
        <w:rPr>
          <w:lang w:eastAsia="zh-CN"/>
        </w:rPr>
        <w:t>Docomo</w:t>
      </w:r>
      <w:proofErr w:type="spellEnd"/>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xml:space="preserve">, 1 company [Huawei] thinks it is up to </w:t>
      </w:r>
      <w:proofErr w:type="spellStart"/>
      <w:r w:rsidR="007B3CE4">
        <w:rPr>
          <w:lang w:eastAsia="zh-CN"/>
        </w:rPr>
        <w:t>gNB</w:t>
      </w:r>
      <w:proofErr w:type="spellEnd"/>
      <w:r w:rsidR="007B3CE4">
        <w:rPr>
          <w:lang w:eastAsia="zh-CN"/>
        </w:rPr>
        <w:t xml:space="preserve">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c"/>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c"/>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41102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11028" w14:paraId="0CF709C5" w14:textId="77777777" w:rsidTr="008444E3">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8444E3">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lastRenderedPageBreak/>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 xml:space="preserve">multicast. Assuming the GC-PDCCH for the multicast is missed by the UE, then UE does not transmit ACK or NACK to </w:t>
            </w:r>
            <w:proofErr w:type="spellStart"/>
            <w:r>
              <w:rPr>
                <w:bCs/>
                <w:lang w:eastAsia="zh-CN"/>
              </w:rPr>
              <w:t>gNB</w:t>
            </w:r>
            <w:proofErr w:type="spellEnd"/>
            <w:r>
              <w:rPr>
                <w:bCs/>
                <w:lang w:eastAsia="zh-CN"/>
              </w:rPr>
              <w:t xml:space="preserve">. Since no NACK is detected at </w:t>
            </w:r>
            <w:proofErr w:type="spellStart"/>
            <w:r>
              <w:rPr>
                <w:bCs/>
                <w:lang w:eastAsia="zh-CN"/>
              </w:rPr>
              <w:t>gNB</w:t>
            </w:r>
            <w:proofErr w:type="spellEnd"/>
            <w:r>
              <w:rPr>
                <w:bCs/>
                <w:lang w:eastAsia="zh-CN"/>
              </w:rPr>
              <w:t xml:space="preserve"> side, why d</w:t>
            </w:r>
            <w:r w:rsidR="00270A0A">
              <w:rPr>
                <w:bCs/>
                <w:lang w:eastAsia="zh-CN"/>
              </w:rPr>
              <w:t>oes</w:t>
            </w:r>
            <w:r>
              <w:rPr>
                <w:bCs/>
                <w:lang w:eastAsia="zh-CN"/>
              </w:rPr>
              <w:t xml:space="preserve"> </w:t>
            </w:r>
            <w:proofErr w:type="spellStart"/>
            <w:r>
              <w:rPr>
                <w:bCs/>
                <w:lang w:eastAsia="zh-CN"/>
              </w:rPr>
              <w:t>gNB</w:t>
            </w:r>
            <w:proofErr w:type="spellEnd"/>
            <w:r>
              <w:rPr>
                <w:bCs/>
                <w:lang w:eastAsia="zh-CN"/>
              </w:rPr>
              <w:t xml:space="preserve"> use PTP for retransmission to this UE? Even </w:t>
            </w:r>
            <w:proofErr w:type="spellStart"/>
            <w:r>
              <w:rPr>
                <w:bCs/>
                <w:lang w:eastAsia="zh-CN"/>
              </w:rPr>
              <w:t>gNB</w:t>
            </w:r>
            <w:proofErr w:type="spellEnd"/>
            <w:r>
              <w:rPr>
                <w:bCs/>
                <w:lang w:eastAsia="zh-CN"/>
              </w:rPr>
              <w:t xml:space="preserve"> did such, </w:t>
            </w:r>
            <w:r w:rsidR="00270A0A">
              <w:rPr>
                <w:bCs/>
                <w:lang w:eastAsia="zh-CN"/>
              </w:rPr>
              <w:t xml:space="preserve">why does UE combine the current received data with previous received data which has been acknowledged with ACK to </w:t>
            </w:r>
            <w:proofErr w:type="spellStart"/>
            <w:r w:rsidR="00270A0A">
              <w:rPr>
                <w:bCs/>
                <w:lang w:eastAsia="zh-CN"/>
              </w:rPr>
              <w:t>gNB</w:t>
            </w:r>
            <w:proofErr w:type="spellEnd"/>
            <w:r w:rsidR="00270A0A">
              <w:rPr>
                <w:bCs/>
                <w:lang w:eastAsia="zh-CN"/>
              </w:rPr>
              <w:t xml:space="preserve">? </w:t>
            </w:r>
          </w:p>
        </w:tc>
      </w:tr>
      <w:tr w:rsidR="00960B75" w14:paraId="47F541E0" w14:textId="77777777" w:rsidTr="008444E3">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8444E3">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8444E3">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rFonts w:hint="eastAsia"/>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rFonts w:hint="eastAsia"/>
                <w:bCs/>
                <w:lang w:eastAsia="zh-CN"/>
              </w:rPr>
            </w:pPr>
            <w:r>
              <w:rPr>
                <w:bCs/>
                <w:lang w:eastAsia="zh-CN"/>
              </w:rPr>
              <w:t xml:space="preserve">For a given HARQ process ID, if it is firstly used for unicast then for multicast, if UE misses the multicast, then </w:t>
            </w:r>
            <w:proofErr w:type="spellStart"/>
            <w:r>
              <w:rPr>
                <w:bCs/>
                <w:lang w:eastAsia="zh-CN"/>
              </w:rPr>
              <w:t>gNB</w:t>
            </w:r>
            <w:proofErr w:type="spellEnd"/>
            <w:r>
              <w:rPr>
                <w:bCs/>
                <w:lang w:eastAsia="zh-CN"/>
              </w:rPr>
              <w:t xml:space="preserve"> would use PTP to retransmit the MBS TB. In this case, UE is not sure whether the PTP is for unicast retransmission (in case the ACK for unicast is missed by </w:t>
            </w:r>
            <w:proofErr w:type="spellStart"/>
            <w:r>
              <w:rPr>
                <w:bCs/>
                <w:lang w:eastAsia="zh-CN"/>
              </w:rPr>
              <w:t>gNB</w:t>
            </w:r>
            <w:proofErr w:type="spellEnd"/>
            <w:r>
              <w:rPr>
                <w:bCs/>
                <w:lang w:eastAsia="zh-CN"/>
              </w:rPr>
              <w:t>) or for PTM retransmission.</w:t>
            </w:r>
          </w:p>
        </w:tc>
      </w:tr>
    </w:tbl>
    <w:p w14:paraId="26ED1002" w14:textId="77777777" w:rsidR="00411028"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lastRenderedPageBreak/>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c"/>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afc"/>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afc"/>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c"/>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c"/>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c"/>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c"/>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c"/>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c"/>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c"/>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c"/>
        <w:widowControl w:val="0"/>
        <w:numPr>
          <w:ilvl w:val="2"/>
          <w:numId w:val="42"/>
        </w:numPr>
        <w:spacing w:after="120"/>
        <w:jc w:val="both"/>
      </w:pPr>
      <w:r w:rsidRPr="00634718">
        <w:lastRenderedPageBreak/>
        <w:t>PTM scheme 1 retransmission and PTP retransmission can be used simultaneously for different UEs in the same MBS group</w:t>
      </w:r>
    </w:p>
    <w:p w14:paraId="0DA3A4B0" w14:textId="158459F6" w:rsidR="00403BFA" w:rsidRPr="00634718" w:rsidRDefault="00403BFA" w:rsidP="00403BFA">
      <w:pPr>
        <w:pStyle w:val="afc"/>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c"/>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c"/>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c"/>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c"/>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c"/>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c"/>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c"/>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c"/>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c"/>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c"/>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c"/>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c"/>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c"/>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c"/>
        <w:widowControl w:val="0"/>
        <w:numPr>
          <w:ilvl w:val="2"/>
          <w:numId w:val="42"/>
        </w:numPr>
        <w:spacing w:after="120"/>
        <w:jc w:val="both"/>
      </w:pPr>
      <w:r w:rsidRPr="00634718">
        <w:t>1.</w:t>
      </w:r>
      <w:r w:rsidRPr="00634718">
        <w:tab/>
        <w:t xml:space="preserve">In scenarios where there is a low density of users receiving multicast traffic with high data rates and requiring uplink feedback, </w:t>
      </w:r>
      <w:proofErr w:type="spellStart"/>
      <w:r w:rsidRPr="00634718">
        <w:t>gNB</w:t>
      </w:r>
      <w:proofErr w:type="spellEnd"/>
      <w:r w:rsidRPr="00634718">
        <w:t xml:space="preserve"> will have the flexibility to choose the appropriate control channel signaling mechanism</w:t>
      </w:r>
    </w:p>
    <w:p w14:paraId="76A7FC54" w14:textId="77777777" w:rsidR="00CB53FB" w:rsidRPr="00634718" w:rsidRDefault="00CB53FB" w:rsidP="00CB53FB">
      <w:pPr>
        <w:pStyle w:val="afc"/>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c"/>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c"/>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c"/>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c"/>
        <w:widowControl w:val="0"/>
        <w:numPr>
          <w:ilvl w:val="1"/>
          <w:numId w:val="42"/>
        </w:numPr>
        <w:spacing w:after="120"/>
        <w:jc w:val="both"/>
      </w:pPr>
      <w:bookmarkStart w:id="2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c"/>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c"/>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c"/>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c"/>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afc"/>
        <w:widowControl w:val="0"/>
        <w:numPr>
          <w:ilvl w:val="1"/>
          <w:numId w:val="42"/>
        </w:numPr>
        <w:spacing w:after="120"/>
        <w:jc w:val="both"/>
      </w:pPr>
      <w:r w:rsidRPr="00634718">
        <w:t xml:space="preserve">Observation-11: Simultaneous support for PTM scheme 1 and PTP based retransmissions of the same transport </w:t>
      </w:r>
      <w:r w:rsidRPr="00634718">
        <w:lastRenderedPageBreak/>
        <w:t>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c"/>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c"/>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c"/>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c"/>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c"/>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c"/>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c"/>
        <w:widowControl w:val="0"/>
        <w:numPr>
          <w:ilvl w:val="0"/>
          <w:numId w:val="42"/>
        </w:numPr>
        <w:spacing w:after="120"/>
        <w:jc w:val="both"/>
      </w:pPr>
      <w:proofErr w:type="spellStart"/>
      <w:r w:rsidRPr="00634718">
        <w:rPr>
          <w:i/>
          <w:iCs/>
          <w:u w:val="single"/>
        </w:rPr>
        <w:t>MediaTek</w:t>
      </w:r>
      <w:proofErr w:type="spellEnd"/>
    </w:p>
    <w:p w14:paraId="12746845" w14:textId="77777777" w:rsidR="00F54DC2" w:rsidRPr="00634718" w:rsidRDefault="00F54DC2" w:rsidP="007937A7">
      <w:pPr>
        <w:pStyle w:val="afc"/>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c"/>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c"/>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c"/>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c"/>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c"/>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c"/>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c"/>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c"/>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c"/>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c"/>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c"/>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c"/>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c"/>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c"/>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c"/>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c"/>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c"/>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c"/>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c"/>
        <w:widowControl w:val="0"/>
        <w:numPr>
          <w:ilvl w:val="1"/>
          <w:numId w:val="42"/>
        </w:numPr>
        <w:spacing w:after="120"/>
        <w:jc w:val="both"/>
      </w:pPr>
      <w:r w:rsidRPr="00634718">
        <w:lastRenderedPageBreak/>
        <w:t xml:space="preserve">Proposal 15: For SPS GC-PDSCH activation/release, </w:t>
      </w:r>
    </w:p>
    <w:p w14:paraId="4A4162DA" w14:textId="77777777" w:rsidR="00934D36" w:rsidRPr="00634718" w:rsidRDefault="00934D36" w:rsidP="00934D36">
      <w:pPr>
        <w:pStyle w:val="afc"/>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c"/>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c"/>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afc"/>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c"/>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c"/>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c"/>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c"/>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c"/>
        <w:widowControl w:val="0"/>
        <w:numPr>
          <w:ilvl w:val="1"/>
          <w:numId w:val="42"/>
        </w:numPr>
        <w:spacing w:after="120"/>
        <w:jc w:val="both"/>
      </w:pPr>
      <w:r w:rsidRPr="00634718">
        <w:t xml:space="preserve">Proposal 25: For a UE not confirming SPS activation, </w:t>
      </w:r>
      <w:proofErr w:type="spellStart"/>
      <w:r w:rsidRPr="00634718">
        <w:t>gNB</w:t>
      </w:r>
      <w:proofErr w:type="spellEnd"/>
      <w:r w:rsidRPr="00634718">
        <w:t xml:space="preserve"> can schedule PTP initial transmission of missed TB(s).</w:t>
      </w:r>
    </w:p>
    <w:p w14:paraId="6A207B5A" w14:textId="77777777" w:rsidR="00F03DAB" w:rsidRPr="00634718" w:rsidRDefault="00F03DAB" w:rsidP="00F03DAB">
      <w:pPr>
        <w:pStyle w:val="afc"/>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c"/>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c"/>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c"/>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c"/>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c"/>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c"/>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c"/>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c"/>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c"/>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c"/>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c"/>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c"/>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c"/>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c"/>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c"/>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c"/>
        <w:widowControl w:val="0"/>
        <w:numPr>
          <w:ilvl w:val="2"/>
          <w:numId w:val="42"/>
        </w:numPr>
        <w:spacing w:after="120"/>
        <w:jc w:val="both"/>
      </w:pPr>
      <w:r w:rsidRPr="00634718">
        <w:t>FFS: Which option to use</w:t>
      </w:r>
    </w:p>
    <w:p w14:paraId="42362231" w14:textId="77777777" w:rsidR="008F3E09" w:rsidRPr="00634718" w:rsidRDefault="008F3E09" w:rsidP="008F3E09">
      <w:pPr>
        <w:pStyle w:val="afc"/>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proofErr w:type="spellStart"/>
      <w:r w:rsidRPr="00634718">
        <w:t>NACKed</w:t>
      </w:r>
      <w:proofErr w:type="spellEnd"/>
      <w:r w:rsidRPr="00634718">
        <w:t xml:space="preserve"> TB.</w:t>
      </w:r>
    </w:p>
    <w:p w14:paraId="2EC962D9" w14:textId="02A7C6F9" w:rsidR="00C1728C" w:rsidRPr="00634718" w:rsidRDefault="008F3E09" w:rsidP="008F3E09">
      <w:pPr>
        <w:pStyle w:val="afc"/>
        <w:widowControl w:val="0"/>
        <w:numPr>
          <w:ilvl w:val="1"/>
          <w:numId w:val="42"/>
        </w:numPr>
        <w:spacing w:after="120"/>
        <w:jc w:val="both"/>
      </w:pPr>
      <w:r w:rsidRPr="00634718">
        <w:lastRenderedPageBreak/>
        <w:t xml:space="preserve">Proposal 4: For the NACK-ONLY based HARQ-ACK feedback for an SPS MRB of the PTM bearer of the MBS session, the PTM bearer with PTM scheme 1 can be used for the retransmission of the </w:t>
      </w:r>
      <w:proofErr w:type="spellStart"/>
      <w:r w:rsidRPr="00634718">
        <w:t>NACKed</w:t>
      </w:r>
      <w:proofErr w:type="spellEnd"/>
      <w:r w:rsidRPr="00634718">
        <w:t xml:space="preserve"> TB, where PTM scheme 1 can use beam sweeping or partial beam sweeping.</w:t>
      </w:r>
    </w:p>
    <w:p w14:paraId="1E7986EA" w14:textId="77777777" w:rsidR="007E739C" w:rsidRPr="00634718" w:rsidRDefault="007E739C" w:rsidP="007E739C">
      <w:pPr>
        <w:pStyle w:val="afc"/>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 xml:space="preserve">The following methods can be used to detect the missed activation/deactivation of SPS group common PDSCH. The system frame number, </w:t>
      </w:r>
      <w:proofErr w:type="spellStart"/>
      <w:r w:rsidRPr="00634718">
        <w:rPr>
          <w:rFonts w:hint="eastAsia"/>
        </w:rPr>
        <w:t>subframe</w:t>
      </w:r>
      <w:proofErr w:type="spellEnd"/>
      <w:r w:rsidRPr="00634718">
        <w:rPr>
          <w:rFonts w:hint="eastAsia"/>
        </w:rPr>
        <w:t xml:space="preserv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c"/>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c"/>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c"/>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afc"/>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c"/>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c"/>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c"/>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c"/>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c"/>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c"/>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c"/>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c"/>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c"/>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c"/>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c"/>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c"/>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c"/>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c"/>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c"/>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c"/>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c"/>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c"/>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c"/>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c"/>
        <w:widowControl w:val="0"/>
        <w:numPr>
          <w:ilvl w:val="1"/>
          <w:numId w:val="42"/>
        </w:numPr>
        <w:spacing w:after="120"/>
        <w:jc w:val="both"/>
      </w:pPr>
      <w:r w:rsidRPr="00634718">
        <w:lastRenderedPageBreak/>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c"/>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c"/>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c"/>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c"/>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c"/>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c"/>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c"/>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w:t>
      </w:r>
      <w:proofErr w:type="spellStart"/>
      <w:r w:rsidR="00A16F52">
        <w:rPr>
          <w:lang w:eastAsia="x-none"/>
        </w:rPr>
        <w:t>Docomo</w:t>
      </w:r>
      <w:proofErr w:type="spellEnd"/>
      <w:r w:rsidR="00A16F52">
        <w:rPr>
          <w:lang w:eastAsia="x-none"/>
        </w:rPr>
        <w:t xml:space="preserve">, </w:t>
      </w:r>
      <w:proofErr w:type="gramStart"/>
      <w:r w:rsidR="00A16F52">
        <w:rPr>
          <w:lang w:eastAsia="x-none"/>
        </w:rPr>
        <w:t>Ericsson</w:t>
      </w:r>
      <w:proofErr w:type="gramEnd"/>
      <w:r w:rsidR="00A16F52">
        <w:rPr>
          <w:lang w:eastAsia="x-none"/>
        </w:rPr>
        <w:t xml:space="preserve">]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c"/>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xml:space="preserve">, </w:t>
      </w:r>
      <w:proofErr w:type="gramStart"/>
      <w:r>
        <w:t>NTT</w:t>
      </w:r>
      <w:proofErr w:type="gramEnd"/>
      <w:r>
        <w:t xml:space="preserve">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c"/>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c"/>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c"/>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c"/>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lastRenderedPageBreak/>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F23F0" w14:paraId="6B915E05" w14:textId="77777777" w:rsidTr="008444E3">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444E3">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w:t>
            </w:r>
            <w:proofErr w:type="spellStart"/>
            <w:r>
              <w:rPr>
                <w:bCs/>
                <w:lang w:eastAsia="zh-CN"/>
              </w:rPr>
              <w:t>gNB</w:t>
            </w:r>
            <w:proofErr w:type="spellEnd"/>
            <w:r>
              <w:rPr>
                <w:bCs/>
                <w:lang w:eastAsia="zh-CN"/>
              </w:rPr>
              <w:t xml:space="preserve">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444E3">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444E3">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444E3">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rFonts w:hint="eastAsia"/>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xml:space="preserve">, </w:t>
            </w:r>
            <w:r w:rsidRPr="006340F1">
              <w:rPr>
                <w:i/>
                <w:lang w:eastAsia="x-none"/>
              </w:rPr>
              <w:lastRenderedPageBreak/>
              <w:t>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rFonts w:hint="eastAsia"/>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rFonts w:hint="eastAsia"/>
                <w:bCs/>
                <w:lang w:eastAsia="zh-CN"/>
              </w:rPr>
            </w:pPr>
          </w:p>
        </w:tc>
      </w:tr>
    </w:tbl>
    <w:p w14:paraId="11D12396" w14:textId="77777777" w:rsidR="003F23F0"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lastRenderedPageBreak/>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c"/>
        <w:widowControl w:val="0"/>
        <w:numPr>
          <w:ilvl w:val="0"/>
          <w:numId w:val="42"/>
        </w:numPr>
        <w:spacing w:after="120"/>
        <w:jc w:val="both"/>
        <w:rPr>
          <w:i/>
          <w:iCs/>
          <w:u w:val="single"/>
        </w:rPr>
      </w:pPr>
      <w:bookmarkStart w:id="31" w:name="_Hlk68789211"/>
      <w:proofErr w:type="spellStart"/>
      <w:r w:rsidRPr="008B1850">
        <w:rPr>
          <w:i/>
          <w:iCs/>
          <w:u w:val="single"/>
        </w:rPr>
        <w:t>Spreadtrum</w:t>
      </w:r>
      <w:proofErr w:type="spellEnd"/>
    </w:p>
    <w:bookmarkEnd w:id="31"/>
    <w:p w14:paraId="480320B9" w14:textId="77777777" w:rsidR="00625678" w:rsidRPr="008B1850" w:rsidRDefault="00625678" w:rsidP="007937A7">
      <w:pPr>
        <w:pStyle w:val="afc"/>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c"/>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c"/>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c"/>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c"/>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c"/>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c"/>
        <w:widowControl w:val="0"/>
        <w:numPr>
          <w:ilvl w:val="1"/>
          <w:numId w:val="42"/>
        </w:numPr>
        <w:spacing w:after="120"/>
        <w:jc w:val="both"/>
      </w:pPr>
      <w:r w:rsidRPr="008B1850">
        <w:t xml:space="preserve">Proposal-16: Agree not to define M, N, K and L parameters in specification and leave the upper limits of these parameters to </w:t>
      </w:r>
      <w:proofErr w:type="spellStart"/>
      <w:r w:rsidRPr="008B1850">
        <w:t>gNB</w:t>
      </w:r>
      <w:proofErr w:type="spellEnd"/>
      <w:r w:rsidRPr="008B1850">
        <w:t xml:space="preserve"> implementation.</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c"/>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c"/>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c"/>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c"/>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c"/>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c"/>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c"/>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c"/>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c"/>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c"/>
        <w:widowControl w:val="0"/>
        <w:numPr>
          <w:ilvl w:val="1"/>
          <w:numId w:val="42"/>
        </w:numPr>
        <w:spacing w:after="120"/>
        <w:jc w:val="both"/>
      </w:pPr>
      <w:r w:rsidRPr="008B1850">
        <w:t xml:space="preserve">Observation 13: The current minimum capability of 2 PDSCH per slot cannot fulfill case 1 (3 PDSCH in total) or </w:t>
      </w:r>
      <w:r w:rsidRPr="008B1850">
        <w:lastRenderedPageBreak/>
        <w:t>case 3 (4 PDSCH in total).</w:t>
      </w:r>
    </w:p>
    <w:p w14:paraId="7B006622" w14:textId="47D87F7B" w:rsidR="00411358" w:rsidRPr="008B1850" w:rsidRDefault="00411358" w:rsidP="00411358">
      <w:pPr>
        <w:pStyle w:val="afc"/>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c"/>
        <w:widowControl w:val="0"/>
        <w:numPr>
          <w:ilvl w:val="1"/>
          <w:numId w:val="42"/>
        </w:numPr>
        <w:spacing w:after="120"/>
        <w:jc w:val="both"/>
      </w:pPr>
      <w:r w:rsidRPr="008B1850">
        <w:t>Proposal 23: The capability for maximum number of PDSCH per slot is kept as for rel16, i.e. {2</w:t>
      </w:r>
      <w:proofErr w:type="gramStart"/>
      <w:r w:rsidRPr="008B1850">
        <w:t>,4,7</w:t>
      </w:r>
      <w:proofErr w:type="gramEnd"/>
      <w:r w:rsidRPr="008B1850">
        <w:t>}.</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76292" w14:paraId="0758CF72" w14:textId="77777777" w:rsidTr="008444E3">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8444E3">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8444E3">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8444E3">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rFonts w:hint="eastAsia"/>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rFonts w:hint="eastAsia"/>
                <w:bCs/>
                <w:lang w:eastAsia="zh-CN"/>
              </w:rPr>
            </w:pPr>
            <w:r>
              <w:rPr>
                <w:rFonts w:hint="eastAsia"/>
                <w:bCs/>
                <w:lang w:eastAsia="zh-CN"/>
              </w:rPr>
              <w:t>F</w:t>
            </w:r>
            <w:r>
              <w:rPr>
                <w:bCs/>
                <w:lang w:eastAsia="zh-CN"/>
              </w:rPr>
              <w:t xml:space="preserve">or proposal 5-1: Ok in principle. But we would prefer to leave it to UE feature discussion. </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bookmarkStart w:id="32" w:name="_GoBack"/>
      <w:bookmarkEnd w:id="32"/>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c"/>
        <w:widowControl w:val="0"/>
        <w:numPr>
          <w:ilvl w:val="0"/>
          <w:numId w:val="42"/>
        </w:numPr>
        <w:spacing w:after="120"/>
        <w:jc w:val="both"/>
        <w:rPr>
          <w:i/>
          <w:iCs/>
          <w:u w:val="single"/>
        </w:rPr>
      </w:pPr>
      <w:r w:rsidRPr="00F963E4">
        <w:rPr>
          <w:rFonts w:hint="eastAsia"/>
          <w:i/>
          <w:iCs/>
          <w:u w:val="single"/>
        </w:rPr>
        <w:lastRenderedPageBreak/>
        <w:t>O</w:t>
      </w:r>
      <w:r w:rsidRPr="00F963E4">
        <w:rPr>
          <w:i/>
          <w:iCs/>
          <w:u w:val="single"/>
        </w:rPr>
        <w:t>PPO</w:t>
      </w:r>
    </w:p>
    <w:p w14:paraId="53498C3D" w14:textId="77777777" w:rsidR="002A40C7" w:rsidRPr="00F963E4" w:rsidRDefault="002A40C7" w:rsidP="007937A7">
      <w:pPr>
        <w:pStyle w:val="afc"/>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c"/>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c"/>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c"/>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c"/>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c"/>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c"/>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c"/>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c"/>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c"/>
        <w:widowControl w:val="0"/>
        <w:numPr>
          <w:ilvl w:val="1"/>
          <w:numId w:val="42"/>
        </w:numPr>
        <w:spacing w:after="120"/>
        <w:jc w:val="both"/>
      </w:pPr>
      <w:r w:rsidRPr="00F963E4">
        <w:t xml:space="preserve">Proposal 27. For broadcast, dedicated HARQ </w:t>
      </w:r>
      <w:proofErr w:type="gramStart"/>
      <w:r w:rsidRPr="00F963E4">
        <w:t>process(</w:t>
      </w:r>
      <w:proofErr w:type="spellStart"/>
      <w:proofErr w:type="gramEnd"/>
      <w:r w:rsidRPr="00F963E4">
        <w:t>es</w:t>
      </w:r>
      <w:proofErr w:type="spellEnd"/>
      <w:r w:rsidRPr="00F963E4">
        <w:t>) are assigned and the HARQ process number is not indicated in the group-common PDCCH.</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c"/>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c"/>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c"/>
        <w:widowControl w:val="0"/>
        <w:numPr>
          <w:ilvl w:val="1"/>
          <w:numId w:val="42"/>
        </w:numPr>
        <w:spacing w:after="120"/>
        <w:jc w:val="both"/>
      </w:pPr>
      <w:r w:rsidRPr="00F963E4">
        <w:t xml:space="preserve">Proposal 22: For </w:t>
      </w:r>
      <w:proofErr w:type="spellStart"/>
      <w:r w:rsidRPr="00F963E4">
        <w:t>groupcast</w:t>
      </w:r>
      <w:proofErr w:type="spellEnd"/>
      <w:r w:rsidRPr="00F963E4">
        <w:t xml:space="preserve">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c"/>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c"/>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c"/>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c"/>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afc"/>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c"/>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c"/>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c"/>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c"/>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c"/>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c"/>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c"/>
        <w:widowControl w:val="0"/>
        <w:numPr>
          <w:ilvl w:val="1"/>
          <w:numId w:val="42"/>
        </w:numPr>
        <w:spacing w:after="120"/>
        <w:jc w:val="both"/>
      </w:pPr>
      <w:r w:rsidRPr="00F963E4">
        <w:lastRenderedPageBreak/>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c"/>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c"/>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c"/>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3" w:name="_Ref450342757"/>
      <w:bookmarkStart w:id="34" w:name="_Ref450735844"/>
      <w:bookmarkStart w:id="35" w:name="_Ref457730460"/>
      <w:r>
        <w:rPr>
          <w:rFonts w:ascii="Times New Roman" w:hAnsi="Times New Roman"/>
          <w:lang w:val="en-US"/>
        </w:rPr>
        <w:tab/>
      </w:r>
    </w:p>
    <w:bookmarkEnd w:id="33"/>
    <w:bookmarkEnd w:id="34"/>
    <w:bookmarkEnd w:id="35"/>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 xml:space="preserve">Huawei, </w:t>
      </w:r>
      <w:proofErr w:type="spellStart"/>
      <w:r w:rsidRPr="00E26728">
        <w:rPr>
          <w:rFonts w:eastAsia="宋体"/>
          <w:szCs w:val="20"/>
        </w:rPr>
        <w:t>HiSilicon</w:t>
      </w:r>
      <w:proofErr w:type="spellEnd"/>
      <w:r w:rsidRPr="00E26728">
        <w:rPr>
          <w:rFonts w:eastAsia="宋体"/>
          <w:szCs w:val="20"/>
        </w:rPr>
        <w:t>, CBN</w:t>
      </w:r>
    </w:p>
    <w:p w14:paraId="245888B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lastRenderedPageBreak/>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r>
      <w:proofErr w:type="spellStart"/>
      <w:r w:rsidRPr="00E26728">
        <w:rPr>
          <w:rFonts w:eastAsia="宋体"/>
          <w:szCs w:val="20"/>
        </w:rPr>
        <w:t>MediaTek</w:t>
      </w:r>
      <w:proofErr w:type="spellEnd"/>
      <w:r w:rsidRPr="00E26728">
        <w:rPr>
          <w:rFonts w:eastAsia="宋体"/>
          <w:szCs w:val="20"/>
        </w:rPr>
        <w:t xml:space="preserve"> Inc.</w:t>
      </w:r>
    </w:p>
    <w:p w14:paraId="302EC958"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c"/>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proofErr w:type="gramStart"/>
      <w:r>
        <w:t>o</w:t>
      </w:r>
      <w:proofErr w:type="gramEnd"/>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lastRenderedPageBreak/>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lastRenderedPageBreak/>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proofErr w:type="gramStart"/>
      <w:r w:rsidRPr="00DE11B0">
        <w:rPr>
          <w:lang w:eastAsia="ja-JP"/>
        </w:rPr>
        <w:t>the</w:t>
      </w:r>
      <w:proofErr w:type="gramEnd"/>
      <w:r w:rsidRPr="00DE11B0">
        <w:rPr>
          <w:lang w:eastAsia="ja-JP"/>
        </w:rPr>
        <w:t xml:space="preserv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lastRenderedPageBreak/>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lastRenderedPageBreak/>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3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lastRenderedPageBreak/>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w:t>
      </w:r>
      <w:proofErr w:type="spellStart"/>
      <w:r w:rsidRPr="00AA012B">
        <w:rPr>
          <w:i/>
          <w:iCs/>
        </w:rPr>
        <w:t>Config</w:t>
      </w:r>
      <w:proofErr w:type="spellEnd"/>
      <w:r w:rsidRPr="00AA012B">
        <w:t xml:space="preserve"> for multicast. Otherwise, </w:t>
      </w:r>
      <w:r w:rsidRPr="00AA012B">
        <w:rPr>
          <w:i/>
          <w:iCs/>
        </w:rPr>
        <w:t>PUCCH-</w:t>
      </w:r>
      <w:proofErr w:type="spellStart"/>
      <w:r w:rsidRPr="00AA012B">
        <w:rPr>
          <w:i/>
          <w:iCs/>
        </w:rPr>
        <w:t>Config</w:t>
      </w:r>
      <w:proofErr w:type="spellEnd"/>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lastRenderedPageBreak/>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8"/>
    <w:bookmarkEnd w:id="3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If UE is configured with </w:t>
      </w:r>
      <w:proofErr w:type="spellStart"/>
      <w:r w:rsidRPr="00AA012B">
        <w:rPr>
          <w:lang w:eastAsia="zh-CN"/>
        </w:rPr>
        <w:t>Config</w:t>
      </w:r>
      <w:proofErr w:type="spellEnd"/>
      <w:r w:rsidRPr="00AA012B">
        <w:rPr>
          <w:lang w:eastAsia="zh-CN"/>
        </w:rPr>
        <w:t xml:space="preserve"> B, UE does not expect to be configured with </w:t>
      </w:r>
      <w:proofErr w:type="spellStart"/>
      <w:r w:rsidRPr="00AA012B">
        <w:rPr>
          <w:lang w:eastAsia="zh-CN"/>
        </w:rPr>
        <w:t>Config</w:t>
      </w:r>
      <w:proofErr w:type="spellEnd"/>
      <w:r w:rsidRPr="00AA012B">
        <w:rPr>
          <w:lang w:eastAsia="zh-CN"/>
        </w:rPr>
        <w:t xml:space="preserve">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lastRenderedPageBreak/>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 w:name="OLE_LINK22"/>
      <w:bookmarkStart w:id="42" w:name="OLE_LINK23"/>
      <w:r w:rsidRPr="00DC3DEA">
        <w:rPr>
          <w:rFonts w:eastAsia="Times New Roman"/>
          <w:i/>
          <w:lang w:eastAsia="zh-CN"/>
        </w:rPr>
        <w:t>PUCCH-</w:t>
      </w:r>
      <w:proofErr w:type="spellStart"/>
      <w:r w:rsidRPr="00DC3DEA">
        <w:rPr>
          <w:rFonts w:eastAsia="Times New Roman"/>
          <w:i/>
          <w:lang w:eastAsia="zh-CN"/>
        </w:rPr>
        <w:t>ConfigurationList</w:t>
      </w:r>
      <w:bookmarkEnd w:id="41"/>
      <w:bookmarkEnd w:id="42"/>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w:t>
      </w:r>
      <w:proofErr w:type="spellStart"/>
      <w:r w:rsidRPr="001B4925">
        <w:rPr>
          <w:i/>
          <w:iCs/>
        </w:rPr>
        <w:t>Config</w:t>
      </w:r>
      <w:proofErr w:type="spellEnd"/>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3" w:name="OLE_LINK28"/>
      <w:bookmarkStart w:id="4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3"/>
    <w:bookmarkEnd w:id="4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c"/>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c"/>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A9445" w14:textId="77777777" w:rsidR="00D01B82" w:rsidRDefault="00D01B82">
      <w:r>
        <w:separator/>
      </w:r>
    </w:p>
  </w:endnote>
  <w:endnote w:type="continuationSeparator" w:id="0">
    <w:p w14:paraId="314658F0" w14:textId="77777777" w:rsidR="00D01B82" w:rsidRDefault="00D0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C02743" w:rsidRDefault="00C0274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C02743" w:rsidRDefault="00C0274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4BA92862" w:rsidR="00C02743" w:rsidRDefault="00C02743">
    <w:pPr>
      <w:pStyle w:val="ad"/>
      <w:ind w:right="360"/>
    </w:pPr>
    <w:r>
      <w:rPr>
        <w:rStyle w:val="af6"/>
      </w:rPr>
      <w:fldChar w:fldCharType="begin"/>
    </w:r>
    <w:r>
      <w:rPr>
        <w:rStyle w:val="af6"/>
      </w:rPr>
      <w:instrText xml:space="preserve"> PAGE </w:instrText>
    </w:r>
    <w:r>
      <w:rPr>
        <w:rStyle w:val="af6"/>
      </w:rPr>
      <w:fldChar w:fldCharType="separate"/>
    </w:r>
    <w:r w:rsidR="0095631B">
      <w:rPr>
        <w:rStyle w:val="af6"/>
        <w:noProof/>
      </w:rPr>
      <w:t>52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5631B">
      <w:rPr>
        <w:rStyle w:val="af6"/>
        <w:noProof/>
      </w:rPr>
      <w:t>57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99D1E" w14:textId="77777777" w:rsidR="00D01B82" w:rsidRDefault="00D01B82">
      <w:r>
        <w:separator/>
      </w:r>
    </w:p>
  </w:footnote>
  <w:footnote w:type="continuationSeparator" w:id="0">
    <w:p w14:paraId="48F12566" w14:textId="77777777" w:rsidR="00D01B82" w:rsidRDefault="00D01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7"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5"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5"/>
  </w:num>
  <w:num w:numId="8">
    <w:abstractNumId w:val="39"/>
  </w:num>
  <w:num w:numId="9">
    <w:abstractNumId w:val="54"/>
  </w:num>
  <w:num w:numId="10">
    <w:abstractNumId w:val="30"/>
  </w:num>
  <w:num w:numId="11">
    <w:abstractNumId w:val="46"/>
  </w:num>
  <w:num w:numId="12">
    <w:abstractNumId w:val="33"/>
  </w:num>
  <w:num w:numId="13">
    <w:abstractNumId w:val="20"/>
  </w:num>
  <w:num w:numId="14">
    <w:abstractNumId w:val="51"/>
  </w:num>
  <w:num w:numId="15">
    <w:abstractNumId w:val="31"/>
  </w:num>
  <w:num w:numId="16">
    <w:abstractNumId w:val="52"/>
  </w:num>
  <w:num w:numId="17">
    <w:abstractNumId w:val="28"/>
  </w:num>
  <w:num w:numId="18">
    <w:abstractNumId w:val="43"/>
  </w:num>
  <w:num w:numId="19">
    <w:abstractNumId w:val="1"/>
  </w:num>
  <w:num w:numId="20">
    <w:abstractNumId w:val="49"/>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8"/>
  </w:num>
  <w:num w:numId="36">
    <w:abstractNumId w:val="45"/>
  </w:num>
  <w:num w:numId="37">
    <w:abstractNumId w:val="38"/>
  </w:num>
  <w:num w:numId="38">
    <w:abstractNumId w:val="9"/>
  </w:num>
  <w:num w:numId="39">
    <w:abstractNumId w:val="17"/>
  </w:num>
  <w:num w:numId="40">
    <w:abstractNumId w:val="50"/>
  </w:num>
  <w:num w:numId="41">
    <w:abstractNumId w:val="44"/>
  </w:num>
  <w:num w:numId="42">
    <w:abstractNumId w:val="14"/>
  </w:num>
  <w:num w:numId="43">
    <w:abstractNumId w:val="40"/>
  </w:num>
  <w:num w:numId="44">
    <w:abstractNumId w:val="25"/>
  </w:num>
  <w:num w:numId="45">
    <w:abstractNumId w:val="37"/>
  </w:num>
  <w:num w:numId="46">
    <w:abstractNumId w:val="21"/>
  </w:num>
  <w:num w:numId="47">
    <w:abstractNumId w:val="53"/>
  </w:num>
  <w:num w:numId="48">
    <w:abstractNumId w:val="8"/>
  </w:num>
  <w:num w:numId="49">
    <w:abstractNumId w:val="12"/>
  </w:num>
  <w:num w:numId="50">
    <w:abstractNumId w:val="6"/>
  </w:num>
  <w:num w:numId="51">
    <w:abstractNumId w:val="23"/>
  </w:num>
  <w:num w:numId="52">
    <w:abstractNumId w:val="18"/>
  </w:num>
  <w:num w:numId="53">
    <w:abstractNumId w:val="47"/>
  </w:num>
  <w:num w:numId="54">
    <w:abstractNumId w:val="4"/>
  </w:num>
  <w:num w:numId="55">
    <w:abstractNumId w:val="29"/>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40B"/>
    <w:rsid w:val="000354E0"/>
    <w:rsid w:val="00035574"/>
    <w:rsid w:val="000356AB"/>
    <w:rsid w:val="000357A0"/>
    <w:rsid w:val="00035B0B"/>
    <w:rsid w:val="00036199"/>
    <w:rsid w:val="000361C2"/>
    <w:rsid w:val="000365A2"/>
    <w:rsid w:val="00036634"/>
    <w:rsid w:val="00036754"/>
    <w:rsid w:val="00036841"/>
    <w:rsid w:val="0003698E"/>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892"/>
    <w:rsid w:val="00BD5A26"/>
    <w:rsid w:val="00BD5A6A"/>
    <w:rsid w:val="00BD5A74"/>
    <w:rsid w:val="00BD5D4D"/>
    <w:rsid w:val="00BD5D58"/>
    <w:rsid w:val="00BD614C"/>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91E"/>
    <w:rsid w:val="00FC7F93"/>
    <w:rsid w:val="00FD02E5"/>
    <w:rsid w:val="00FD0422"/>
    <w:rsid w:val="00FD04AA"/>
    <w:rsid w:val="00FD0DBB"/>
    <w:rsid w:val="00FD10D2"/>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B488523-CE75-4A97-8AA6-8870C9DB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3.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2E38070A-BD36-4CF4-9462-DC9D03DB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57</Pages>
  <Words>24693</Words>
  <Characters>140756</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165119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ZTE-Xingguang</cp:lastModifiedBy>
  <cp:revision>6</cp:revision>
  <cp:lastPrinted>2014-11-07T12:38:00Z</cp:lastPrinted>
  <dcterms:created xsi:type="dcterms:W3CDTF">2021-05-19T06:58:00Z</dcterms:created>
  <dcterms:modified xsi:type="dcterms:W3CDTF">2021-05-19T09:15:00Z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