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4"/>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2"/>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2"/>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2"/>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2"/>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Pr>
                <w:rFonts w:ascii="Arial" w:eastAsia="宋体" w:hAnsi="Arial" w:cs="Arial"/>
                <w:color w:val="000000"/>
                <w:kern w:val="0"/>
                <w:szCs w:val="21"/>
              </w:rPr>
              <w:t xml:space="preserve"> </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宋体"/>
                <w:kern w:val="0"/>
                <w:lang w:bidi="ar"/>
              </w:rPr>
              <w:t>performance degradation is quite limited. Thus, the observations and technical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宋体"/>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af2"/>
              <w:numPr>
                <w:ilvl w:val="0"/>
                <w:numId w:val="20"/>
              </w:numPr>
              <w:spacing w:before="120" w:after="120" w:line="256" w:lineRule="auto"/>
              <w:rPr>
                <w:rFonts w:eastAsia="宋体"/>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af2"/>
              <w:numPr>
                <w:ilvl w:val="0"/>
                <w:numId w:val="20"/>
              </w:numPr>
              <w:spacing w:before="120" w:after="120" w:line="256" w:lineRule="auto"/>
              <w:rPr>
                <w:rFonts w:eastAsia="宋体"/>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宋体" w:hint="eastAsia"/>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af2"/>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af2"/>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bookmarkStart w:id="11" w:name="_GoBack"/>
            <w:bookmarkEnd w:id="11"/>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宋体" w:hAnsi="Arial" w:cs="Arial"/>
                <w:color w:val="000000"/>
                <w:kern w:val="0"/>
                <w:szCs w:val="21"/>
              </w:rPr>
            </w:pPr>
            <w:r w:rsidRPr="00043F8C">
              <w:rPr>
                <w:rFonts w:ascii="Arial" w:eastAsia="宋体" w:hAnsi="Arial" w:cs="Arial"/>
                <w:color w:val="000000"/>
                <w:kern w:val="0"/>
                <w:szCs w:val="21"/>
              </w:rPr>
              <w:t>A UE can perform SL reception of PSCCH and RSRP measurement for sensing during its SL DRX inactive time</w:t>
            </w:r>
            <w:r w:rsidRPr="00043F8C">
              <w:rPr>
                <w:rFonts w:ascii="Arial" w:eastAsia="宋体" w:hAnsi="Arial" w:cs="Arial"/>
                <w:color w:val="FF0000"/>
                <w:kern w:val="0"/>
                <w:szCs w:val="21"/>
              </w:rPr>
              <w:t>(the duration when a UE is not expected to perform PSCCH monitoring for data reception)</w:t>
            </w:r>
            <w:r w:rsidRPr="00043F8C">
              <w:rPr>
                <w:rFonts w:ascii="Arial" w:eastAsia="宋体"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1.</w:t>
            </w:r>
            <w:r w:rsidRPr="00043F8C">
              <w:rPr>
                <w:rFonts w:eastAsia="宋体"/>
                <w:color w:val="000000"/>
                <w:kern w:val="0"/>
                <w:sz w:val="14"/>
                <w:szCs w:val="14"/>
              </w:rPr>
              <w:t> </w:t>
            </w:r>
            <w:r w:rsidRPr="00043F8C">
              <w:rPr>
                <w:rFonts w:ascii="Arial" w:eastAsia="宋体"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r w:rsidRPr="00043F8C">
              <w:rPr>
                <w:rFonts w:ascii="Arial" w:eastAsia="宋体" w:hAnsi="Arial" w:cs="Arial"/>
                <w:color w:val="000000"/>
                <w:kern w:val="0"/>
                <w:szCs w:val="21"/>
              </w:rPr>
              <w:t>2.</w:t>
            </w:r>
            <w:r w:rsidRPr="00043F8C">
              <w:rPr>
                <w:rFonts w:eastAsia="宋体"/>
                <w:color w:val="000000"/>
                <w:kern w:val="0"/>
                <w:sz w:val="14"/>
                <w:szCs w:val="14"/>
              </w:rPr>
              <w:t> </w:t>
            </w:r>
            <w:r w:rsidRPr="00043F8C">
              <w:rPr>
                <w:rFonts w:ascii="Arial" w:eastAsia="宋体"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宋体"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af2"/>
              <w:spacing w:before="120" w:after="120" w:line="256" w:lineRule="auto"/>
              <w:ind w:left="2100"/>
              <w:jc w:val="left"/>
              <w:rPr>
                <w:rFonts w:eastAsia="Malgun Gothic" w:hint="eastAsia"/>
                <w:kern w:val="0"/>
                <w:lang w:eastAsia="ko-KR" w:bidi="ar"/>
              </w:rPr>
            </w:pP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1E495A">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af2"/>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af2"/>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lastRenderedPageBreak/>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04F43" w14:textId="77777777" w:rsidR="000842B5" w:rsidRDefault="000842B5" w:rsidP="009D4D1F">
      <w:pPr>
        <w:spacing w:before="120" w:after="120" w:line="240" w:lineRule="auto"/>
      </w:pPr>
      <w:r>
        <w:separator/>
      </w:r>
    </w:p>
  </w:endnote>
  <w:endnote w:type="continuationSeparator" w:id="0">
    <w:p w14:paraId="1048246A" w14:textId="77777777" w:rsidR="000842B5" w:rsidRDefault="000842B5"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4A7213" w:rsidRDefault="004A721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Content>
      <w:p w14:paraId="56BABE70" w14:textId="41F0A28F" w:rsidR="004A7213" w:rsidRDefault="004A7213">
        <w:pPr>
          <w:pStyle w:val="a7"/>
          <w:spacing w:before="120" w:after="120"/>
          <w:jc w:val="center"/>
        </w:pPr>
        <w:r>
          <w:fldChar w:fldCharType="begin"/>
        </w:r>
        <w:r>
          <w:instrText xml:space="preserve"> PAGE   \* MERGEFORMAT </w:instrText>
        </w:r>
        <w:r>
          <w:fldChar w:fldCharType="separate"/>
        </w:r>
        <w:r w:rsidR="00287556">
          <w:rPr>
            <w:noProof/>
          </w:rPr>
          <w:t>16</w:t>
        </w:r>
        <w:r>
          <w:rPr>
            <w:noProof/>
          </w:rPr>
          <w:fldChar w:fldCharType="end"/>
        </w:r>
      </w:p>
    </w:sdtContent>
  </w:sdt>
  <w:p w14:paraId="5528C200" w14:textId="77777777" w:rsidR="004A7213" w:rsidRDefault="004A7213">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4A7213" w:rsidRDefault="004A721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A821" w14:textId="77777777" w:rsidR="000842B5" w:rsidRDefault="000842B5" w:rsidP="009D4D1F">
      <w:pPr>
        <w:spacing w:before="120" w:after="120" w:line="240" w:lineRule="auto"/>
      </w:pPr>
      <w:r>
        <w:separator/>
      </w:r>
    </w:p>
  </w:footnote>
  <w:footnote w:type="continuationSeparator" w:id="0">
    <w:p w14:paraId="083E08DF" w14:textId="77777777" w:rsidR="000842B5" w:rsidRDefault="000842B5"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4A7213" w:rsidRDefault="004A7213">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4A7213" w:rsidRDefault="004A7213">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4A7213" w:rsidRDefault="004A7213">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6">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9">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5"/>
  </w:num>
  <w:num w:numId="3">
    <w:abstractNumId w:val="18"/>
  </w:num>
  <w:num w:numId="4">
    <w:abstractNumId w:val="21"/>
  </w:num>
  <w:num w:numId="5">
    <w:abstractNumId w:val="2"/>
  </w:num>
  <w:num w:numId="6">
    <w:abstractNumId w:val="1"/>
  </w:num>
  <w:num w:numId="7">
    <w:abstractNumId w:val="27"/>
  </w:num>
  <w:num w:numId="8">
    <w:abstractNumId w:val="12"/>
  </w:num>
  <w:num w:numId="9">
    <w:abstractNumId w:val="11"/>
  </w:num>
  <w:num w:numId="10">
    <w:abstractNumId w:val="0"/>
  </w:num>
  <w:num w:numId="11">
    <w:abstractNumId w:val="19"/>
  </w:num>
  <w:num w:numId="12">
    <w:abstractNumId w:val="10"/>
  </w:num>
  <w:num w:numId="13">
    <w:abstractNumId w:val="9"/>
  </w:num>
  <w:num w:numId="14">
    <w:abstractNumId w:val="13"/>
  </w:num>
  <w:num w:numId="15">
    <w:abstractNumId w:val="23"/>
  </w:num>
  <w:num w:numId="16">
    <w:abstractNumId w:val="3"/>
  </w:num>
  <w:num w:numId="17">
    <w:abstractNumId w:val="6"/>
  </w:num>
  <w:num w:numId="18">
    <w:abstractNumId w:val="20"/>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6"/>
  </w:num>
  <w:num w:numId="26">
    <w:abstractNumId w:val="15"/>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C7EE8"/>
    <w:rsid w:val="001D3035"/>
    <w:rsid w:val="001E3484"/>
    <w:rsid w:val="001E43E0"/>
    <w:rsid w:val="001E495A"/>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82C34"/>
    <w:rsid w:val="00692759"/>
    <w:rsid w:val="00693693"/>
    <w:rsid w:val="00696793"/>
    <w:rsid w:val="006B69B5"/>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2D9BFE-CD6D-4CC0-82A2-DC1C0514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6207</Words>
  <Characters>35384</Characters>
  <Application>Microsoft Office Word</Application>
  <DocSecurity>0</DocSecurity>
  <Lines>294</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41508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2</cp:revision>
  <dcterms:created xsi:type="dcterms:W3CDTF">2021-05-25T11:07:00Z</dcterms:created>
  <dcterms:modified xsi:type="dcterms:W3CDTF">2021-05-25T11:07:00Z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