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14:paraId="0F493E68" w14:textId="77777777" w:rsidR="0057017A"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af8"/>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f3"/>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af3"/>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354631">
            <w:pPr>
              <w:spacing w:before="120" w:after="120"/>
              <w:rPr>
                <w:kern w:val="0"/>
              </w:rPr>
            </w:pPr>
            <w:r>
              <w:rPr>
                <w:rFonts w:hint="eastAsia"/>
                <w:kern w:val="0"/>
              </w:rPr>
              <w:t>Company</w:t>
            </w:r>
          </w:p>
        </w:tc>
        <w:tc>
          <w:tcPr>
            <w:tcW w:w="7917"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afb"/>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83110D">
            <w:pPr>
              <w:spacing w:before="120" w:after="120"/>
              <w:rPr>
                <w:kern w:val="0"/>
              </w:rPr>
            </w:pPr>
            <w:r>
              <w:rPr>
                <w:rFonts w:hint="eastAsia"/>
                <w:kern w:val="0"/>
              </w:rPr>
              <w:t>vivo</w:t>
            </w:r>
          </w:p>
        </w:tc>
        <w:tc>
          <w:tcPr>
            <w:tcW w:w="7917"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83110D">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0E53A1">
            <w:pPr>
              <w:spacing w:before="120" w:after="120"/>
              <w:rPr>
                <w:kern w:val="0"/>
              </w:rPr>
            </w:pPr>
            <w:r>
              <w:rPr>
                <w:kern w:val="0"/>
              </w:rPr>
              <w:lastRenderedPageBreak/>
              <w:t>NTT DOCOMO</w:t>
            </w:r>
          </w:p>
        </w:tc>
        <w:tc>
          <w:tcPr>
            <w:tcW w:w="7917"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0E53A1">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0E53A1">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af8"/>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af8"/>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af8"/>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af8"/>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宋体"/>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宋体"/>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f3"/>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354631">
            <w:pPr>
              <w:spacing w:before="120" w:after="120"/>
              <w:rPr>
                <w:kern w:val="0"/>
              </w:rPr>
            </w:pPr>
            <w:r>
              <w:rPr>
                <w:rFonts w:hint="eastAsia"/>
                <w:kern w:val="0"/>
              </w:rPr>
              <w:t>Company</w:t>
            </w:r>
          </w:p>
        </w:tc>
        <w:tc>
          <w:tcPr>
            <w:tcW w:w="7917"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af8"/>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83110D">
            <w:pPr>
              <w:spacing w:before="120" w:after="120"/>
              <w:rPr>
                <w:kern w:val="0"/>
              </w:rPr>
            </w:pPr>
            <w:r>
              <w:rPr>
                <w:kern w:val="0"/>
              </w:rPr>
              <w:lastRenderedPageBreak/>
              <w:t>vivo</w:t>
            </w:r>
          </w:p>
        </w:tc>
        <w:tc>
          <w:tcPr>
            <w:tcW w:w="7917"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af8"/>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宋体"/>
          <w:kern w:val="0"/>
          <w:highlight w:val="cyan"/>
          <w:lang w:bidi="ar"/>
        </w:rPr>
      </w:pPr>
      <w:r w:rsidRPr="00257E1D">
        <w:rPr>
          <w:rFonts w:eastAsia="宋体"/>
          <w:kern w:val="0"/>
          <w:highlight w:val="cyan"/>
          <w:lang w:bidi="ar"/>
        </w:rPr>
        <w:t>Among the replies from 20 companies, the following preference is shown</w:t>
      </w:r>
    </w:p>
    <w:tbl>
      <w:tblPr>
        <w:tblStyle w:val="af3"/>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15 in total</w:t>
      </w:r>
    </w:p>
    <w:tbl>
      <w:tblPr>
        <w:tblStyle w:val="af3"/>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宋体"/>
          <w:kern w:val="0"/>
          <w:highlight w:val="cyan"/>
          <w:lang w:bidi="ar"/>
        </w:rPr>
        <w:t>5 in total</w:t>
      </w:r>
    </w:p>
    <w:p w14:paraId="47158494" w14:textId="440A0983" w:rsidR="00662E9D" w:rsidRDefault="00662E9D" w:rsidP="00662E9D">
      <w:pPr>
        <w:spacing w:before="120" w:after="120" w:line="256" w:lineRule="auto"/>
        <w:rPr>
          <w:kern w:val="0"/>
        </w:rPr>
      </w:pPr>
      <w:r>
        <w:rPr>
          <w:rFonts w:eastAsia="宋体"/>
          <w:kern w:val="0"/>
          <w:lang w:bidi="ar"/>
        </w:rPr>
        <w:t xml:space="preserve">First of all, it’s moderator’s understanding that the 4 options should be the next step progress if companies could have consensus as to which alternative to go with. </w:t>
      </w:r>
      <w:r>
        <w:rPr>
          <w:rFonts w:eastAsia="宋体"/>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宋体"/>
          <w:kern w:val="0"/>
          <w:lang w:bidi="ar"/>
        </w:rPr>
        <w:t>The technical concern with Alt 2 is the performance degradation due to insufficient sensing results. Moreover, companies mentioned that even for Uu, there is no prohibition of implementing a UE performing PDCCH monitoring during Uu DRX.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宋体"/>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宋体"/>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宋体"/>
          <w:kern w:val="0"/>
          <w:highlight w:val="yellow"/>
          <w:lang w:bidi="ar"/>
        </w:rPr>
        <w:t>Possible Agreement 1</w:t>
      </w:r>
    </w:p>
    <w:p w14:paraId="39B209C5" w14:textId="77777777" w:rsidR="00662E9D" w:rsidRDefault="00662E9D" w:rsidP="00662E9D">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af3"/>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71F7494" w14:textId="239815CF" w:rsidR="00662E9D" w:rsidRDefault="00662E9D" w:rsidP="00662E9D">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宋体"/>
                <w:kern w:val="0"/>
                <w:lang w:bidi="ar"/>
              </w:rPr>
              <w:t xml:space="preserve">purpose of SL DRX is for power saving.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af8"/>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af8"/>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af8"/>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0A3C5DA" w14:textId="0078F3E2" w:rsidR="003339D0" w:rsidRP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hint="eastAsia"/>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宋体"/>
                <w:kern w:val="0"/>
                <w:lang w:bidi="ar"/>
              </w:rPr>
            </w:pPr>
            <w:r>
              <w:rPr>
                <w:rFonts w:eastAsia="Malgun Gothic"/>
                <w:kern w:val="0"/>
                <w:lang w:eastAsia="ko-KR" w:bidi="ar"/>
              </w:rPr>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宋体"/>
                <w:kern w:val="0"/>
                <w:lang w:bidi="ar"/>
              </w:rPr>
              <w:t>performance degradation due to insufficient sensing results</w:t>
            </w:r>
            <w:r w:rsidR="00FA1C9B">
              <w:rPr>
                <w:rFonts w:eastAsia="宋体"/>
                <w:kern w:val="0"/>
                <w:lang w:bidi="ar"/>
              </w:rPr>
              <w:t xml:space="preserve">, while, on the other hand, </w:t>
            </w:r>
            <w:r w:rsidR="00FA1C9B">
              <w:rPr>
                <w:rFonts w:eastAsia="Malgun Gothic"/>
                <w:kern w:val="0"/>
                <w:lang w:eastAsia="ko-KR" w:bidi="ar"/>
              </w:rPr>
              <w:t xml:space="preserve">in our simulation results such </w:t>
            </w:r>
            <w:r w:rsidR="00FA1C9B">
              <w:rPr>
                <w:rFonts w:eastAsia="宋体"/>
                <w:kern w:val="0"/>
                <w:lang w:bidi="ar"/>
              </w:rPr>
              <w:t xml:space="preserve">performance degradation </w:t>
            </w:r>
            <w:r w:rsidR="00FA1C9B">
              <w:rPr>
                <w:rFonts w:eastAsia="宋体"/>
                <w:kern w:val="0"/>
                <w:lang w:bidi="ar"/>
              </w:rPr>
              <w:t xml:space="preserve">is quite limited. Thus, the observations and </w:t>
            </w:r>
            <w:r w:rsidR="00FA1C9B">
              <w:rPr>
                <w:rFonts w:eastAsia="宋体"/>
                <w:kern w:val="0"/>
                <w:lang w:bidi="ar"/>
              </w:rPr>
              <w:t>technical</w:t>
            </w:r>
            <w:r w:rsidR="00FA1C9B">
              <w:rPr>
                <w:rFonts w:eastAsia="宋体"/>
                <w:kern w:val="0"/>
                <w:lang w:bidi="ar"/>
              </w:rPr>
              <w:t xml:space="preserve"> arguments for Alt 1 and 2 in the summary is not correct</w:t>
            </w:r>
            <w:r w:rsidR="004B5869">
              <w:rPr>
                <w:rFonts w:eastAsia="宋体"/>
                <w:kern w:val="0"/>
                <w:lang w:bidi="ar"/>
              </w:rPr>
              <w:t>, and should be fixed. Consequently, t</w:t>
            </w:r>
            <w:r w:rsidR="00FA1C9B">
              <w:rPr>
                <w:rFonts w:eastAsia="宋体"/>
                <w:kern w:val="0"/>
                <w:lang w:bidi="ar"/>
              </w:rPr>
              <w:t xml:space="preserve">he Moderator’s proposal is not technically driven, but simply </w:t>
            </w:r>
            <w:r w:rsidR="00B311BA">
              <w:rPr>
                <w:rFonts w:eastAsia="宋体"/>
                <w:kern w:val="0"/>
                <w:lang w:bidi="ar"/>
              </w:rPr>
              <w:t xml:space="preserve">by </w:t>
            </w:r>
            <w:r w:rsidR="00FA1C9B">
              <w:rPr>
                <w:rFonts w:eastAsia="宋体"/>
                <w:kern w:val="0"/>
                <w:lang w:bidi="ar"/>
              </w:rPr>
              <w:t>counting of hands</w:t>
            </w:r>
            <w:r w:rsidR="00B311BA">
              <w:rPr>
                <w:rFonts w:eastAsia="宋体"/>
                <w:kern w:val="0"/>
                <w:lang w:bidi="ar"/>
              </w:rPr>
              <w:t xml:space="preserve"> raised</w:t>
            </w:r>
            <w:r w:rsidR="00FA1C9B">
              <w:rPr>
                <w:rFonts w:eastAsia="宋体"/>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Secondly, it is correct that in Uu the spec does not forbid the U</w:t>
            </w:r>
            <w:bookmarkStart w:id="11" w:name="_GoBack"/>
            <w:bookmarkEnd w:id="11"/>
            <w:r>
              <w:rPr>
                <w:rFonts w:eastAsia="Malgun Gothic"/>
                <w:kern w:val="0"/>
                <w:lang w:eastAsia="ko-KR" w:bidi="ar"/>
              </w:rPr>
              <w:t xml:space="preserve">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3"/>
              <w:numPr>
                <w:ilvl w:val="2"/>
                <w:numId w:val="26"/>
              </w:numPr>
              <w:spacing w:after="120"/>
              <w:ind w:right="210"/>
              <w:rPr>
                <w:rFonts w:ascii="Times New Roman" w:hAnsi="Times New Roman"/>
                <w:sz w:val="21"/>
                <w:szCs w:val="21"/>
                <w:lang w:eastAsia="ko-KR" w:bidi="ar"/>
              </w:rPr>
            </w:pPr>
            <w:r w:rsidRPr="00156B94">
              <w:rPr>
                <w:rFonts w:ascii="Times New Roman" w:hAnsi="Times New Roman"/>
                <w:sz w:val="21"/>
                <w:szCs w:val="21"/>
                <w:lang w:eastAsia="ko-KR" w:bidi="ar"/>
              </w:rPr>
              <w:lastRenderedPageBreak/>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3"/>
              <w:numPr>
                <w:ilvl w:val="2"/>
                <w:numId w:val="26"/>
              </w:numPr>
              <w:spacing w:after="120"/>
              <w:ind w:right="210"/>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19C587BE" w14:textId="01451574" w:rsidR="00156B94" w:rsidRPr="00022E8A" w:rsidRDefault="00156B94" w:rsidP="00FA1C9B">
            <w:pPr>
              <w:spacing w:before="120" w:after="120" w:line="256" w:lineRule="auto"/>
              <w:rPr>
                <w:rFonts w:eastAsia="Malgun Gothic"/>
                <w:kern w:val="0"/>
                <w:lang w:eastAsia="ko-KR" w:bidi="ar"/>
              </w:rPr>
            </w:pPr>
          </w:p>
        </w:tc>
      </w:tr>
    </w:tbl>
    <w:p w14:paraId="69529A67" w14:textId="77777777" w:rsidR="00662E9D" w:rsidRDefault="00662E9D" w:rsidP="00662E9D">
      <w:pPr>
        <w:spacing w:before="120" w:after="120" w:line="256" w:lineRule="auto"/>
        <w:rPr>
          <w:rFonts w:eastAsia="宋体"/>
          <w:kern w:val="0"/>
          <w:lang w:bidi="ar"/>
        </w:rPr>
      </w:pPr>
    </w:p>
    <w:p w14:paraId="6BC5430C" w14:textId="77777777" w:rsidR="00662E9D" w:rsidRDefault="00662E9D" w:rsidP="00662E9D">
      <w:pPr>
        <w:spacing w:before="120" w:after="120" w:line="256" w:lineRule="auto"/>
        <w:rPr>
          <w:kern w:val="0"/>
        </w:rPr>
      </w:pPr>
      <w:r>
        <w:rPr>
          <w:rFonts w:eastAsia="宋体"/>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宋体"/>
          <w:kern w:val="0"/>
          <w:lang w:bidi="ar"/>
        </w:rPr>
      </w:pPr>
      <w:r w:rsidRPr="00662E9D">
        <w:rPr>
          <w:rFonts w:eastAsia="宋体"/>
          <w:kern w:val="0"/>
          <w:highlight w:val="yellow"/>
          <w:lang w:bidi="ar"/>
        </w:rPr>
        <w:t>Question 3 Do you agree that Alt 2 can be further divided into two cases depending on whether the sensing window is fully overlapped with the DR</w:t>
      </w:r>
      <w:r w:rsidRPr="003C04D9">
        <w:rPr>
          <w:rFonts w:eastAsia="宋体"/>
          <w:kern w:val="0"/>
          <w:highlight w:val="yellow"/>
          <w:lang w:bidi="ar"/>
        </w:rPr>
        <w:t>X active time. If yes,</w:t>
      </w:r>
      <w:r w:rsidR="003C04D9" w:rsidRPr="003C04D9">
        <w:rPr>
          <w:rFonts w:eastAsia="宋体"/>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af3"/>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377978">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974BD5A" w14:textId="77777777" w:rsidR="001D3035" w:rsidRDefault="001D3035" w:rsidP="00377978">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1D3035" w14:paraId="298E1344" w14:textId="77777777" w:rsidTr="00B5555D">
        <w:tc>
          <w:tcPr>
            <w:tcW w:w="1696" w:type="dxa"/>
          </w:tcPr>
          <w:p w14:paraId="16751852" w14:textId="5ABCD0DE" w:rsidR="001D3035" w:rsidRPr="00B5555D" w:rsidRDefault="00B5555D" w:rsidP="00377978">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377978">
            <w:pPr>
              <w:spacing w:before="120" w:after="120" w:line="256" w:lineRule="auto"/>
              <w:rPr>
                <w:rFonts w:eastAsia="Malgun Gothic" w:hint="eastAsia"/>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hint="eastAsia"/>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109A7" w14:textId="77777777" w:rsidR="002A7469" w:rsidRDefault="002A7469" w:rsidP="009D4D1F">
      <w:pPr>
        <w:spacing w:before="120" w:after="120" w:line="240" w:lineRule="auto"/>
      </w:pPr>
      <w:r>
        <w:separator/>
      </w:r>
    </w:p>
  </w:endnote>
  <w:endnote w:type="continuationSeparator" w:id="0">
    <w:p w14:paraId="14B6C525" w14:textId="77777777" w:rsidR="002A7469" w:rsidRDefault="002A7469"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B4AF" w14:textId="77777777" w:rsidR="00731917" w:rsidRDefault="00731917">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5056"/>
    </w:sdtPr>
    <w:sdtEndPr/>
    <w:sdtContent>
      <w:p w14:paraId="56BABE70" w14:textId="706A6BED" w:rsidR="00731917" w:rsidRDefault="00280D9C">
        <w:pPr>
          <w:pStyle w:val="aa"/>
          <w:spacing w:before="120" w:after="120"/>
          <w:jc w:val="center"/>
        </w:pPr>
        <w:r>
          <w:fldChar w:fldCharType="begin"/>
        </w:r>
        <w:r w:rsidR="00731917">
          <w:instrText xml:space="preserve"> PAGE   \* MERGEFORMAT </w:instrText>
        </w:r>
        <w:r>
          <w:fldChar w:fldCharType="separate"/>
        </w:r>
        <w:r w:rsidR="003339D0">
          <w:rPr>
            <w:noProof/>
          </w:rPr>
          <w:t>14</w:t>
        </w:r>
        <w:r>
          <w:rPr>
            <w:noProof/>
          </w:rPr>
          <w:fldChar w:fldCharType="end"/>
        </w:r>
      </w:p>
    </w:sdtContent>
  </w:sdt>
  <w:p w14:paraId="5528C200" w14:textId="77777777" w:rsidR="00731917" w:rsidRDefault="00731917">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3F5F" w14:textId="77777777" w:rsidR="00731917" w:rsidRDefault="00731917">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52A9" w14:textId="77777777" w:rsidR="002A7469" w:rsidRDefault="002A7469" w:rsidP="009D4D1F">
      <w:pPr>
        <w:spacing w:before="120" w:after="120" w:line="240" w:lineRule="auto"/>
      </w:pPr>
      <w:r>
        <w:separator/>
      </w:r>
    </w:p>
  </w:footnote>
  <w:footnote w:type="continuationSeparator" w:id="0">
    <w:p w14:paraId="048422C9" w14:textId="77777777" w:rsidR="002A7469" w:rsidRDefault="002A7469"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6305C" w14:textId="77777777" w:rsidR="00731917" w:rsidRDefault="00731917">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16ED" w14:textId="77777777" w:rsidR="00731917" w:rsidRDefault="00731917">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2CB3" w14:textId="77777777" w:rsidR="00731917" w:rsidRDefault="00731917">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5"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8"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2"/>
  </w:num>
  <w:num w:numId="3">
    <w:abstractNumId w:val="17"/>
  </w:num>
  <w:num w:numId="4">
    <w:abstractNumId w:val="20"/>
  </w:num>
  <w:num w:numId="5">
    <w:abstractNumId w:val="2"/>
  </w:num>
  <w:num w:numId="6">
    <w:abstractNumId w:val="1"/>
  </w:num>
  <w:num w:numId="7">
    <w:abstractNumId w:val="24"/>
  </w:num>
  <w:num w:numId="8">
    <w:abstractNumId w:val="11"/>
  </w:num>
  <w:num w:numId="9">
    <w:abstractNumId w:val="10"/>
  </w:num>
  <w:num w:numId="10">
    <w:abstractNumId w:val="0"/>
  </w:num>
  <w:num w:numId="11">
    <w:abstractNumId w:val="18"/>
  </w:num>
  <w:num w:numId="12">
    <w:abstractNumId w:val="9"/>
  </w:num>
  <w:num w:numId="13">
    <w:abstractNumId w:val="8"/>
  </w:num>
  <w:num w:numId="14">
    <w:abstractNumId w:val="12"/>
  </w:num>
  <w:num w:numId="15">
    <w:abstractNumId w:val="21"/>
  </w:num>
  <w:num w:numId="16">
    <w:abstractNumId w:val="3"/>
  </w:num>
  <w:num w:numId="17">
    <w:abstractNumId w:val="6"/>
  </w:num>
  <w:num w:numId="18">
    <w:abstractNumId w:val="19"/>
  </w:num>
  <w:num w:numId="19">
    <w:abstractNumId w:val="16"/>
  </w:num>
  <w:num w:numId="20">
    <w:abstractNumId w:val="13"/>
  </w:num>
  <w:num w:numId="21">
    <w:abstractNumId w:val="4"/>
  </w:num>
  <w:num w:numId="22">
    <w:abstractNumId w:val="5"/>
  </w:num>
  <w:num w:numId="23">
    <w:abstractNumId w:val="15"/>
  </w:num>
  <w:num w:numId="24">
    <w:abstractNumId w:val="7"/>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54669"/>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56B94"/>
    <w:rsid w:val="00161983"/>
    <w:rsid w:val="001668F7"/>
    <w:rsid w:val="001675EE"/>
    <w:rsid w:val="00172A27"/>
    <w:rsid w:val="00181331"/>
    <w:rsid w:val="00192B3A"/>
    <w:rsid w:val="001A02CC"/>
    <w:rsid w:val="001A0763"/>
    <w:rsid w:val="001B4491"/>
    <w:rsid w:val="001B4A61"/>
    <w:rsid w:val="001C7EE8"/>
    <w:rsid w:val="001D3035"/>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32CB9"/>
    <w:rsid w:val="00251D82"/>
    <w:rsid w:val="00256654"/>
    <w:rsid w:val="00257E1D"/>
    <w:rsid w:val="00263BFE"/>
    <w:rsid w:val="002721B8"/>
    <w:rsid w:val="00280D9C"/>
    <w:rsid w:val="00284819"/>
    <w:rsid w:val="0029502F"/>
    <w:rsid w:val="00295517"/>
    <w:rsid w:val="002A5285"/>
    <w:rsid w:val="002A7469"/>
    <w:rsid w:val="002B7F9A"/>
    <w:rsid w:val="002C69EF"/>
    <w:rsid w:val="002D17CE"/>
    <w:rsid w:val="002D2488"/>
    <w:rsid w:val="002D535F"/>
    <w:rsid w:val="002E5075"/>
    <w:rsid w:val="002E7EB0"/>
    <w:rsid w:val="002F60C6"/>
    <w:rsid w:val="00307D72"/>
    <w:rsid w:val="0032166B"/>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B5869"/>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05AC"/>
    <w:rsid w:val="0060166B"/>
    <w:rsid w:val="00610E84"/>
    <w:rsid w:val="00623BAF"/>
    <w:rsid w:val="00624225"/>
    <w:rsid w:val="00627358"/>
    <w:rsid w:val="00645440"/>
    <w:rsid w:val="00645725"/>
    <w:rsid w:val="006519B5"/>
    <w:rsid w:val="00652629"/>
    <w:rsid w:val="00653D1A"/>
    <w:rsid w:val="00662E9D"/>
    <w:rsid w:val="00682C34"/>
    <w:rsid w:val="00692759"/>
    <w:rsid w:val="00693693"/>
    <w:rsid w:val="00696793"/>
    <w:rsid w:val="006B69B5"/>
    <w:rsid w:val="006C4128"/>
    <w:rsid w:val="006C4AFB"/>
    <w:rsid w:val="006C4FC1"/>
    <w:rsid w:val="006C5467"/>
    <w:rsid w:val="006D0BE3"/>
    <w:rsid w:val="006D4CD1"/>
    <w:rsid w:val="006E0001"/>
    <w:rsid w:val="006E07F5"/>
    <w:rsid w:val="006E1BCE"/>
    <w:rsid w:val="006E2948"/>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6171"/>
    <w:rsid w:val="00943D27"/>
    <w:rsid w:val="00944A9F"/>
    <w:rsid w:val="00951AE1"/>
    <w:rsid w:val="00954CEE"/>
    <w:rsid w:val="00957C85"/>
    <w:rsid w:val="00960230"/>
    <w:rsid w:val="00962FE8"/>
    <w:rsid w:val="0096312C"/>
    <w:rsid w:val="0096379A"/>
    <w:rsid w:val="009727FD"/>
    <w:rsid w:val="00977B76"/>
    <w:rsid w:val="00985071"/>
    <w:rsid w:val="00993F32"/>
    <w:rsid w:val="009A2416"/>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35DA4"/>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6239"/>
    <w:rsid w:val="00FB7CA4"/>
    <w:rsid w:val="00FC3509"/>
    <w:rsid w:val="00FC5E57"/>
    <w:rsid w:val="00FD0405"/>
    <w:rsid w:val="00FD5FC4"/>
    <w:rsid w:val="00FE2108"/>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iPriority w:val="99"/>
    <w:unhideWhenUsed/>
    <w:qFormat/>
    <w:rsid w:val="00BB0638"/>
    <w:pPr>
      <w:spacing w:before="120" w:after="120"/>
      <w:jc w:val="left"/>
    </w:pPr>
  </w:style>
  <w:style w:type="paragraph" w:styleId="TOC3">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basedOn w:val="a"/>
    <w:link w:val="ad"/>
    <w:semiHidden/>
    <w:qFormat/>
    <w:rsid w:val="00BB0638"/>
    <w:pPr>
      <w:tabs>
        <w:tab w:val="center" w:pos="4680"/>
        <w:tab w:val="right" w:pos="9360"/>
      </w:tabs>
      <w:spacing w:line="240" w:lineRule="auto"/>
    </w:pPr>
  </w:style>
  <w:style w:type="paragraph" w:styleId="TOC1">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TOC2">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0">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basedOn w:val="a0"/>
    <w:link w:val="ac"/>
    <w:semiHidden/>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uiPriority w:val="99"/>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6.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7.xml><?xml version="1.0" encoding="utf-8"?>
<ds:datastoreItem xmlns:ds="http://schemas.openxmlformats.org/officeDocument/2006/customXml" ds:itemID="{2DFEB090-F91A-47CC-B065-C4B0E8BA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5209</Words>
  <Characters>29696</Characters>
  <Application>Microsoft Office Word</Application>
  <DocSecurity>0</DocSecurity>
  <Lines>247</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Zichao Ji, vivo</cp:lastModifiedBy>
  <cp:revision>3</cp:revision>
  <dcterms:created xsi:type="dcterms:W3CDTF">2021-05-25T07:21:00Z</dcterms:created>
  <dcterms:modified xsi:type="dcterms:W3CDTF">2021-05-25T07:23:00Z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