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proofErr w:type="spellStart"/>
      <w:r>
        <w:rPr>
          <w:rFonts w:ascii="Arial" w:hAnsi="Arial" w:hint="eastAsia"/>
          <w:b/>
          <w:sz w:val="22"/>
          <w:szCs w:val="22"/>
          <w:lang w:val="pt-BR"/>
        </w:rPr>
        <w:t>Title</w:t>
      </w:r>
      <w:proofErr w:type="spellEnd"/>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proofErr w:type="spellStart"/>
      <w:r>
        <w:rPr>
          <w:rFonts w:ascii="Arial" w:hAnsi="Arial"/>
          <w:b/>
          <w:sz w:val="22"/>
          <w:szCs w:val="22"/>
          <w:lang w:val="pt-BR"/>
        </w:rPr>
        <w:t>Document</w:t>
      </w:r>
      <w:proofErr w:type="spellEnd"/>
      <w:r>
        <w:rPr>
          <w:rFonts w:ascii="Arial" w:hAnsi="Arial"/>
          <w:b/>
          <w:sz w:val="22"/>
          <w:szCs w:val="22"/>
          <w:lang w:val="pt-BR"/>
        </w:rPr>
        <w:t xml:space="preserve">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 xml:space="preserve">ZTE, </w:t>
            </w:r>
            <w:proofErr w:type="spellStart"/>
            <w:r>
              <w:rPr>
                <w:rFonts w:hint="eastAsia"/>
                <w:kern w:val="0"/>
              </w:rPr>
              <w:t>Sanechips</w:t>
            </w:r>
            <w:proofErr w:type="spellEnd"/>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w:t>
            </w:r>
            <w:proofErr w:type="gramStart"/>
            <w:r>
              <w:rPr>
                <w:rFonts w:hint="eastAsia"/>
                <w:lang w:val="en-US" w:eastAsia="zh-CN"/>
              </w:rPr>
              <w:t>configuration ,SIB</w:t>
            </w:r>
            <w:proofErr w:type="gramEnd"/>
            <w:r>
              <w:rPr>
                <w:rFonts w:hint="eastAsia"/>
                <w:lang w:val="en-US" w:eastAsia="zh-CN"/>
              </w:rPr>
              <w:t xml:space="preserve">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 xml:space="preserve">Issue 3: Based on observation 2, in groupcast/broadcast, for an </w:t>
            </w:r>
            <w:proofErr w:type="spellStart"/>
            <w:r>
              <w:rPr>
                <w:rFonts w:hint="eastAsia"/>
                <w:sz w:val="20"/>
              </w:rPr>
              <w:t>OoC</w:t>
            </w:r>
            <w:proofErr w:type="spellEnd"/>
            <w:r>
              <w:rPr>
                <w:rFonts w:hint="eastAsia"/>
                <w:sz w:val="20"/>
              </w:rPr>
              <w:t xml:space="preserve">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proofErr w:type="gramStart"/>
            <w:r>
              <w:rPr>
                <w:rFonts w:hint="eastAsia"/>
                <w:sz w:val="20"/>
              </w:rPr>
              <w:t>Thus</w:t>
            </w:r>
            <w:proofErr w:type="gramEnd"/>
            <w:r>
              <w:rPr>
                <w:rFonts w:hint="eastAsia"/>
                <w:sz w:val="20"/>
              </w:rPr>
              <w:t xml:space="preserve">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77777777" w:rsidR="00731917" w:rsidRDefault="00731917">
      <w:pPr>
        <w:spacing w:before="120" w:after="120"/>
        <w:rPr>
          <w:kern w:val="0"/>
        </w:rPr>
      </w:pPr>
      <w:r>
        <w:rPr>
          <w:kern w:val="0"/>
        </w:rPr>
        <w:t>From the email replies received from HW/</w:t>
      </w:r>
      <w:proofErr w:type="spellStart"/>
      <w:r>
        <w:rPr>
          <w:kern w:val="0"/>
        </w:rPr>
        <w:t>HiSilicon</w:t>
      </w:r>
      <w:proofErr w:type="spellEnd"/>
      <w:r>
        <w:rPr>
          <w:kern w:val="0"/>
        </w:rPr>
        <w:t xml:space="preserve">, Ericsson, Samsung, DoCoMo, vivo, </w:t>
      </w:r>
      <w:proofErr w:type="spellStart"/>
      <w:r>
        <w:rPr>
          <w:kern w:val="0"/>
        </w:rPr>
        <w:t>Futurewei</w:t>
      </w:r>
      <w:proofErr w:type="spellEnd"/>
      <w:r>
        <w:rPr>
          <w:kern w:val="0"/>
        </w:rPr>
        <w:t xml:space="preserve">, Qualcomm, the following categorization received support from 3 </w:t>
      </w:r>
      <w:proofErr w:type="gramStart"/>
      <w:r>
        <w:rPr>
          <w:kern w:val="0"/>
        </w:rPr>
        <w:t>companies(</w:t>
      </w:r>
      <w:proofErr w:type="gramEnd"/>
      <w:r>
        <w:rPr>
          <w:kern w:val="0"/>
        </w:rPr>
        <w:t>HW/</w:t>
      </w:r>
      <w:proofErr w:type="spellStart"/>
      <w:r>
        <w:rPr>
          <w:kern w:val="0"/>
        </w:rPr>
        <w:t>HiSilicon</w:t>
      </w:r>
      <w:proofErr w:type="spellEnd"/>
      <w:r>
        <w:rPr>
          <w:kern w:val="0"/>
        </w:rPr>
        <w:t xml:space="preserve">, DoCoMo, </w:t>
      </w:r>
      <w:proofErr w:type="spellStart"/>
      <w:r>
        <w:rPr>
          <w:kern w:val="0"/>
        </w:rPr>
        <w:t>Futurewei</w:t>
      </w:r>
      <w:proofErr w:type="spellEnd"/>
      <w:r>
        <w:rPr>
          <w:kern w:val="0"/>
        </w:rPr>
        <w:t>)</w:t>
      </w:r>
    </w:p>
    <w:p w14:paraId="2E33777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proofErr w:type="gramStart"/>
      <w:r w:rsidRPr="00731917">
        <w:rPr>
          <w:rFonts w:ascii="Arial" w:hAnsi="Arial" w:cs="Arial"/>
          <w:color w:val="FF0000"/>
          <w:kern w:val="0"/>
          <w:szCs w:val="21"/>
        </w:rPr>
        <w:t>should</w:t>
      </w:r>
      <w:r w:rsidRPr="00731917">
        <w:rPr>
          <w:rFonts w:ascii="Arial" w:hAnsi="Arial" w:cs="Arial"/>
          <w:strike/>
          <w:color w:val="000000"/>
          <w:kern w:val="0"/>
          <w:szCs w:val="21"/>
        </w:rPr>
        <w:t> can</w:t>
      </w:r>
      <w:proofErr w:type="gramEnd"/>
      <w:r w:rsidRPr="00731917">
        <w:rPr>
          <w:rFonts w:ascii="Arial" w:hAnsi="Arial" w:cs="Arial"/>
          <w:strike/>
          <w:color w:val="000000"/>
          <w:kern w:val="0"/>
          <w:szCs w:val="21"/>
        </w:rPr>
        <w:t>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w:t>
      </w:r>
      <w:proofErr w:type="spellStart"/>
      <w:r>
        <w:rPr>
          <w:kern w:val="0"/>
        </w:rPr>
        <w:t>Futurewei</w:t>
      </w:r>
      <w:proofErr w:type="spellEnd"/>
      <w:r>
        <w:rPr>
          <w:kern w:val="0"/>
        </w:rPr>
        <w:t>)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xml:space="preserve">. </w:t>
      </w:r>
      <w:proofErr w:type="gramStart"/>
      <w:r w:rsidRPr="00731917">
        <w:rPr>
          <w:rFonts w:ascii="Calibri" w:hAnsi="Calibri" w:cs="Calibri"/>
          <w:color w:val="000000"/>
          <w:kern w:val="0"/>
          <w:sz w:val="22"/>
          <w:szCs w:val="22"/>
        </w:rPr>
        <w:t>FFS  the</w:t>
      </w:r>
      <w:proofErr w:type="gramEnd"/>
      <w:r w:rsidRPr="00731917">
        <w:rPr>
          <w:rFonts w:ascii="Calibri" w:hAnsi="Calibri" w:cs="Calibri"/>
          <w:color w:val="000000"/>
          <w:kern w:val="0"/>
          <w:sz w:val="22"/>
          <w:szCs w:val="22"/>
        </w:rPr>
        <w:t>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w:t>
      </w:r>
      <w:proofErr w:type="spellStart"/>
      <w:r>
        <w:rPr>
          <w:kern w:val="0"/>
        </w:rPr>
        <w:t>HiSilicon</w:t>
      </w:r>
      <w:proofErr w:type="spellEnd"/>
      <w:r>
        <w:rPr>
          <w:kern w:val="0"/>
        </w:rPr>
        <w:t xml:space="preserve">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Heading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354631">
            <w:pPr>
              <w:spacing w:before="120" w:after="120"/>
              <w:rPr>
                <w:kern w:val="0"/>
              </w:rPr>
            </w:pPr>
            <w:r>
              <w:rPr>
                <w:rFonts w:hint="eastAsia"/>
                <w:kern w:val="0"/>
              </w:rPr>
              <w:t>Company</w:t>
            </w:r>
          </w:p>
        </w:tc>
        <w:tc>
          <w:tcPr>
            <w:tcW w:w="7917" w:type="dxa"/>
          </w:tcPr>
          <w:p w14:paraId="00EA69A4" w14:textId="77777777" w:rsidR="00E97490" w:rsidRDefault="00E97490" w:rsidP="00354631">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26BBE270" w14:textId="77777777"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 xml:space="preserve">o, we suggest </w:t>
            </w:r>
            <w:proofErr w:type="gramStart"/>
            <w:r w:rsidR="00B23846">
              <w:rPr>
                <w:rFonts w:eastAsia="Malgun Gothic"/>
                <w:lang w:eastAsia="ko-KR"/>
              </w:rPr>
              <w:t>to add</w:t>
            </w:r>
            <w:proofErr w:type="gramEnd"/>
            <w:r w:rsidR="00B23846">
              <w:rPr>
                <w:rFonts w:eastAsia="Malgun Gothic"/>
                <w:lang w:eastAsia="ko-KR"/>
              </w:rPr>
              <w:t xml:space="preserve"> “FFS other details” also for A</w:t>
            </w:r>
            <w:r w:rsidR="0010588D">
              <w:rPr>
                <w:rFonts w:eastAsia="Malgun Gothic"/>
                <w:lang w:eastAsia="ko-KR"/>
              </w:rPr>
              <w:t xml:space="preserve">lt 2. </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 xml:space="preserve">In our view, if sensing cannot </w:t>
            </w:r>
            <w:proofErr w:type="gramStart"/>
            <w:r>
              <w:rPr>
                <w:kern w:val="0"/>
              </w:rPr>
              <w:t>performed</w:t>
            </w:r>
            <w:proofErr w:type="gramEnd"/>
            <w:r>
              <w:rPr>
                <w:kern w:val="0"/>
              </w:rPr>
              <w:t xml:space="preserve"> out of DRX active time, there will be the following issues:</w:t>
            </w:r>
          </w:p>
          <w:p w14:paraId="1DEC080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 xml:space="preserve">he most recent sensing occasion carries the more accurate sensing results. That is why when we </w:t>
            </w:r>
            <w:proofErr w:type="gramStart"/>
            <w:r>
              <w:rPr>
                <w:rFonts w:eastAsiaTheme="minorEastAsia"/>
                <w:bCs/>
              </w:rPr>
              <w:t>discussing</w:t>
            </w:r>
            <w:proofErr w:type="gramEnd"/>
            <w:r>
              <w:rPr>
                <w:rFonts w:eastAsiaTheme="minorEastAsia"/>
                <w:bCs/>
              </w:rPr>
              <w:t xml:space="preserve"> partial sensing, at least k=1 should be monitored. If the period corresponding to k=1 is not monitored, that will degrade PRR performance.</w:t>
            </w:r>
          </w:p>
          <w:p w14:paraId="124A841F"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w:t>
            </w:r>
            <w:proofErr w:type="gramStart"/>
            <w:r>
              <w:rPr>
                <w:rFonts w:eastAsiaTheme="minorEastAsia"/>
                <w:bCs/>
              </w:rPr>
              <w:t>is</w:t>
            </w:r>
            <w:proofErr w:type="gramEnd"/>
            <w:r>
              <w:rPr>
                <w:rFonts w:eastAsiaTheme="minorEastAsia"/>
                <w:bCs/>
              </w:rPr>
              <w:t xml:space="preserve">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w:t>
            </w:r>
            <w:r w:rsidRPr="00B33091">
              <w:lastRenderedPageBreak/>
              <w:t xml:space="preserve">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xml:space="preserve">, </w:t>
            </w:r>
            <w:proofErr w:type="gramStart"/>
            <w:r>
              <w:t>i.e.</w:t>
            </w:r>
            <w:proofErr w:type="gramEnd"/>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w:t>
            </w:r>
            <w:proofErr w:type="spellStart"/>
            <w:r w:rsidRPr="00CC57E8">
              <w:rPr>
                <w:sz w:val="20"/>
              </w:rPr>
              <w:t>Uu</w:t>
            </w:r>
            <w:proofErr w:type="spellEnd"/>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47BF91FA" w14:textId="77777777"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w:t>
            </w:r>
            <w:proofErr w:type="gramStart"/>
            <w:r>
              <w:rPr>
                <w:kern w:val="0"/>
              </w:rPr>
              <w:t>satisfied</w:t>
            </w:r>
            <w:proofErr w:type="gramEnd"/>
            <w:r>
              <w:rPr>
                <w:kern w:val="0"/>
              </w:rPr>
              <w:t xml:space="preserve"> and all the sensing are performed in DRX active time.</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83110D">
            <w:pPr>
              <w:spacing w:before="120" w:after="120"/>
              <w:rPr>
                <w:kern w:val="0"/>
              </w:rPr>
            </w:pPr>
            <w:r>
              <w:rPr>
                <w:rFonts w:hint="eastAsia"/>
                <w:kern w:val="0"/>
              </w:rPr>
              <w:t>vivo</w:t>
            </w:r>
          </w:p>
        </w:tc>
        <w:tc>
          <w:tcPr>
            <w:tcW w:w="7917" w:type="dxa"/>
          </w:tcPr>
          <w:p w14:paraId="2716D493" w14:textId="77777777" w:rsidR="006C4AFB" w:rsidRDefault="006C4AFB" w:rsidP="0083110D">
            <w:pPr>
              <w:spacing w:before="120" w:after="120"/>
              <w:rPr>
                <w:kern w:val="0"/>
              </w:rPr>
            </w:pPr>
            <w:r>
              <w:rPr>
                <w:kern w:val="0"/>
              </w:rPr>
              <w:t>Support Alt 2 (although we think the word of ‘cannot’ is confusing)</w:t>
            </w:r>
          </w:p>
          <w:p w14:paraId="31E5DF79"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5ABAF727" w14:textId="77777777" w:rsidR="006C4AFB" w:rsidRPr="008A2B94"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even without performing sensing in the inactivity time, the PRR performance degradation is minor, while around 7%-11% power consumption can be saved.</w:t>
            </w:r>
          </w:p>
        </w:tc>
      </w:tr>
      <w:tr w:rsidR="00B6163B" w14:paraId="5180FF7B" w14:textId="77777777" w:rsidTr="006E1BCE">
        <w:tc>
          <w:tcPr>
            <w:tcW w:w="1733" w:type="dxa"/>
          </w:tcPr>
          <w:p w14:paraId="46E90633" w14:textId="77777777" w:rsidR="00B6163B" w:rsidRDefault="00B6163B" w:rsidP="000E53A1">
            <w:pPr>
              <w:spacing w:before="120" w:after="120"/>
              <w:rPr>
                <w:kern w:val="0"/>
              </w:rPr>
            </w:pPr>
            <w:r>
              <w:rPr>
                <w:kern w:val="0"/>
              </w:rPr>
              <w:t>NTT DOCOMO</w:t>
            </w:r>
          </w:p>
        </w:tc>
        <w:tc>
          <w:tcPr>
            <w:tcW w:w="7917" w:type="dxa"/>
          </w:tcPr>
          <w:p w14:paraId="749FA0E6"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2AEC979C" w14:textId="77777777" w:rsidR="00B6163B" w:rsidRPr="007876DB" w:rsidRDefault="00B6163B" w:rsidP="000E53A1">
            <w:pPr>
              <w:spacing w:before="120" w:after="120"/>
              <w:rPr>
                <w:rFonts w:eastAsia="MS Mincho"/>
                <w:kern w:val="0"/>
                <w:lang w:eastAsia="ja-JP"/>
              </w:rPr>
            </w:pPr>
            <w:r>
              <w:rPr>
                <w:rFonts w:eastAsia="MS Mincho"/>
                <w:kern w:val="0"/>
                <w:lang w:eastAsia="ja-JP"/>
              </w:rPr>
              <w:lastRenderedPageBreak/>
              <w:t>We would like to clarify what is the meaning of ‘DRX active/inactive time’. Is it common understanding that DRX active time is time duration in which UE can perform data reception? That is, the definition is independent to sensing.</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lastRenderedPageBreak/>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w:t>
            </w:r>
            <w:proofErr w:type="spellStart"/>
            <w:r w:rsidRPr="00936171">
              <w:rPr>
                <w:rFonts w:ascii="Calibri" w:eastAsia="Malgun Gothic" w:hAnsi="Calibri" w:cs="Calibri"/>
                <w:kern w:val="0"/>
                <w:sz w:val="22"/>
                <w:szCs w:val="22"/>
                <w:lang w:eastAsia="ko-KR"/>
              </w:rPr>
              <w:t>Uu</w:t>
            </w:r>
            <w:proofErr w:type="spellEnd"/>
            <w:r w:rsidRPr="00936171">
              <w:rPr>
                <w:rFonts w:ascii="Calibri" w:eastAsia="Malgun Gothic" w:hAnsi="Calibri" w:cs="Calibri"/>
                <w:kern w:val="0"/>
                <w:sz w:val="22"/>
                <w:szCs w:val="22"/>
                <w:lang w:eastAsia="ko-KR"/>
              </w:rPr>
              <w:t xml:space="preserve"> DRX. In other words, there is no restriction on the UE behavior during the inactive time of </w:t>
            </w:r>
            <w:proofErr w:type="spellStart"/>
            <w:r w:rsidRPr="00936171">
              <w:rPr>
                <w:rFonts w:ascii="Calibri" w:eastAsia="Malgun Gothic" w:hAnsi="Calibri" w:cs="Calibri"/>
                <w:kern w:val="0"/>
                <w:sz w:val="22"/>
                <w:szCs w:val="22"/>
                <w:lang w:eastAsia="ko-KR"/>
              </w:rPr>
              <w:t>Uu</w:t>
            </w:r>
            <w:proofErr w:type="spellEnd"/>
            <w:r w:rsidRPr="00936171">
              <w:rPr>
                <w:rFonts w:ascii="Calibri" w:eastAsia="Malgun Gothic" w:hAnsi="Calibri" w:cs="Calibri"/>
                <w:kern w:val="0"/>
                <w:sz w:val="22"/>
                <w:szCs w:val="22"/>
                <w:lang w:eastAsia="ko-KR"/>
              </w:rPr>
              <w:t xml:space="preserve">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w:t>
            </w:r>
            <w:proofErr w:type="spellStart"/>
            <w:r>
              <w:rPr>
                <w:kern w:val="0"/>
              </w:rPr>
              <w:t>HiSilicon</w:t>
            </w:r>
            <w:proofErr w:type="spellEnd"/>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t xml:space="preserve">ZTE, </w:t>
            </w:r>
            <w:proofErr w:type="spellStart"/>
            <w:r>
              <w:rPr>
                <w:rFonts w:hint="eastAsia"/>
                <w:kern w:val="0"/>
              </w:rPr>
              <w:t>Sanechips</w:t>
            </w:r>
            <w:proofErr w:type="spellEnd"/>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 xml:space="preserve">Regarding Alt 2, we think there may be some confusion points based on our reading of companies' feedback including whether the DRX active time is overlapped with sensing </w:t>
            </w:r>
            <w:r>
              <w:rPr>
                <w:rFonts w:hint="eastAsia"/>
                <w:kern w:val="0"/>
              </w:rPr>
              <w:lastRenderedPageBreak/>
              <w:t>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0"/>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lastRenderedPageBreak/>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09EA3023" w14:textId="4E1D38E0" w:rsidR="00370F43" w:rsidRDefault="00370F43" w:rsidP="000A167F">
            <w:pPr>
              <w:spacing w:before="120" w:after="120"/>
              <w:rPr>
                <w:sz w:val="20"/>
              </w:rPr>
            </w:pPr>
            <w:r>
              <w:rPr>
                <w:sz w:val="20"/>
              </w:rPr>
              <w:t>These two FFS can be also removed.</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 xml:space="preserve">Alt </w:t>
            </w:r>
            <w:r>
              <w:rPr>
                <w:sz w:val="20"/>
              </w:rPr>
              <w:t>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In order to monitor PSCCH for sensing, a UE needs to switch on sidelink radio for the first several symbols of a sidelink slot. This prevents UE from entering the deep sleep state 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w:t>
            </w:r>
            <w:proofErr w:type="spellStart"/>
            <w:r>
              <w:t>Uu</w:t>
            </w:r>
            <w:proofErr w:type="spellEnd"/>
            <w:r>
              <w:t xml:space="preserve"> DRX off duration does not monitor PDCCH at all. We think the similar principle could be extended to sidelink DRX. </w:t>
            </w:r>
          </w:p>
        </w:tc>
      </w:tr>
    </w:tbl>
    <w:p w14:paraId="795E9B04" w14:textId="77777777"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1DE9F882" w14:textId="77777777" w:rsidTr="00D02961">
        <w:tc>
          <w:tcPr>
            <w:tcW w:w="1733" w:type="dxa"/>
          </w:tcPr>
          <w:p w14:paraId="03698EBD" w14:textId="77777777" w:rsidR="00E97490" w:rsidRDefault="00E97490" w:rsidP="00354631">
            <w:pPr>
              <w:spacing w:before="120" w:after="120"/>
              <w:rPr>
                <w:kern w:val="0"/>
              </w:rPr>
            </w:pPr>
            <w:r>
              <w:rPr>
                <w:rFonts w:hint="eastAsia"/>
                <w:kern w:val="0"/>
              </w:rPr>
              <w:t>Company</w:t>
            </w:r>
          </w:p>
        </w:tc>
        <w:tc>
          <w:tcPr>
            <w:tcW w:w="8095" w:type="dxa"/>
          </w:tcPr>
          <w:p w14:paraId="03959E63" w14:textId="77777777" w:rsidR="00E97490" w:rsidRDefault="00E97490" w:rsidP="00354631">
            <w:pPr>
              <w:spacing w:before="120" w:after="120"/>
              <w:rPr>
                <w:kern w:val="0"/>
              </w:rPr>
            </w:pPr>
            <w:r>
              <w:rPr>
                <w:rFonts w:hint="eastAsia"/>
                <w:kern w:val="0"/>
              </w:rPr>
              <w:t>View</w:t>
            </w:r>
          </w:p>
        </w:tc>
      </w:tr>
      <w:tr w:rsidR="00E97490" w14:paraId="64041957" w14:textId="77777777" w:rsidTr="00D02961">
        <w:tc>
          <w:tcPr>
            <w:tcW w:w="1733" w:type="dxa"/>
          </w:tcPr>
          <w:p w14:paraId="33EF6413"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8095" w:type="dxa"/>
          </w:tcPr>
          <w:p w14:paraId="01DF065F" w14:textId="77777777"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14:paraId="05E79549" w14:textId="77777777" w:rsidTr="00D02961">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8095"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D02961">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8095"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D02961">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8095"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D02961">
        <w:tc>
          <w:tcPr>
            <w:tcW w:w="1733" w:type="dxa"/>
          </w:tcPr>
          <w:p w14:paraId="35A1A53A" w14:textId="77777777" w:rsidR="00CC57E8" w:rsidRDefault="00CC57E8" w:rsidP="003B31EC">
            <w:pPr>
              <w:spacing w:before="120" w:after="120"/>
              <w:rPr>
                <w:kern w:val="0"/>
              </w:rPr>
            </w:pPr>
            <w:r>
              <w:rPr>
                <w:kern w:val="0"/>
              </w:rPr>
              <w:t>Panasonic</w:t>
            </w:r>
          </w:p>
        </w:tc>
        <w:tc>
          <w:tcPr>
            <w:tcW w:w="8095"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D02961">
        <w:tc>
          <w:tcPr>
            <w:tcW w:w="1733" w:type="dxa"/>
          </w:tcPr>
          <w:p w14:paraId="7EFDC75E" w14:textId="77777777" w:rsidR="00FD0405" w:rsidRDefault="00FD0405" w:rsidP="00FD0405">
            <w:pPr>
              <w:spacing w:before="120" w:after="120"/>
              <w:rPr>
                <w:kern w:val="0"/>
              </w:rPr>
            </w:pPr>
            <w:r>
              <w:rPr>
                <w:rFonts w:hint="eastAsia"/>
                <w:kern w:val="0"/>
              </w:rPr>
              <w:t>Xiaomi</w:t>
            </w:r>
          </w:p>
        </w:tc>
        <w:tc>
          <w:tcPr>
            <w:tcW w:w="8095" w:type="dxa"/>
          </w:tcPr>
          <w:p w14:paraId="68D6664B" w14:textId="77777777"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r w:rsidR="00B21B99" w14:paraId="7E95437E" w14:textId="77777777" w:rsidTr="00D02961">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8095"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lastRenderedPageBreak/>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D02961">
        <w:tc>
          <w:tcPr>
            <w:tcW w:w="1733" w:type="dxa"/>
          </w:tcPr>
          <w:p w14:paraId="3F4B3B00" w14:textId="77777777" w:rsidR="006C4AFB" w:rsidRDefault="006C4AFB" w:rsidP="0083110D">
            <w:pPr>
              <w:spacing w:before="120" w:after="120"/>
              <w:rPr>
                <w:kern w:val="0"/>
              </w:rPr>
            </w:pPr>
            <w:r>
              <w:rPr>
                <w:kern w:val="0"/>
              </w:rPr>
              <w:lastRenderedPageBreak/>
              <w:t>vivo</w:t>
            </w:r>
          </w:p>
        </w:tc>
        <w:tc>
          <w:tcPr>
            <w:tcW w:w="8095" w:type="dxa"/>
          </w:tcPr>
          <w:p w14:paraId="44233D26" w14:textId="77777777" w:rsidR="006C4AFB" w:rsidRDefault="006C4AFB" w:rsidP="0083110D">
            <w:pPr>
              <w:spacing w:before="120" w:after="120"/>
              <w:rPr>
                <w:kern w:val="0"/>
              </w:rPr>
            </w:pPr>
            <w:r>
              <w:rPr>
                <w:kern w:val="0"/>
              </w:rPr>
              <w:t>As stated before, we support option 4.</w:t>
            </w:r>
          </w:p>
        </w:tc>
      </w:tr>
      <w:tr w:rsidR="00B6163B" w14:paraId="2981BD26" w14:textId="77777777" w:rsidTr="00D02961">
        <w:tc>
          <w:tcPr>
            <w:tcW w:w="1733" w:type="dxa"/>
          </w:tcPr>
          <w:p w14:paraId="3ACFF1BD"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95" w:type="dxa"/>
          </w:tcPr>
          <w:p w14:paraId="5679C02B"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0E53A1">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D02961">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8095"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D02961">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8095"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D02961">
        <w:tc>
          <w:tcPr>
            <w:tcW w:w="1733" w:type="dxa"/>
          </w:tcPr>
          <w:p w14:paraId="2B1FA941" w14:textId="77777777" w:rsidR="002E7EB0" w:rsidRDefault="002E7EB0" w:rsidP="002E7EB0">
            <w:pPr>
              <w:spacing w:before="120" w:after="120"/>
              <w:rPr>
                <w:kern w:val="0"/>
              </w:rPr>
            </w:pPr>
            <w:r>
              <w:rPr>
                <w:rFonts w:hint="eastAsia"/>
                <w:kern w:val="0"/>
              </w:rPr>
              <w:t>H</w:t>
            </w:r>
            <w:r>
              <w:rPr>
                <w:kern w:val="0"/>
              </w:rPr>
              <w:t>uawei/</w:t>
            </w:r>
            <w:proofErr w:type="spellStart"/>
            <w:r>
              <w:rPr>
                <w:kern w:val="0"/>
              </w:rPr>
              <w:t>HiSilicon</w:t>
            </w:r>
            <w:proofErr w:type="spellEnd"/>
          </w:p>
        </w:tc>
        <w:tc>
          <w:tcPr>
            <w:tcW w:w="8095"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w:t>
            </w:r>
            <w:proofErr w:type="gramStart"/>
            <w:r>
              <w:t>is</w:t>
            </w:r>
            <w:proofErr w:type="gramEnd"/>
            <w:r>
              <w:t xml:space="preserve"> not correct.</w:t>
            </w:r>
          </w:p>
          <w:p w14:paraId="1CBFFDF3" w14:textId="77777777" w:rsidR="002E7EB0" w:rsidRDefault="002E7EB0" w:rsidP="002E7EB0">
            <w:pPr>
              <w:spacing w:before="120" w:after="120"/>
            </w:pPr>
            <w:r>
              <w:t xml:space="preserve">We support Option 2, but only in case of without the change from “can” to “should” as described above. It is also possible to support option 1 by adjusting it to </w:t>
            </w:r>
            <w:proofErr w:type="gramStart"/>
            <w:r>
              <w:t>say</w:t>
            </w:r>
            <w:proofErr w:type="gramEnd"/>
            <w:r>
              <w:t xml:space="preserve">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D837A51" w14:textId="77777777" w:rsidR="002E7EB0" w:rsidRDefault="002E7EB0" w:rsidP="002E7EB0">
            <w:pPr>
              <w:spacing w:before="120" w:after="120"/>
              <w:rPr>
                <w:kern w:val="0"/>
              </w:rPr>
            </w:pPr>
            <w:r>
              <w:rPr>
                <w:rFonts w:hint="eastAsia"/>
              </w:rPr>
              <w:t>H</w:t>
            </w:r>
            <w:r>
              <w:t>owever, we also agree with others that to reply to RAN2, it is enough for RAN1 to answer only Question 1 of this FL summary.</w:t>
            </w:r>
          </w:p>
        </w:tc>
      </w:tr>
      <w:tr w:rsidR="00A9615B" w14:paraId="66B302A3" w14:textId="77777777" w:rsidTr="00D02961">
        <w:tc>
          <w:tcPr>
            <w:tcW w:w="1733" w:type="dxa"/>
          </w:tcPr>
          <w:p w14:paraId="1AD7E2F5" w14:textId="77777777" w:rsidR="00A9615B" w:rsidRDefault="00A9615B" w:rsidP="002E7EB0">
            <w:pPr>
              <w:spacing w:before="120" w:after="120"/>
              <w:rPr>
                <w:kern w:val="0"/>
              </w:rPr>
            </w:pPr>
            <w:r>
              <w:rPr>
                <w:rFonts w:hint="eastAsia"/>
                <w:kern w:val="0"/>
              </w:rPr>
              <w:t xml:space="preserve">ZTE, </w:t>
            </w:r>
            <w:proofErr w:type="spellStart"/>
            <w:r>
              <w:rPr>
                <w:rFonts w:hint="eastAsia"/>
                <w:kern w:val="0"/>
              </w:rPr>
              <w:t>Sanechips</w:t>
            </w:r>
            <w:proofErr w:type="spellEnd"/>
          </w:p>
        </w:tc>
        <w:tc>
          <w:tcPr>
            <w:tcW w:w="8095" w:type="dxa"/>
          </w:tcPr>
          <w:p w14:paraId="672A8EBE" w14:textId="77777777" w:rsidR="00A9615B" w:rsidRDefault="00A9615B" w:rsidP="00A9615B">
            <w:pPr>
              <w:spacing w:before="120" w:after="120"/>
            </w:pPr>
            <w:r>
              <w:rPr>
                <w:rFonts w:hint="eastAsia"/>
              </w:rPr>
              <w:t xml:space="preserve">We prefer focusing on the first question in this meeting. </w:t>
            </w:r>
            <w:proofErr w:type="spellStart"/>
            <w:r>
              <w:rPr>
                <w:rFonts w:hint="eastAsia"/>
              </w:rPr>
              <w:t>Downselection</w:t>
            </w:r>
            <w:proofErr w:type="spellEnd"/>
            <w:r>
              <w:rPr>
                <w:rFonts w:hint="eastAsia"/>
              </w:rPr>
              <w:t xml:space="preserve"> among option 1- 3 seem infeasible for this meeting especially considering the wording for the options is not stable from companies' comment.</w:t>
            </w:r>
          </w:p>
        </w:tc>
      </w:tr>
      <w:tr w:rsidR="00D02961" w14:paraId="3D164D78" w14:textId="77777777" w:rsidTr="00D02961">
        <w:tc>
          <w:tcPr>
            <w:tcW w:w="1733" w:type="dxa"/>
          </w:tcPr>
          <w:p w14:paraId="189DB974" w14:textId="19D25B1F" w:rsidR="00D02961" w:rsidRDefault="00D02961" w:rsidP="00D02961">
            <w:pPr>
              <w:spacing w:before="120" w:after="120"/>
              <w:rPr>
                <w:kern w:val="0"/>
              </w:rPr>
            </w:pPr>
            <w:r>
              <w:rPr>
                <w:kern w:val="0"/>
              </w:rPr>
              <w:t>Ericsson</w:t>
            </w:r>
          </w:p>
        </w:tc>
        <w:tc>
          <w:tcPr>
            <w:tcW w:w="8095"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lastRenderedPageBreak/>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D02961">
        <w:tc>
          <w:tcPr>
            <w:tcW w:w="1733" w:type="dxa"/>
          </w:tcPr>
          <w:p w14:paraId="35226717" w14:textId="3EA4586E" w:rsidR="00370F43" w:rsidRDefault="00370F43" w:rsidP="00D02961">
            <w:pPr>
              <w:spacing w:before="120" w:after="120"/>
              <w:rPr>
                <w:kern w:val="0"/>
              </w:rPr>
            </w:pPr>
            <w:r>
              <w:rPr>
                <w:kern w:val="0"/>
              </w:rPr>
              <w:lastRenderedPageBreak/>
              <w:t>Nokia, NSB</w:t>
            </w:r>
          </w:p>
        </w:tc>
        <w:tc>
          <w:tcPr>
            <w:tcW w:w="8095"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bl>
    <w:p w14:paraId="7C790B77" w14:textId="77777777" w:rsidR="00E97490" w:rsidRPr="00E97490" w:rsidRDefault="00E97490">
      <w:pPr>
        <w:spacing w:before="120" w:after="120"/>
        <w:rPr>
          <w:kern w:val="0"/>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xml:space="preserve">, </w:t>
      </w:r>
      <w:proofErr w:type="gramStart"/>
      <w:r>
        <w:rPr>
          <w:rFonts w:hint="eastAsia"/>
          <w:sz w:val="20"/>
          <w:szCs w:val="22"/>
        </w:rPr>
        <w:t>Moderator(</w:t>
      </w:r>
      <w:proofErr w:type="gramEnd"/>
      <w:r>
        <w:rPr>
          <w:rFonts w:hint="eastAsia"/>
          <w:sz w:val="20"/>
          <w:szCs w:val="22"/>
        </w:rPr>
        <w:t>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09E99" w14:textId="77777777" w:rsidR="00DE5440" w:rsidRDefault="00DE5440" w:rsidP="009D4D1F">
      <w:pPr>
        <w:spacing w:before="120" w:after="120" w:line="240" w:lineRule="auto"/>
      </w:pPr>
      <w:r>
        <w:separator/>
      </w:r>
    </w:p>
  </w:endnote>
  <w:endnote w:type="continuationSeparator" w:id="0">
    <w:p w14:paraId="484C02C6" w14:textId="77777777" w:rsidR="00DE5440" w:rsidRDefault="00DE5440"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B4AF" w14:textId="77777777" w:rsidR="00731917" w:rsidRDefault="00731917">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056"/>
    </w:sdtPr>
    <w:sdtEndPr/>
    <w:sdtContent>
      <w:p w14:paraId="56BABE70" w14:textId="77777777" w:rsidR="00731917" w:rsidRDefault="00280D9C">
        <w:pPr>
          <w:pStyle w:val="Footer"/>
          <w:spacing w:before="120" w:after="120"/>
          <w:jc w:val="center"/>
        </w:pPr>
        <w:r>
          <w:fldChar w:fldCharType="begin"/>
        </w:r>
        <w:r w:rsidR="00731917">
          <w:instrText xml:space="preserve"> PAGE   \* MERGEFORMAT </w:instrText>
        </w:r>
        <w:r>
          <w:fldChar w:fldCharType="separate"/>
        </w:r>
        <w:r w:rsidR="008F7E6D">
          <w:rPr>
            <w:noProof/>
          </w:rPr>
          <w:t>9</w:t>
        </w:r>
        <w:r>
          <w:rPr>
            <w:noProof/>
          </w:rPr>
          <w:fldChar w:fldCharType="end"/>
        </w:r>
      </w:p>
    </w:sdtContent>
  </w:sdt>
  <w:p w14:paraId="5528C200" w14:textId="77777777" w:rsidR="00731917" w:rsidRDefault="00731917">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3F5F" w14:textId="77777777" w:rsidR="00731917" w:rsidRDefault="00731917">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41534" w14:textId="77777777" w:rsidR="00DE5440" w:rsidRDefault="00DE5440" w:rsidP="009D4D1F">
      <w:pPr>
        <w:spacing w:before="120" w:after="120" w:line="240" w:lineRule="auto"/>
      </w:pPr>
      <w:r>
        <w:separator/>
      </w:r>
    </w:p>
  </w:footnote>
  <w:footnote w:type="continuationSeparator" w:id="0">
    <w:p w14:paraId="79DB76AF" w14:textId="77777777" w:rsidR="00DE5440" w:rsidRDefault="00DE5440"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6305C" w14:textId="77777777" w:rsidR="00731917" w:rsidRDefault="00731917">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716ED" w14:textId="77777777" w:rsidR="00731917" w:rsidRDefault="00731917">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2CB3" w14:textId="77777777" w:rsidR="00731917" w:rsidRDefault="00731917">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5"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9"/>
  </w:num>
  <w:num w:numId="3">
    <w:abstractNumId w:val="14"/>
  </w:num>
  <w:num w:numId="4">
    <w:abstractNumId w:val="17"/>
  </w:num>
  <w:num w:numId="5">
    <w:abstractNumId w:val="2"/>
  </w:num>
  <w:num w:numId="6">
    <w:abstractNumId w:val="1"/>
  </w:num>
  <w:num w:numId="7">
    <w:abstractNumId w:val="20"/>
  </w:num>
  <w:num w:numId="8">
    <w:abstractNumId w:val="10"/>
  </w:num>
  <w:num w:numId="9">
    <w:abstractNumId w:val="9"/>
  </w:num>
  <w:num w:numId="10">
    <w:abstractNumId w:val="0"/>
  </w:num>
  <w:num w:numId="11">
    <w:abstractNumId w:val="15"/>
  </w:num>
  <w:num w:numId="12">
    <w:abstractNumId w:val="8"/>
  </w:num>
  <w:num w:numId="13">
    <w:abstractNumId w:val="7"/>
  </w:num>
  <w:num w:numId="14">
    <w:abstractNumId w:val="11"/>
  </w:num>
  <w:num w:numId="15">
    <w:abstractNumId w:val="18"/>
  </w:num>
  <w:num w:numId="16">
    <w:abstractNumId w:val="3"/>
  </w:num>
  <w:num w:numId="17">
    <w:abstractNumId w:val="6"/>
  </w:num>
  <w:num w:numId="18">
    <w:abstractNumId w:val="16"/>
  </w:num>
  <w:num w:numId="19">
    <w:abstractNumId w:val="13"/>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0A1"/>
    <w:rsid w:val="000145B0"/>
    <w:rsid w:val="00021417"/>
    <w:rsid w:val="000216BE"/>
    <w:rsid w:val="00023F70"/>
    <w:rsid w:val="00023F7A"/>
    <w:rsid w:val="00024917"/>
    <w:rsid w:val="0002708F"/>
    <w:rsid w:val="000402B5"/>
    <w:rsid w:val="00055E90"/>
    <w:rsid w:val="0006022E"/>
    <w:rsid w:val="0006398D"/>
    <w:rsid w:val="0008013C"/>
    <w:rsid w:val="0008331E"/>
    <w:rsid w:val="000A167F"/>
    <w:rsid w:val="000A4133"/>
    <w:rsid w:val="000A4385"/>
    <w:rsid w:val="000A5F2D"/>
    <w:rsid w:val="000B2BA1"/>
    <w:rsid w:val="000B72CE"/>
    <w:rsid w:val="000C6FD0"/>
    <w:rsid w:val="000D2BFF"/>
    <w:rsid w:val="000D57E0"/>
    <w:rsid w:val="000D6AB2"/>
    <w:rsid w:val="000E1CBA"/>
    <w:rsid w:val="000E20C8"/>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06B17"/>
    <w:rsid w:val="00210590"/>
    <w:rsid w:val="0021619D"/>
    <w:rsid w:val="002169F5"/>
    <w:rsid w:val="00220F73"/>
    <w:rsid w:val="00224306"/>
    <w:rsid w:val="00230691"/>
    <w:rsid w:val="00251D82"/>
    <w:rsid w:val="00256654"/>
    <w:rsid w:val="00263BFE"/>
    <w:rsid w:val="002721B8"/>
    <w:rsid w:val="00280D9C"/>
    <w:rsid w:val="00284819"/>
    <w:rsid w:val="0029502F"/>
    <w:rsid w:val="002A5285"/>
    <w:rsid w:val="002B7F9A"/>
    <w:rsid w:val="002C69EF"/>
    <w:rsid w:val="002D17CE"/>
    <w:rsid w:val="002D2488"/>
    <w:rsid w:val="002D535F"/>
    <w:rsid w:val="002E5075"/>
    <w:rsid w:val="002E7EB0"/>
    <w:rsid w:val="002F60C6"/>
    <w:rsid w:val="00307D72"/>
    <w:rsid w:val="0032166B"/>
    <w:rsid w:val="00326FCE"/>
    <w:rsid w:val="00365C81"/>
    <w:rsid w:val="00370F43"/>
    <w:rsid w:val="00371A27"/>
    <w:rsid w:val="00375BDE"/>
    <w:rsid w:val="0038701B"/>
    <w:rsid w:val="003873BA"/>
    <w:rsid w:val="003875B1"/>
    <w:rsid w:val="003A449D"/>
    <w:rsid w:val="003A69A9"/>
    <w:rsid w:val="003B31EC"/>
    <w:rsid w:val="003B36B5"/>
    <w:rsid w:val="003B45A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AFB"/>
    <w:rsid w:val="006C4FC1"/>
    <w:rsid w:val="006D0BE3"/>
    <w:rsid w:val="006D4CD1"/>
    <w:rsid w:val="006E0001"/>
    <w:rsid w:val="006E07F5"/>
    <w:rsid w:val="006E1BCE"/>
    <w:rsid w:val="006E2948"/>
    <w:rsid w:val="00713289"/>
    <w:rsid w:val="007274EB"/>
    <w:rsid w:val="00731917"/>
    <w:rsid w:val="00735D0D"/>
    <w:rsid w:val="00740C75"/>
    <w:rsid w:val="00756220"/>
    <w:rsid w:val="00756D84"/>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4475"/>
    <w:rsid w:val="00847D16"/>
    <w:rsid w:val="00851BAD"/>
    <w:rsid w:val="008616A3"/>
    <w:rsid w:val="00866C06"/>
    <w:rsid w:val="0088218F"/>
    <w:rsid w:val="00887B64"/>
    <w:rsid w:val="00887C4C"/>
    <w:rsid w:val="00892BB4"/>
    <w:rsid w:val="00895790"/>
    <w:rsid w:val="008C42E9"/>
    <w:rsid w:val="008C71FA"/>
    <w:rsid w:val="008D0FE9"/>
    <w:rsid w:val="008F65B4"/>
    <w:rsid w:val="008F7E6D"/>
    <w:rsid w:val="0090159D"/>
    <w:rsid w:val="009211BF"/>
    <w:rsid w:val="009222C1"/>
    <w:rsid w:val="00923381"/>
    <w:rsid w:val="0092386E"/>
    <w:rsid w:val="00936171"/>
    <w:rsid w:val="00943D27"/>
    <w:rsid w:val="00944A9F"/>
    <w:rsid w:val="00954CEE"/>
    <w:rsid w:val="00957C85"/>
    <w:rsid w:val="00960230"/>
    <w:rsid w:val="00962FE8"/>
    <w:rsid w:val="0096312C"/>
    <w:rsid w:val="0096379A"/>
    <w:rsid w:val="009727FD"/>
    <w:rsid w:val="00977B76"/>
    <w:rsid w:val="00985071"/>
    <w:rsid w:val="00993F32"/>
    <w:rsid w:val="009A2416"/>
    <w:rsid w:val="009B09DF"/>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E71B6"/>
    <w:rsid w:val="00B012CB"/>
    <w:rsid w:val="00B0288C"/>
    <w:rsid w:val="00B21940"/>
    <w:rsid w:val="00B21B99"/>
    <w:rsid w:val="00B23846"/>
    <w:rsid w:val="00B2645C"/>
    <w:rsid w:val="00B3240D"/>
    <w:rsid w:val="00B36DB0"/>
    <w:rsid w:val="00B45AF8"/>
    <w:rsid w:val="00B5514D"/>
    <w:rsid w:val="00B551F6"/>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E0B7A"/>
    <w:rsid w:val="00CE50F2"/>
    <w:rsid w:val="00CE5EAF"/>
    <w:rsid w:val="00CF15BD"/>
    <w:rsid w:val="00D02961"/>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0405"/>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2.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26F50A1-4BA4-43E2-AB93-3C766F05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3471</Words>
  <Characters>19790</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Chunxuan Ye</cp:lastModifiedBy>
  <cp:revision>3</cp:revision>
  <dcterms:created xsi:type="dcterms:W3CDTF">2021-05-24T16:03:00Z</dcterms:created>
  <dcterms:modified xsi:type="dcterms:W3CDTF">2021-05-24T16:05:00Z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ies>
</file>