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1"/>
        <w:spacing w:before="120" w:after="120"/>
        <w:ind w:left="0"/>
        <w:rPr>
          <w:rFonts w:eastAsia="SimSun"/>
        </w:rPr>
      </w:pPr>
      <w:r>
        <w:rPr>
          <w:rFonts w:eastAsia="SimSun"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4EDDC78C" w14:textId="77777777" w:rsidR="0057017A"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af2"/>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 xml:space="preserve">Issue 3: Based on observation 2, in </w:t>
            </w:r>
            <w:proofErr w:type="spellStart"/>
            <w:r>
              <w:rPr>
                <w:rFonts w:hint="eastAsia"/>
                <w:sz w:val="20"/>
              </w:rPr>
              <w:t>groupcast</w:t>
            </w:r>
            <w:proofErr w:type="spellEnd"/>
            <w:r>
              <w:rPr>
                <w:rFonts w:hint="eastAsia"/>
                <w:sz w:val="20"/>
              </w:rPr>
              <w:t xml:space="preserve">/broadcast,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Qualcomm, the following categorization received support from 3 companies(HW/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5D21262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맑은 고딕"/>
                <w:kern w:val="0"/>
                <w:lang w:eastAsia="ko-KR"/>
              </w:rPr>
            </w:pPr>
            <w:r>
              <w:rPr>
                <w:rFonts w:eastAsia="맑은 고딕" w:hint="eastAsia"/>
                <w:kern w:val="0"/>
                <w:lang w:eastAsia="ko-KR"/>
              </w:rPr>
              <w:t>S</w:t>
            </w:r>
            <w:r>
              <w:rPr>
                <w:rFonts w:eastAsia="맑은 고딕"/>
                <w:kern w:val="0"/>
                <w:lang w:eastAsia="ko-KR"/>
              </w:rPr>
              <w:t>amsung</w:t>
            </w:r>
          </w:p>
        </w:tc>
        <w:tc>
          <w:tcPr>
            <w:tcW w:w="8095" w:type="dxa"/>
          </w:tcPr>
          <w:p w14:paraId="2146F4E2" w14:textId="77777777" w:rsidR="00E97490" w:rsidRPr="00B23846" w:rsidRDefault="00192B3A" w:rsidP="00B23846">
            <w:pPr>
              <w:spacing w:before="120" w:after="120"/>
              <w:rPr>
                <w:rFonts w:eastAsia="맑은 고딕"/>
                <w:lang w:eastAsia="ko-KR"/>
              </w:rPr>
            </w:pPr>
            <w:r>
              <w:rPr>
                <w:rFonts w:eastAsia="맑은 고딕"/>
                <w:kern w:val="0"/>
                <w:lang w:eastAsia="ko-KR"/>
              </w:rPr>
              <w:t xml:space="preserve">We support Alt 2 in order to achieve the power saving by prohibiting </w:t>
            </w:r>
            <w:r w:rsidR="00B23846">
              <w:rPr>
                <w:rFonts w:eastAsia="맑은 고딕"/>
                <w:kern w:val="0"/>
                <w:lang w:eastAsia="ko-KR"/>
              </w:rPr>
              <w:t>sensing (</w:t>
            </w:r>
            <w:r>
              <w:rPr>
                <w:rFonts w:eastAsia="맑은 고딕"/>
                <w:kern w:val="0"/>
                <w:lang w:eastAsia="ko-KR"/>
              </w:rPr>
              <w:t>SL reception of PSCCH and RSRP measurement</w:t>
            </w:r>
            <w:r w:rsidR="00B23846">
              <w:rPr>
                <w:rFonts w:eastAsia="맑은 고딕"/>
                <w:kern w:val="0"/>
                <w:lang w:eastAsia="ko-KR"/>
              </w:rPr>
              <w:t xml:space="preserve">) </w:t>
            </w:r>
            <w:r>
              <w:rPr>
                <w:rFonts w:eastAsia="맑은 고딕"/>
                <w:kern w:val="0"/>
                <w:lang w:eastAsia="ko-KR"/>
              </w:rPr>
              <w:t xml:space="preserve">during the SL DRX </w:t>
            </w:r>
            <w:r w:rsidR="00B23846">
              <w:rPr>
                <w:rFonts w:eastAsia="맑은 고딕"/>
                <w:kern w:val="0"/>
                <w:lang w:eastAsia="ko-KR"/>
              </w:rPr>
              <w:t xml:space="preserve">inactive time. Like Alt 1, additional UE behavior should be discussed for Alt 2. For example, </w:t>
            </w:r>
            <w:r w:rsidR="00B23846">
              <w:rPr>
                <w:rFonts w:eastAsia="맑은 고딕"/>
                <w:lang w:eastAsia="ko-KR"/>
              </w:rPr>
              <w:t>f</w:t>
            </w:r>
            <w:r w:rsidR="00B23846" w:rsidRPr="00B23846">
              <w:rPr>
                <w:rFonts w:eastAsia="맑은 고딕"/>
                <w:lang w:eastAsia="ko-KR"/>
              </w:rPr>
              <w:t xml:space="preserve">or UE with </w:t>
            </w:r>
            <w:r w:rsidR="00B23846">
              <w:rPr>
                <w:rFonts w:eastAsia="맑은 고딕"/>
                <w:lang w:eastAsia="ko-KR"/>
              </w:rPr>
              <w:t>SL</w:t>
            </w:r>
            <w:r w:rsidR="00B23846" w:rsidRPr="00B23846">
              <w:rPr>
                <w:rFonts w:eastAsia="맑은 고딕"/>
                <w:lang w:eastAsia="ko-KR"/>
              </w:rPr>
              <w:t xml:space="preserve"> DRX, sensing window </w:t>
            </w:r>
            <w:r w:rsidR="00B23846">
              <w:rPr>
                <w:rFonts w:eastAsia="맑은 고딕"/>
                <w:lang w:eastAsia="ko-KR"/>
              </w:rPr>
              <w:t>can be</w:t>
            </w:r>
            <w:r w:rsidR="00B23846" w:rsidRPr="00B23846">
              <w:rPr>
                <w:rFonts w:eastAsia="맑은 고딕"/>
                <w:lang w:eastAsia="ko-KR"/>
              </w:rPr>
              <w:t xml:space="preserve"> adjusted into DRX active time within configured sensing window</w:t>
            </w:r>
            <w:r w:rsidR="00B23846">
              <w:rPr>
                <w:rFonts w:eastAsia="맑은 고딕"/>
                <w:lang w:eastAsia="ko-KR"/>
              </w:rPr>
              <w:t xml:space="preserve"> and if the sensing window is not available, UE can perform random selection without sensing. </w:t>
            </w:r>
            <w:r w:rsidR="00B23846">
              <w:rPr>
                <w:rFonts w:eastAsia="맑은 고딕" w:hint="eastAsia"/>
                <w:lang w:eastAsia="ko-KR"/>
              </w:rPr>
              <w:t>S</w:t>
            </w:r>
            <w:r w:rsidR="00B23846">
              <w:rPr>
                <w:rFonts w:eastAsia="맑은 고딕"/>
                <w:lang w:eastAsia="ko-KR"/>
              </w:rPr>
              <w:t>o, we suggest to add “FFS other details” also for A</w:t>
            </w:r>
            <w:r w:rsidR="0010588D">
              <w:rPr>
                <w:rFonts w:eastAsia="맑은 고딕"/>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af4"/>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0BDD2470" w14:textId="77777777" w:rsidTr="006C4AFB">
        <w:tc>
          <w:tcPr>
            <w:tcW w:w="1555" w:type="dxa"/>
          </w:tcPr>
          <w:p w14:paraId="0969AD63" w14:textId="77777777" w:rsidR="006C4AFB" w:rsidRDefault="006C4AFB" w:rsidP="0083110D">
            <w:pPr>
              <w:spacing w:before="120" w:after="120"/>
              <w:rPr>
                <w:kern w:val="0"/>
              </w:rPr>
            </w:pPr>
            <w:r>
              <w:rPr>
                <w:rFonts w:hint="eastAsia"/>
                <w:kern w:val="0"/>
              </w:rPr>
              <w:t>vivo</w:t>
            </w:r>
          </w:p>
        </w:tc>
        <w:tc>
          <w:tcPr>
            <w:tcW w:w="8095" w:type="dxa"/>
          </w:tcPr>
          <w:p w14:paraId="362D5854" w14:textId="77777777" w:rsidR="006C4AFB" w:rsidRDefault="006C4AFB" w:rsidP="0083110D">
            <w:pPr>
              <w:spacing w:before="120" w:after="120"/>
              <w:rPr>
                <w:kern w:val="0"/>
              </w:rPr>
            </w:pPr>
            <w:r>
              <w:rPr>
                <w:kern w:val="0"/>
              </w:rPr>
              <w:t>Support Alt 2 (although we think the word of ‘cannot’ is confusing)</w:t>
            </w:r>
          </w:p>
          <w:p w14:paraId="04A24C30"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61516D5B"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262559CF" w14:textId="77777777" w:rsidTr="000E53A1">
        <w:tc>
          <w:tcPr>
            <w:tcW w:w="1555" w:type="dxa"/>
          </w:tcPr>
          <w:p w14:paraId="108483FA" w14:textId="77777777" w:rsidR="00B6163B" w:rsidRDefault="00B6163B" w:rsidP="000E53A1">
            <w:pPr>
              <w:spacing w:before="120" w:after="120"/>
              <w:rPr>
                <w:kern w:val="0"/>
              </w:rPr>
            </w:pPr>
            <w:r>
              <w:rPr>
                <w:kern w:val="0"/>
              </w:rPr>
              <w:lastRenderedPageBreak/>
              <w:t>NTT DOCOMO</w:t>
            </w:r>
          </w:p>
        </w:tc>
        <w:tc>
          <w:tcPr>
            <w:tcW w:w="8095" w:type="dxa"/>
          </w:tcPr>
          <w:p w14:paraId="46C7B4C8"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766F47E0" w14:textId="77777777" w:rsidR="00B6163B" w:rsidRPr="007876D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4FC69665" w14:textId="77777777" w:rsidTr="006C4AFB">
        <w:tc>
          <w:tcPr>
            <w:tcW w:w="1555" w:type="dxa"/>
          </w:tcPr>
          <w:p w14:paraId="63F562A5" w14:textId="427DB232"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t>LG Electronics</w:t>
            </w:r>
          </w:p>
        </w:tc>
        <w:tc>
          <w:tcPr>
            <w:tcW w:w="8095" w:type="dxa"/>
          </w:tcPr>
          <w:p w14:paraId="6B29FBEE" w14:textId="77777777" w:rsidR="00936171" w:rsidRPr="00936171" w:rsidRDefault="00936171" w:rsidP="00936171">
            <w:pPr>
              <w:spacing w:before="120" w:after="120"/>
              <w:rPr>
                <w:rFonts w:ascii="Calibri" w:eastAsia="맑은 고딕" w:hAnsi="Calibri" w:cs="Calibri"/>
                <w:kern w:val="0"/>
                <w:sz w:val="22"/>
                <w:szCs w:val="22"/>
                <w:lang w:eastAsia="ko-KR"/>
              </w:rPr>
            </w:pPr>
            <w:r w:rsidRPr="00936171">
              <w:rPr>
                <w:rFonts w:ascii="Calibri" w:eastAsia="맑은 고딕" w:hAnsi="Calibri" w:cs="Calibri" w:hint="eastAsia"/>
                <w:kern w:val="0"/>
                <w:sz w:val="22"/>
                <w:szCs w:val="22"/>
                <w:lang w:eastAsia="ko-KR"/>
              </w:rPr>
              <w:t xml:space="preserve">We are supportive of </w:t>
            </w:r>
            <w:r w:rsidRPr="00936171">
              <w:rPr>
                <w:rFonts w:ascii="Calibri" w:eastAsia="맑은 고딕" w:hAnsi="Calibri" w:cs="Calibri"/>
                <w:kern w:val="0"/>
                <w:sz w:val="22"/>
                <w:szCs w:val="22"/>
                <w:lang w:eastAsia="ko-KR"/>
              </w:rPr>
              <w:t>Alt 1.</w:t>
            </w:r>
          </w:p>
          <w:p w14:paraId="44B2DC83" w14:textId="77777777" w:rsidR="00936171" w:rsidRPr="00936171" w:rsidRDefault="00936171" w:rsidP="00936171">
            <w:pPr>
              <w:spacing w:before="120" w:after="120"/>
              <w:rPr>
                <w:rFonts w:ascii="Calibri" w:eastAsia="맑은 고딕" w:hAnsi="Calibri" w:cs="Calibri" w:hint="eastAsia"/>
                <w:kern w:val="0"/>
                <w:sz w:val="22"/>
                <w:szCs w:val="22"/>
                <w:lang w:eastAsia="ko-KR"/>
              </w:rPr>
            </w:pPr>
            <w:r w:rsidRPr="00936171">
              <w:rPr>
                <w:rFonts w:ascii="Calibri" w:eastAsia="맑은 고딕" w:hAnsi="Calibri" w:cs="Calibri"/>
                <w:kern w:val="0"/>
                <w:sz w:val="22"/>
                <w:szCs w:val="22"/>
                <w:lang w:eastAsia="ko-KR"/>
              </w:rPr>
              <w:t>The followings are the reasons why we prefer Alt 1.</w:t>
            </w:r>
          </w:p>
          <w:p w14:paraId="1CC25B98" w14:textId="77777777" w:rsidR="00936171" w:rsidRPr="00936171" w:rsidRDefault="00936171" w:rsidP="00936171">
            <w:pPr>
              <w:pStyle w:val="af2"/>
              <w:numPr>
                <w:ilvl w:val="0"/>
                <w:numId w:val="19"/>
              </w:numPr>
              <w:spacing w:before="120" w:after="120"/>
              <w:rPr>
                <w:rFonts w:ascii="Calibri" w:eastAsia="맑은 고딕" w:hAnsi="Calibri" w:cs="Calibri"/>
                <w:kern w:val="0"/>
                <w:sz w:val="22"/>
                <w:szCs w:val="22"/>
                <w:lang w:eastAsia="ko-KR"/>
              </w:rPr>
            </w:pPr>
            <w:r w:rsidRPr="00936171">
              <w:rPr>
                <w:rFonts w:ascii="Calibri" w:eastAsia="맑은 고딕"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맑은 고딕" w:hAnsi="Calibri" w:cs="Calibri"/>
                <w:kern w:val="0"/>
                <w:sz w:val="22"/>
                <w:szCs w:val="22"/>
                <w:lang w:eastAsia="ko-KR"/>
              </w:rPr>
              <w:t>Uu</w:t>
            </w:r>
            <w:proofErr w:type="spellEnd"/>
            <w:r w:rsidRPr="00936171">
              <w:rPr>
                <w:rFonts w:ascii="Calibri" w:eastAsia="맑은 고딕"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맑은 고딕" w:hAnsi="Calibri" w:cs="Calibri"/>
                <w:kern w:val="0"/>
                <w:sz w:val="22"/>
                <w:szCs w:val="22"/>
                <w:lang w:eastAsia="ko-KR"/>
              </w:rPr>
              <w:t>Uu</w:t>
            </w:r>
            <w:proofErr w:type="spellEnd"/>
            <w:r w:rsidRPr="00936171">
              <w:rPr>
                <w:rFonts w:ascii="Calibri" w:eastAsia="맑은 고딕"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7D63546" w14:textId="0705F247" w:rsidR="00936171" w:rsidRPr="00936171" w:rsidRDefault="00936171" w:rsidP="00936171">
            <w:pPr>
              <w:pStyle w:val="af2"/>
              <w:numPr>
                <w:ilvl w:val="0"/>
                <w:numId w:val="19"/>
              </w:numPr>
              <w:spacing w:before="120" w:after="120"/>
              <w:rPr>
                <w:kern w:val="0"/>
                <w:sz w:val="22"/>
                <w:szCs w:val="22"/>
              </w:rPr>
            </w:pPr>
            <w:r w:rsidRPr="00936171">
              <w:rPr>
                <w:rFonts w:ascii="Calibri" w:eastAsia="맑은 고딕" w:hAnsi="Calibri" w:cs="Calibri"/>
                <w:kern w:val="0"/>
                <w:sz w:val="22"/>
                <w:szCs w:val="22"/>
                <w:lang w:eastAsia="ko-KR"/>
              </w:rPr>
              <w:t xml:space="preserve">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w:t>
            </w:r>
            <w:r w:rsidRPr="00936171">
              <w:rPr>
                <w:rFonts w:ascii="Calibri" w:eastAsia="맑은 고딕" w:hAnsi="Calibri" w:cs="Calibri"/>
                <w:kern w:val="0"/>
                <w:sz w:val="22"/>
                <w:szCs w:val="22"/>
                <w:lang w:eastAsia="ko-KR"/>
              </w:rPr>
              <w:t>guarantee</w:t>
            </w:r>
            <w:r w:rsidRPr="00936171">
              <w:rPr>
                <w:rFonts w:ascii="Calibri" w:eastAsia="맑은 고딕" w:hAnsi="Calibri" w:cs="Calibri"/>
                <w:kern w:val="0"/>
                <w:sz w:val="22"/>
                <w:szCs w:val="22"/>
                <w:lang w:eastAsia="ko-KR"/>
              </w:rPr>
              <w:t xml:space="preserve"> the satisfaction of </w:t>
            </w:r>
            <w:proofErr w:type="spellStart"/>
            <w:r w:rsidRPr="00936171">
              <w:rPr>
                <w:rFonts w:ascii="Calibri" w:eastAsia="맑은 고딕" w:hAnsi="Calibri" w:cs="Calibri"/>
                <w:kern w:val="0"/>
                <w:sz w:val="22"/>
                <w:szCs w:val="22"/>
                <w:lang w:eastAsia="ko-KR"/>
              </w:rPr>
              <w:t>QoS</w:t>
            </w:r>
            <w:proofErr w:type="spellEnd"/>
            <w:r w:rsidRPr="00936171">
              <w:rPr>
                <w:rFonts w:ascii="Calibri" w:eastAsia="맑은 고딕" w:hAnsi="Calibri" w:cs="Calibri"/>
                <w:kern w:val="0"/>
                <w:sz w:val="22"/>
                <w:szCs w:val="22"/>
                <w:lang w:eastAsia="ko-KR"/>
              </w:rPr>
              <w:t xml:space="preserve"> requirement. Considering these aspects, we think that at least from the perspective of UE’s implementation, allowing the sensing operation within the inactive time of SL DRX is supported.</w:t>
            </w:r>
          </w:p>
        </w:tc>
      </w:tr>
      <w:tr w:rsidR="00936171" w:rsidRPr="008A2B94" w14:paraId="4D737C30" w14:textId="77777777" w:rsidTr="006C4AFB">
        <w:tc>
          <w:tcPr>
            <w:tcW w:w="1555" w:type="dxa"/>
          </w:tcPr>
          <w:p w14:paraId="6BB22C44" w14:textId="77777777" w:rsidR="00936171" w:rsidRPr="00936171" w:rsidRDefault="00936171" w:rsidP="00936171">
            <w:pPr>
              <w:spacing w:before="120" w:after="120"/>
              <w:rPr>
                <w:rFonts w:ascii="Calibri" w:eastAsia="맑은 고딕" w:hAnsi="Calibri" w:cs="Calibri"/>
                <w:kern w:val="0"/>
                <w:sz w:val="22"/>
                <w:szCs w:val="22"/>
                <w:lang w:eastAsia="ko-KR"/>
              </w:rPr>
            </w:pPr>
            <w:bookmarkStart w:id="8" w:name="_GoBack"/>
            <w:bookmarkEnd w:id="8"/>
          </w:p>
        </w:tc>
        <w:tc>
          <w:tcPr>
            <w:tcW w:w="8095" w:type="dxa"/>
          </w:tcPr>
          <w:p w14:paraId="2D59147B" w14:textId="77777777" w:rsidR="00936171" w:rsidRPr="00936171" w:rsidRDefault="00936171" w:rsidP="00936171">
            <w:pPr>
              <w:spacing w:before="120" w:after="120"/>
              <w:rPr>
                <w:rFonts w:ascii="Calibri" w:eastAsia="맑은 고딕" w:hAnsi="Calibri" w:cs="Calibri" w:hint="eastAsia"/>
                <w:kern w:val="0"/>
                <w:sz w:val="22"/>
                <w:szCs w:val="22"/>
                <w:lang w:eastAsia="ko-KR"/>
              </w:rPr>
            </w:pPr>
          </w:p>
        </w:tc>
      </w:tr>
    </w:tbl>
    <w:p w14:paraId="3E59FB89" w14:textId="77777777" w:rsidR="00E97490" w:rsidRPr="006C4AFB" w:rsidRDefault="00E97490">
      <w:pPr>
        <w:spacing w:before="120" w:after="120"/>
        <w:rPr>
          <w:kern w:val="0"/>
          <w:lang w:val="en-SG"/>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맑은 고딕" w:hint="eastAsia"/>
                <w:kern w:val="0"/>
                <w:lang w:eastAsia="ko-KR"/>
              </w:rPr>
              <w:t>S</w:t>
            </w:r>
            <w:r>
              <w:rPr>
                <w:rFonts w:eastAsia="맑은 고딕"/>
                <w:kern w:val="0"/>
                <w:lang w:eastAsia="ko-KR"/>
              </w:rPr>
              <w:t>amsung</w:t>
            </w:r>
          </w:p>
        </w:tc>
        <w:tc>
          <w:tcPr>
            <w:tcW w:w="8095" w:type="dxa"/>
          </w:tcPr>
          <w:p w14:paraId="102341E5" w14:textId="77777777" w:rsidR="00E97490" w:rsidRPr="0010588D" w:rsidRDefault="0010588D" w:rsidP="0010588D">
            <w:pPr>
              <w:spacing w:before="120" w:after="120"/>
              <w:rPr>
                <w:rFonts w:eastAsia="맑은 고딕"/>
                <w:kern w:val="0"/>
                <w:lang w:eastAsia="ko-KR"/>
              </w:rPr>
            </w:pPr>
            <w:r>
              <w:rPr>
                <w:rFonts w:eastAsia="맑은 고딕"/>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맑은 고딕"/>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9"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lastRenderedPageBreak/>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9"/>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10" w:name="OLE_LINK379"/>
            <w:bookmarkStart w:id="11" w:name="OLE_LINK380"/>
            <w:r w:rsidRPr="00D52D49">
              <w:rPr>
                <w:kern w:val="0"/>
              </w:rPr>
              <w:t>system performance</w:t>
            </w:r>
            <w:bookmarkEnd w:id="10"/>
            <w:bookmarkEnd w:id="11"/>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37B5FE5B" w14:textId="77777777" w:rsidTr="006C4AFB">
        <w:tc>
          <w:tcPr>
            <w:tcW w:w="1555" w:type="dxa"/>
          </w:tcPr>
          <w:p w14:paraId="5AF0D6C8" w14:textId="77777777" w:rsidR="006C4AFB" w:rsidRDefault="006C4AFB" w:rsidP="0083110D">
            <w:pPr>
              <w:spacing w:before="120" w:after="120"/>
              <w:rPr>
                <w:kern w:val="0"/>
              </w:rPr>
            </w:pPr>
            <w:r>
              <w:rPr>
                <w:kern w:val="0"/>
              </w:rPr>
              <w:t>vivo</w:t>
            </w:r>
          </w:p>
        </w:tc>
        <w:tc>
          <w:tcPr>
            <w:tcW w:w="8095" w:type="dxa"/>
          </w:tcPr>
          <w:p w14:paraId="646CA9AB" w14:textId="77777777" w:rsidR="006C4AFB" w:rsidRDefault="006C4AFB" w:rsidP="0083110D">
            <w:pPr>
              <w:spacing w:before="120" w:after="120"/>
              <w:rPr>
                <w:kern w:val="0"/>
              </w:rPr>
            </w:pPr>
            <w:r>
              <w:rPr>
                <w:kern w:val="0"/>
              </w:rPr>
              <w:t>As stated before, we support option 4.</w:t>
            </w:r>
          </w:p>
        </w:tc>
      </w:tr>
      <w:tr w:rsidR="00B6163B" w14:paraId="244DDCAD" w14:textId="77777777" w:rsidTr="000E53A1">
        <w:tc>
          <w:tcPr>
            <w:tcW w:w="1555" w:type="dxa"/>
          </w:tcPr>
          <w:p w14:paraId="67D4D65B"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6B304AA1"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36AC0012"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7F8B767F"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lastRenderedPageBreak/>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11FC21F4" w14:textId="77777777" w:rsidTr="006C4AFB">
        <w:tc>
          <w:tcPr>
            <w:tcW w:w="1555" w:type="dxa"/>
          </w:tcPr>
          <w:p w14:paraId="3873D585" w14:textId="10D68A70"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lastRenderedPageBreak/>
              <w:t>LG Electronics</w:t>
            </w:r>
          </w:p>
        </w:tc>
        <w:tc>
          <w:tcPr>
            <w:tcW w:w="8095" w:type="dxa"/>
          </w:tcPr>
          <w:p w14:paraId="4ED30F3B" w14:textId="1189AAFB"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t>We share the same view with OPPO. In other words, the necessary discussion of down-selection of possible options can be taken under AI 8.11.1.1 in the future meeting.</w:t>
            </w:r>
          </w:p>
        </w:tc>
      </w:tr>
      <w:tr w:rsidR="00936171" w14:paraId="30C4EAE4" w14:textId="77777777" w:rsidTr="006C4AFB">
        <w:tc>
          <w:tcPr>
            <w:tcW w:w="1555" w:type="dxa"/>
          </w:tcPr>
          <w:p w14:paraId="3A05B518" w14:textId="77777777" w:rsidR="00936171" w:rsidRPr="00936171" w:rsidRDefault="00936171" w:rsidP="00936171">
            <w:pPr>
              <w:spacing w:before="120" w:after="120"/>
              <w:rPr>
                <w:rFonts w:ascii="Calibri" w:eastAsia="맑은 고딕" w:hAnsi="Calibri" w:cs="Calibri"/>
                <w:kern w:val="0"/>
                <w:sz w:val="22"/>
                <w:szCs w:val="22"/>
                <w:lang w:eastAsia="ko-KR"/>
              </w:rPr>
            </w:pPr>
          </w:p>
        </w:tc>
        <w:tc>
          <w:tcPr>
            <w:tcW w:w="8095" w:type="dxa"/>
          </w:tcPr>
          <w:p w14:paraId="08013117" w14:textId="77777777" w:rsidR="00936171" w:rsidRPr="00936171" w:rsidRDefault="00936171" w:rsidP="00936171">
            <w:pPr>
              <w:spacing w:before="120" w:after="120"/>
              <w:rPr>
                <w:rFonts w:ascii="Calibri" w:eastAsia="맑은 고딕" w:hAnsi="Calibri" w:cs="Calibri"/>
                <w:kern w:val="0"/>
                <w:sz w:val="22"/>
                <w:szCs w:val="22"/>
                <w:lang w:eastAsia="ko-KR"/>
              </w:rPr>
            </w:pPr>
          </w:p>
        </w:tc>
      </w:tr>
    </w:tbl>
    <w:p w14:paraId="27BDC0BB" w14:textId="77777777" w:rsidR="00E97490" w:rsidRPr="00E97490" w:rsidRDefault="00E97490">
      <w:pPr>
        <w:spacing w:before="120" w:after="120"/>
        <w:rPr>
          <w:kern w:val="0"/>
        </w:rPr>
      </w:pPr>
    </w:p>
    <w:p w14:paraId="359794E9" w14:textId="77777777" w:rsidR="00BB0638" w:rsidRDefault="000B2BA1">
      <w:pPr>
        <w:pStyle w:val="1"/>
        <w:spacing w:before="120" w:after="120"/>
        <w:ind w:left="0"/>
        <w:rPr>
          <w:rFonts w:eastAsia="SimSun"/>
        </w:rPr>
      </w:pPr>
      <w:r>
        <w:rPr>
          <w:rFonts w:eastAsia="SimSun" w:hint="eastAsia"/>
        </w:rPr>
        <w:t>Conclusion</w:t>
      </w:r>
    </w:p>
    <w:p w14:paraId="1338735B"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1"/>
        <w:spacing w:before="120" w:after="120"/>
        <w:ind w:left="0"/>
        <w:rPr>
          <w:rFonts w:eastAsia="SimSun"/>
        </w:rPr>
      </w:pPr>
      <w:r>
        <w:rPr>
          <w:rFonts w:eastAsia="SimSun" w:hint="eastAsia"/>
        </w:rPr>
        <w:t>Reference</w:t>
      </w:r>
      <w:r>
        <w:rPr>
          <w:rFonts w:eastAsia="SimSun"/>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744D8" w14:textId="77777777" w:rsidR="00851BAD" w:rsidRDefault="00851BAD" w:rsidP="009D4D1F">
      <w:pPr>
        <w:spacing w:before="120" w:after="120" w:line="240" w:lineRule="auto"/>
      </w:pPr>
      <w:r>
        <w:separator/>
      </w:r>
    </w:p>
  </w:endnote>
  <w:endnote w:type="continuationSeparator" w:id="0">
    <w:p w14:paraId="5D68FBA6" w14:textId="77777777" w:rsidR="00851BAD" w:rsidRDefault="00851BA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7DA5" w14:textId="77777777" w:rsidR="00731917" w:rsidRDefault="00731917">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7511B59F" w14:textId="11D76922" w:rsidR="00731917" w:rsidRDefault="00731917">
        <w:pPr>
          <w:pStyle w:val="a7"/>
          <w:spacing w:before="120" w:after="120"/>
          <w:jc w:val="center"/>
        </w:pPr>
        <w:r>
          <w:fldChar w:fldCharType="begin"/>
        </w:r>
        <w:r>
          <w:instrText xml:space="preserve"> PAGE   \* MERGEFORMAT </w:instrText>
        </w:r>
        <w:r>
          <w:fldChar w:fldCharType="separate"/>
        </w:r>
        <w:r w:rsidR="00936171">
          <w:rPr>
            <w:noProof/>
          </w:rPr>
          <w:t>8</w:t>
        </w:r>
        <w:r>
          <w:rPr>
            <w:noProof/>
          </w:rPr>
          <w:fldChar w:fldCharType="end"/>
        </w:r>
      </w:p>
    </w:sdtContent>
  </w:sdt>
  <w:p w14:paraId="4371945D" w14:textId="77777777" w:rsidR="00731917" w:rsidRDefault="00731917">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A257" w14:textId="77777777" w:rsidR="00731917" w:rsidRDefault="00731917">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FC998" w14:textId="77777777" w:rsidR="00851BAD" w:rsidRDefault="00851BAD" w:rsidP="009D4D1F">
      <w:pPr>
        <w:spacing w:before="120" w:after="120" w:line="240" w:lineRule="auto"/>
      </w:pPr>
      <w:r>
        <w:separator/>
      </w:r>
    </w:p>
  </w:footnote>
  <w:footnote w:type="continuationSeparator" w:id="0">
    <w:p w14:paraId="48F1A8BF" w14:textId="77777777" w:rsidR="00851BAD" w:rsidRDefault="00851BAD"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AFC8" w14:textId="77777777" w:rsidR="00731917" w:rsidRDefault="00731917">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55EE" w14:textId="77777777" w:rsidR="00731917" w:rsidRDefault="00731917">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6E8E" w14:textId="77777777" w:rsidR="00731917" w:rsidRDefault="00731917">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7023CF"/>
    <w:multiLevelType w:val="hybridMultilevel"/>
    <w:tmpl w:val="AF8059C2"/>
    <w:lvl w:ilvl="0" w:tplc="65B68332">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3">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7"/>
  </w:num>
  <w:num w:numId="3">
    <w:abstractNumId w:val="12"/>
  </w:num>
  <w:num w:numId="4">
    <w:abstractNumId w:val="15"/>
  </w:num>
  <w:num w:numId="5">
    <w:abstractNumId w:val="2"/>
  </w:num>
  <w:num w:numId="6">
    <w:abstractNumId w:val="1"/>
  </w:num>
  <w:num w:numId="7">
    <w:abstractNumId w:val="18"/>
  </w:num>
  <w:num w:numId="8">
    <w:abstractNumId w:val="9"/>
  </w:num>
  <w:num w:numId="9">
    <w:abstractNumId w:val="8"/>
  </w:num>
  <w:num w:numId="10">
    <w:abstractNumId w:val="0"/>
  </w:num>
  <w:num w:numId="11">
    <w:abstractNumId w:val="13"/>
  </w:num>
  <w:num w:numId="12">
    <w:abstractNumId w:val="7"/>
  </w:num>
  <w:num w:numId="13">
    <w:abstractNumId w:val="6"/>
  </w:num>
  <w:num w:numId="14">
    <w:abstractNumId w:val="10"/>
  </w:num>
  <w:num w:numId="15">
    <w:abstractNumId w:val="16"/>
  </w:num>
  <w:num w:numId="16">
    <w:abstractNumId w:val="3"/>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C69EF"/>
    <w:rsid w:val="002D17CE"/>
    <w:rsid w:val="002D2488"/>
    <w:rsid w:val="002D535F"/>
    <w:rsid w:val="002E5075"/>
    <w:rsid w:val="002F60C6"/>
    <w:rsid w:val="00307D72"/>
    <w:rsid w:val="0032166B"/>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51BAD"/>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SimSun"/>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머리글 Char"/>
    <w:basedOn w:val="a0"/>
    <w:link w:val="a8"/>
    <w:semiHidden/>
    <w:qFormat/>
    <w:rsid w:val="00BB0638"/>
    <w:rPr>
      <w:rFonts w:eastAsia="SimSun"/>
      <w:kern w:val="2"/>
      <w:sz w:val="21"/>
    </w:rPr>
  </w:style>
  <w:style w:type="character" w:customStyle="1" w:styleId="Char2">
    <w:name w:val="바닥글 Char"/>
    <w:basedOn w:val="a0"/>
    <w:link w:val="a7"/>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Char1">
    <w:name w:val="풍선 도움말 텍스트 Char"/>
    <w:basedOn w:val="a0"/>
    <w:link w:val="a6"/>
    <w:uiPriority w:val="99"/>
    <w:semiHidden/>
    <w:qFormat/>
    <w:rsid w:val="00BB0638"/>
    <w:rPr>
      <w:kern w:val="2"/>
      <w:sz w:val="18"/>
      <w:szCs w:val="18"/>
    </w:rPr>
  </w:style>
  <w:style w:type="character" w:customStyle="1" w:styleId="Char">
    <w:name w:val="문서 구조 Char"/>
    <w:basedOn w:val="a0"/>
    <w:link w:val="a4"/>
    <w:uiPriority w:val="99"/>
    <w:semiHidden/>
    <w:qFormat/>
    <w:rsid w:val="00BB0638"/>
    <w:rPr>
      <w:rFonts w:ascii="SimSun"/>
      <w:kern w:val="2"/>
      <w:sz w:val="18"/>
      <w:szCs w:val="18"/>
    </w:rPr>
  </w:style>
  <w:style w:type="character" w:customStyle="1" w:styleId="Char0">
    <w:name w:val="메모 텍스트 Char"/>
    <w:basedOn w:val="a0"/>
    <w:link w:val="a5"/>
    <w:uiPriority w:val="99"/>
    <w:qFormat/>
    <w:rsid w:val="00BB0638"/>
    <w:rPr>
      <w:rFonts w:eastAsia="SimSun"/>
      <w:kern w:val="2"/>
      <w:sz w:val="21"/>
    </w:rPr>
  </w:style>
  <w:style w:type="character" w:customStyle="1" w:styleId="Char4">
    <w:name w:val="메모 주제 Char"/>
    <w:basedOn w:val="Char0"/>
    <w:link w:val="ac"/>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제목 4 Char"/>
    <w:basedOn w:val="a0"/>
    <w:link w:val="4"/>
    <w:qFormat/>
    <w:rsid w:val="00BB0638"/>
    <w:rPr>
      <w:rFonts w:ascii="Arial" w:eastAsia="MS Mincho" w:hAnsi="Arial"/>
      <w:kern w:val="2"/>
      <w:sz w:val="24"/>
    </w:rPr>
  </w:style>
  <w:style w:type="character" w:customStyle="1" w:styleId="3Char">
    <w:name w:val="제목 3 Char"/>
    <w:basedOn w:val="a0"/>
    <w:link w:val="3"/>
    <w:qFormat/>
    <w:rsid w:val="00BB0638"/>
    <w:rPr>
      <w:rFonts w:ascii="Arial" w:eastAsia="MS Mincho" w:hAnsi="Arial"/>
      <w:kern w:val="2"/>
      <w:sz w:val="24"/>
    </w:rPr>
  </w:style>
  <w:style w:type="character" w:customStyle="1" w:styleId="2Char">
    <w:name w:val="제목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본문 Char"/>
    <w:basedOn w:val="a0"/>
    <w:link w:val="af4"/>
    <w:rsid w:val="00D545C2"/>
    <w:rPr>
      <w:rFonts w:eastAsia="MS Mincho"/>
    </w:rPr>
  </w:style>
  <w:style w:type="character" w:customStyle="1" w:styleId="6Char">
    <w:name w:val="제목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222E0-1EB5-4434-B9D9-7E4FCDB8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15010</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Seungmin Lee</cp:lastModifiedBy>
  <cp:revision>3</cp:revision>
  <dcterms:created xsi:type="dcterms:W3CDTF">2021-05-24T09:33:00Z</dcterms:created>
  <dcterms:modified xsi:type="dcterms:W3CDTF">2021-05-24T09:34:00Z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