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ＭＳ 明朝"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1"/>
        <w:spacing w:before="120" w:after="120"/>
        <w:ind w:left="0"/>
        <w:rPr>
          <w:rFonts w:eastAsia="SimSun"/>
        </w:rPr>
      </w:pPr>
      <w:r>
        <w:rPr>
          <w:rFonts w:eastAsia="SimSun"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af7"/>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4EDDC78C" w14:textId="77777777" w:rsidR="0057017A" w:rsidRDefault="0057017A" w:rsidP="0057017A">
      <w:pPr>
        <w:pStyle w:val="af7"/>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af7"/>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af2"/>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Qualcomm, the following categorization received support from 3 companies(HW/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5D21262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af2"/>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afa"/>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afa"/>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afa"/>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afa"/>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afa"/>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0BDD2470" w14:textId="77777777" w:rsidTr="006C4AFB">
        <w:tc>
          <w:tcPr>
            <w:tcW w:w="1555" w:type="dxa"/>
          </w:tcPr>
          <w:p w14:paraId="0969AD63" w14:textId="77777777" w:rsidR="006C4AFB" w:rsidRDefault="006C4AFB" w:rsidP="0083110D">
            <w:pPr>
              <w:spacing w:before="120" w:after="120"/>
              <w:rPr>
                <w:kern w:val="0"/>
              </w:rPr>
            </w:pPr>
            <w:r>
              <w:rPr>
                <w:rFonts w:hint="eastAsia"/>
                <w:kern w:val="0"/>
              </w:rPr>
              <w:t>vivo</w:t>
            </w:r>
          </w:p>
        </w:tc>
        <w:tc>
          <w:tcPr>
            <w:tcW w:w="8095" w:type="dxa"/>
          </w:tcPr>
          <w:p w14:paraId="362D5854" w14:textId="77777777" w:rsidR="006C4AFB" w:rsidRDefault="006C4AFB" w:rsidP="0083110D">
            <w:pPr>
              <w:spacing w:before="120" w:after="120"/>
              <w:rPr>
                <w:kern w:val="0"/>
              </w:rPr>
            </w:pPr>
            <w:r>
              <w:rPr>
                <w:kern w:val="0"/>
              </w:rPr>
              <w:t>Support Alt 2 (although we think the word of ‘cannot’ is confusing)</w:t>
            </w:r>
          </w:p>
          <w:p w14:paraId="04A24C30"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61516D5B"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262559CF" w14:textId="77777777" w:rsidTr="000E53A1">
        <w:tc>
          <w:tcPr>
            <w:tcW w:w="1555" w:type="dxa"/>
          </w:tcPr>
          <w:p w14:paraId="108483FA" w14:textId="77777777" w:rsidR="00B6163B" w:rsidRDefault="00B6163B" w:rsidP="000E53A1">
            <w:pPr>
              <w:spacing w:before="120" w:after="120"/>
              <w:rPr>
                <w:kern w:val="0"/>
              </w:rPr>
            </w:pPr>
            <w:r>
              <w:rPr>
                <w:kern w:val="0"/>
              </w:rPr>
              <w:lastRenderedPageBreak/>
              <w:t>NTT DOCOMO</w:t>
            </w:r>
          </w:p>
        </w:tc>
        <w:tc>
          <w:tcPr>
            <w:tcW w:w="8095" w:type="dxa"/>
          </w:tcPr>
          <w:p w14:paraId="46C7B4C8" w14:textId="77777777" w:rsidR="00B6163B" w:rsidRDefault="00B6163B" w:rsidP="000E53A1">
            <w:pPr>
              <w:spacing w:before="120" w:after="120"/>
              <w:rPr>
                <w:rFonts w:eastAsia="ＭＳ 明朝"/>
                <w:kern w:val="0"/>
                <w:lang w:eastAsia="ja-JP"/>
              </w:rPr>
            </w:pPr>
            <w:r>
              <w:rPr>
                <w:rFonts w:eastAsia="ＭＳ 明朝" w:hint="eastAsia"/>
                <w:kern w:val="0"/>
                <w:lang w:eastAsia="ja-JP"/>
              </w:rPr>
              <w:t>S</w:t>
            </w:r>
            <w:r>
              <w:rPr>
                <w:rFonts w:eastAsia="ＭＳ 明朝"/>
                <w:kern w:val="0"/>
                <w:lang w:eastAsia="ja-JP"/>
              </w:rPr>
              <w:t>upport Alt 1.</w:t>
            </w:r>
          </w:p>
          <w:p w14:paraId="766F47E0" w14:textId="77777777" w:rsidR="00B6163B" w:rsidRPr="007876DB" w:rsidRDefault="00B6163B" w:rsidP="000E53A1">
            <w:pPr>
              <w:spacing w:before="120" w:after="120"/>
              <w:rPr>
                <w:rFonts w:eastAsia="ＭＳ 明朝"/>
                <w:kern w:val="0"/>
                <w:lang w:eastAsia="ja-JP"/>
              </w:rPr>
            </w:pPr>
            <w:r>
              <w:rPr>
                <w:rFonts w:eastAsia="ＭＳ 明朝"/>
                <w:kern w:val="0"/>
                <w:lang w:eastAsia="ja-JP"/>
              </w:rPr>
              <w:t>We would like to clarify what is the meaning of ‘DRX active/inactive time’. Is it common understanding that DRX active time is time duration in which UE can perform data reception? That is, the definition is independent to sensing.</w:t>
            </w:r>
          </w:p>
        </w:tc>
      </w:tr>
      <w:tr w:rsidR="00B6163B" w:rsidRPr="008A2B94" w14:paraId="4FC69665" w14:textId="77777777" w:rsidTr="006C4AFB">
        <w:tc>
          <w:tcPr>
            <w:tcW w:w="1555" w:type="dxa"/>
          </w:tcPr>
          <w:p w14:paraId="63F562A5" w14:textId="77777777" w:rsidR="00B6163B" w:rsidRDefault="00B6163B" w:rsidP="0083110D">
            <w:pPr>
              <w:spacing w:before="120" w:after="120"/>
              <w:rPr>
                <w:rFonts w:hint="eastAsia"/>
                <w:kern w:val="0"/>
              </w:rPr>
            </w:pPr>
          </w:p>
        </w:tc>
        <w:tc>
          <w:tcPr>
            <w:tcW w:w="8095" w:type="dxa"/>
          </w:tcPr>
          <w:p w14:paraId="57D63546" w14:textId="77777777" w:rsidR="00B6163B" w:rsidRDefault="00B6163B" w:rsidP="0083110D">
            <w:pPr>
              <w:spacing w:before="120" w:after="120"/>
              <w:rPr>
                <w:kern w:val="0"/>
              </w:rPr>
            </w:pPr>
          </w:p>
        </w:tc>
      </w:tr>
    </w:tbl>
    <w:p w14:paraId="3E59FB89" w14:textId="77777777" w:rsidR="00E97490" w:rsidRPr="006C4AFB" w:rsidRDefault="00E97490">
      <w:pPr>
        <w:spacing w:before="120" w:after="120"/>
        <w:rPr>
          <w:kern w:val="0"/>
          <w:lang w:val="en-SG"/>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2"/>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af7"/>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lastRenderedPageBreak/>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37B5FE5B" w14:textId="77777777" w:rsidTr="006C4AFB">
        <w:tc>
          <w:tcPr>
            <w:tcW w:w="1555" w:type="dxa"/>
          </w:tcPr>
          <w:p w14:paraId="5AF0D6C8" w14:textId="77777777" w:rsidR="006C4AFB" w:rsidRDefault="006C4AFB" w:rsidP="0083110D">
            <w:pPr>
              <w:spacing w:before="120" w:after="120"/>
              <w:rPr>
                <w:kern w:val="0"/>
              </w:rPr>
            </w:pPr>
            <w:r>
              <w:rPr>
                <w:kern w:val="0"/>
              </w:rPr>
              <w:t>vivo</w:t>
            </w:r>
          </w:p>
        </w:tc>
        <w:tc>
          <w:tcPr>
            <w:tcW w:w="8095" w:type="dxa"/>
          </w:tcPr>
          <w:p w14:paraId="646CA9AB" w14:textId="77777777" w:rsidR="006C4AFB" w:rsidRDefault="006C4AFB" w:rsidP="0083110D">
            <w:pPr>
              <w:spacing w:before="120" w:after="120"/>
              <w:rPr>
                <w:kern w:val="0"/>
              </w:rPr>
            </w:pPr>
            <w:r>
              <w:rPr>
                <w:kern w:val="0"/>
              </w:rPr>
              <w:t>As stated before, we support option 4.</w:t>
            </w:r>
          </w:p>
        </w:tc>
      </w:tr>
      <w:tr w:rsidR="00B6163B" w14:paraId="244DDCAD" w14:textId="77777777" w:rsidTr="000E53A1">
        <w:tc>
          <w:tcPr>
            <w:tcW w:w="1555" w:type="dxa"/>
          </w:tcPr>
          <w:p w14:paraId="67D4D65B" w14:textId="77777777" w:rsidR="00B6163B" w:rsidRPr="007876DB" w:rsidRDefault="00B6163B" w:rsidP="000E53A1">
            <w:pPr>
              <w:spacing w:before="120" w:after="120"/>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95" w:type="dxa"/>
          </w:tcPr>
          <w:p w14:paraId="6B304AA1" w14:textId="77777777" w:rsidR="00B6163B" w:rsidRDefault="00B6163B" w:rsidP="000E53A1">
            <w:pPr>
              <w:spacing w:before="120" w:after="120"/>
              <w:rPr>
                <w:rFonts w:eastAsia="ＭＳ 明朝"/>
                <w:kern w:val="0"/>
                <w:lang w:eastAsia="ja-JP"/>
              </w:rPr>
            </w:pPr>
            <w:r>
              <w:rPr>
                <w:rFonts w:eastAsia="ＭＳ 明朝" w:hint="eastAsia"/>
                <w:kern w:val="0"/>
                <w:lang w:eastAsia="ja-JP"/>
              </w:rPr>
              <w:t>S</w:t>
            </w:r>
            <w:r>
              <w:rPr>
                <w:rFonts w:eastAsia="ＭＳ 明朝"/>
                <w:kern w:val="0"/>
                <w:lang w:eastAsia="ja-JP"/>
              </w:rPr>
              <w:t>upport Option 1; otherwise, so many resource collisions occur. Why can we go with this direction (Option 2/3/4) considering resource pool with mixed RA mechanisms?</w:t>
            </w:r>
          </w:p>
          <w:p w14:paraId="36AC0012" w14:textId="77777777" w:rsidR="00B6163B" w:rsidRDefault="00B6163B" w:rsidP="000E53A1">
            <w:pPr>
              <w:spacing w:before="120" w:after="120"/>
              <w:rPr>
                <w:rFonts w:eastAsia="ＭＳ 明朝"/>
                <w:kern w:val="0"/>
                <w:lang w:eastAsia="ja-JP"/>
              </w:rPr>
            </w:pPr>
            <w:r>
              <w:rPr>
                <w:rFonts w:eastAsia="ＭＳ 明朝" w:hint="eastAsia"/>
                <w:kern w:val="0"/>
                <w:lang w:eastAsia="ja-JP"/>
              </w:rPr>
              <w:t>B</w:t>
            </w:r>
            <w:r>
              <w:rPr>
                <w:rFonts w:eastAsia="ＭＳ 明朝"/>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7F8B767F" w14:textId="77777777" w:rsidR="00B6163B" w:rsidRPr="007876DB" w:rsidRDefault="00B6163B" w:rsidP="000E53A1">
            <w:pPr>
              <w:spacing w:before="120" w:after="120"/>
              <w:rPr>
                <w:rFonts w:eastAsia="ＭＳ 明朝"/>
                <w:kern w:val="0"/>
                <w:lang w:eastAsia="ja-JP"/>
              </w:rPr>
            </w:pPr>
            <w:r>
              <w:rPr>
                <w:rFonts w:eastAsia="ＭＳ 明朝" w:hint="eastAsia"/>
                <w:kern w:val="0"/>
                <w:lang w:eastAsia="ja-JP"/>
              </w:rPr>
              <w:t>I</w:t>
            </w:r>
            <w:r>
              <w:rPr>
                <w:rFonts w:eastAsia="ＭＳ 明朝"/>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B6163B" w14:paraId="11FC21F4" w14:textId="77777777" w:rsidTr="006C4AFB">
        <w:tc>
          <w:tcPr>
            <w:tcW w:w="1555" w:type="dxa"/>
          </w:tcPr>
          <w:p w14:paraId="3873D585" w14:textId="77777777" w:rsidR="00B6163B" w:rsidRPr="00B6163B" w:rsidRDefault="00B6163B" w:rsidP="0083110D">
            <w:pPr>
              <w:spacing w:before="120" w:after="120"/>
              <w:rPr>
                <w:kern w:val="0"/>
              </w:rPr>
            </w:pPr>
          </w:p>
        </w:tc>
        <w:tc>
          <w:tcPr>
            <w:tcW w:w="8095" w:type="dxa"/>
          </w:tcPr>
          <w:p w14:paraId="4ED30F3B" w14:textId="77777777" w:rsidR="00B6163B" w:rsidRDefault="00B6163B" w:rsidP="0083110D">
            <w:pPr>
              <w:spacing w:before="120" w:after="120"/>
              <w:rPr>
                <w:kern w:val="0"/>
              </w:rPr>
            </w:pPr>
          </w:p>
        </w:tc>
      </w:tr>
    </w:tbl>
    <w:p w14:paraId="27BDC0BB" w14:textId="77777777" w:rsidR="00E97490" w:rsidRPr="00E97490" w:rsidRDefault="00E97490">
      <w:pPr>
        <w:spacing w:before="120" w:after="120"/>
        <w:rPr>
          <w:kern w:val="0"/>
        </w:rPr>
      </w:pPr>
    </w:p>
    <w:p w14:paraId="359794E9" w14:textId="77777777" w:rsidR="00BB0638" w:rsidRDefault="000B2BA1">
      <w:pPr>
        <w:pStyle w:val="1"/>
        <w:spacing w:before="120" w:after="120"/>
        <w:ind w:left="0"/>
        <w:rPr>
          <w:rFonts w:eastAsia="SimSun"/>
        </w:rPr>
      </w:pPr>
      <w:r>
        <w:rPr>
          <w:rFonts w:eastAsia="SimSun" w:hint="eastAsia"/>
        </w:rPr>
        <w:t>Conclusion</w:t>
      </w:r>
    </w:p>
    <w:p w14:paraId="1338735B"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1"/>
        <w:spacing w:before="120" w:after="120"/>
        <w:ind w:left="0"/>
        <w:rPr>
          <w:rFonts w:eastAsia="SimSun"/>
        </w:rPr>
      </w:pPr>
      <w:r>
        <w:rPr>
          <w:rFonts w:eastAsia="SimSun" w:hint="eastAsia"/>
        </w:rPr>
        <w:t>Reference</w:t>
      </w:r>
      <w:r>
        <w:rPr>
          <w:rFonts w:eastAsia="SimSun"/>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4FBC" w14:textId="77777777" w:rsidR="002C69EF" w:rsidRDefault="002C69EF" w:rsidP="009D4D1F">
      <w:pPr>
        <w:spacing w:before="120" w:after="120" w:line="240" w:lineRule="auto"/>
      </w:pPr>
      <w:r>
        <w:separator/>
      </w:r>
    </w:p>
  </w:endnote>
  <w:endnote w:type="continuationSeparator" w:id="0">
    <w:p w14:paraId="68408DDD" w14:textId="77777777" w:rsidR="002C69EF" w:rsidRDefault="002C69EF"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7DA5"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7511B59F" w14:textId="11D76922" w:rsidR="00731917" w:rsidRDefault="00731917">
        <w:pPr>
          <w:pStyle w:val="aa"/>
          <w:spacing w:before="120" w:after="120"/>
          <w:jc w:val="center"/>
        </w:pPr>
        <w:r>
          <w:fldChar w:fldCharType="begin"/>
        </w:r>
        <w:r>
          <w:instrText xml:space="preserve"> PAGE   \* MERGEFORMAT </w:instrText>
        </w:r>
        <w:r>
          <w:fldChar w:fldCharType="separate"/>
        </w:r>
        <w:r w:rsidR="00FD0405">
          <w:rPr>
            <w:noProof/>
          </w:rPr>
          <w:t>6</w:t>
        </w:r>
        <w:r>
          <w:rPr>
            <w:noProof/>
          </w:rPr>
          <w:fldChar w:fldCharType="end"/>
        </w:r>
      </w:p>
    </w:sdtContent>
  </w:sdt>
  <w:p w14:paraId="4371945D"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A257"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376C" w14:textId="77777777" w:rsidR="002C69EF" w:rsidRDefault="002C69EF" w:rsidP="009D4D1F">
      <w:pPr>
        <w:spacing w:before="120" w:after="120" w:line="240" w:lineRule="auto"/>
      </w:pPr>
      <w:r>
        <w:separator/>
      </w:r>
    </w:p>
  </w:footnote>
  <w:footnote w:type="continuationSeparator" w:id="0">
    <w:p w14:paraId="7DAE9B02" w14:textId="77777777" w:rsidR="002C69EF" w:rsidRDefault="002C69EF"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AFC8"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55EE"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E8E"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C69EF"/>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SimSun"/>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Web">
    <w:name w:val="Normal (Web)"/>
    <w:basedOn w:val="a"/>
    <w:uiPriority w:val="99"/>
    <w:unhideWhenUsed/>
    <w:qFormat/>
    <w:rsid w:val="00BB0638"/>
    <w:pPr>
      <w:spacing w:beforeAutospacing="1" w:afterAutospacing="1"/>
      <w:jc w:val="left"/>
    </w:pPr>
    <w:rPr>
      <w:kern w:val="0"/>
      <w:sz w:val="24"/>
    </w:rPr>
  </w:style>
  <w:style w:type="paragraph" w:styleId="af0">
    <w:name w:val="annotation subject"/>
    <w:basedOn w:val="a6"/>
    <w:next w:val="a6"/>
    <w:link w:val="af1"/>
    <w:uiPriority w:val="99"/>
    <w:semiHidden/>
    <w:unhideWhenUsed/>
    <w:qFormat/>
    <w:rsid w:val="00BB0638"/>
    <w:rPr>
      <w:b/>
      <w:bCs/>
    </w:rPr>
  </w:style>
  <w:style w:type="table" w:styleId="af2">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B0638"/>
    <w:rPr>
      <w:b/>
      <w:bCs/>
    </w:rPr>
  </w:style>
  <w:style w:type="character" w:styleId="af4">
    <w:name w:val="Emphasis"/>
    <w:basedOn w:val="a0"/>
    <w:uiPriority w:val="99"/>
    <w:qFormat/>
    <w:rsid w:val="00BB0638"/>
    <w:rPr>
      <w:i/>
    </w:rPr>
  </w:style>
  <w:style w:type="character" w:styleId="af5">
    <w:name w:val="Hyperlink"/>
    <w:uiPriority w:val="99"/>
    <w:qFormat/>
    <w:rsid w:val="00BB0638"/>
    <w:rPr>
      <w:color w:val="0000FF"/>
      <w:u w:val="single"/>
    </w:rPr>
  </w:style>
  <w:style w:type="character" w:styleId="af6">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7">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8"/>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ヘッダー (文字)"/>
    <w:basedOn w:val="a0"/>
    <w:link w:val="ac"/>
    <w:semiHidden/>
    <w:qFormat/>
    <w:rsid w:val="00BB0638"/>
    <w:rPr>
      <w:rFonts w:eastAsia="SimSun"/>
      <w:kern w:val="2"/>
      <w:sz w:val="21"/>
    </w:rPr>
  </w:style>
  <w:style w:type="character" w:customStyle="1" w:styleId="ab">
    <w:name w:val="フッター (文字)"/>
    <w:basedOn w:val="a0"/>
    <w:link w:val="aa"/>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a9">
    <w:name w:val="吹き出し (文字)"/>
    <w:basedOn w:val="a0"/>
    <w:link w:val="a8"/>
    <w:uiPriority w:val="99"/>
    <w:semiHidden/>
    <w:qFormat/>
    <w:rsid w:val="00BB0638"/>
    <w:rPr>
      <w:kern w:val="2"/>
      <w:sz w:val="18"/>
      <w:szCs w:val="18"/>
    </w:rPr>
  </w:style>
  <w:style w:type="character" w:customStyle="1" w:styleId="a5">
    <w:name w:val="見出しマップ (文字)"/>
    <w:basedOn w:val="a0"/>
    <w:link w:val="a4"/>
    <w:uiPriority w:val="99"/>
    <w:semiHidden/>
    <w:qFormat/>
    <w:rsid w:val="00BB0638"/>
    <w:rPr>
      <w:rFonts w:ascii="SimSun"/>
      <w:kern w:val="2"/>
      <w:sz w:val="18"/>
      <w:szCs w:val="18"/>
    </w:rPr>
  </w:style>
  <w:style w:type="character" w:customStyle="1" w:styleId="a7">
    <w:name w:val="コメント文字列 (文字)"/>
    <w:basedOn w:val="a0"/>
    <w:link w:val="a6"/>
    <w:uiPriority w:val="99"/>
    <w:qFormat/>
    <w:rsid w:val="00BB0638"/>
    <w:rPr>
      <w:rFonts w:eastAsia="SimSun"/>
      <w:kern w:val="2"/>
      <w:sz w:val="21"/>
    </w:rPr>
  </w:style>
  <w:style w:type="character" w:customStyle="1" w:styleId="af1">
    <w:name w:val="コメント内容 (文字)"/>
    <w:basedOn w:val="a7"/>
    <w:link w:val="af0"/>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9">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見出し 4 (文字)"/>
    <w:basedOn w:val="a0"/>
    <w:link w:val="4"/>
    <w:qFormat/>
    <w:rsid w:val="00BB0638"/>
    <w:rPr>
      <w:rFonts w:ascii="Arial" w:eastAsia="ＭＳ 明朝" w:hAnsi="Arial"/>
      <w:kern w:val="2"/>
      <w:sz w:val="24"/>
    </w:rPr>
  </w:style>
  <w:style w:type="character" w:customStyle="1" w:styleId="30">
    <w:name w:val="見出し 3 (文字)"/>
    <w:basedOn w:val="a0"/>
    <w:link w:val="3"/>
    <w:qFormat/>
    <w:rsid w:val="00BB0638"/>
    <w:rPr>
      <w:rFonts w:ascii="Arial" w:eastAsia="ＭＳ 明朝" w:hAnsi="Arial"/>
      <w:kern w:val="2"/>
      <w:sz w:val="24"/>
    </w:rPr>
  </w:style>
  <w:style w:type="character" w:customStyle="1" w:styleId="20">
    <w:name w:val="見出し 2 (文字)"/>
    <w:basedOn w:val="a0"/>
    <w:link w:val="2"/>
    <w:qFormat/>
    <w:rsid w:val="00BB0638"/>
    <w:rPr>
      <w:rFonts w:ascii="Arial" w:eastAsia="ＭＳ 明朝"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a">
    <w:name w:val="Body Text"/>
    <w:basedOn w:val="a"/>
    <w:link w:val="afb"/>
    <w:unhideWhenUsed/>
    <w:rsid w:val="00D545C2"/>
    <w:pPr>
      <w:overflowPunct w:val="0"/>
      <w:autoSpaceDE w:val="0"/>
      <w:autoSpaceDN w:val="0"/>
      <w:adjustRightInd w:val="0"/>
      <w:spacing w:beforeLines="0" w:afterLines="0" w:line="256" w:lineRule="auto"/>
      <w:jc w:val="left"/>
    </w:pPr>
    <w:rPr>
      <w:rFonts w:eastAsia="ＭＳ 明朝"/>
      <w:kern w:val="0"/>
      <w:sz w:val="20"/>
    </w:rPr>
  </w:style>
  <w:style w:type="character" w:customStyle="1" w:styleId="afb">
    <w:name w:val="本文 (文字)"/>
    <w:basedOn w:val="a0"/>
    <w:link w:val="afa"/>
    <w:rsid w:val="00D545C2"/>
    <w:rPr>
      <w:rFonts w:eastAsia="ＭＳ 明朝"/>
    </w:rPr>
  </w:style>
  <w:style w:type="character" w:customStyle="1" w:styleId="60">
    <w:name w:val="見出し 6 (文字)"/>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8">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7"/>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79CECB-1F00-4AC5-942E-84800AF2E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2454</Words>
  <Characters>13991</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Shohei Yoshioka</cp:lastModifiedBy>
  <cp:revision>3</cp:revision>
  <dcterms:created xsi:type="dcterms:W3CDTF">2021-05-24T08:45:00Z</dcterms:created>
  <dcterms:modified xsi:type="dcterms:W3CDTF">2021-05-24T08:51:00Z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