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1"/>
        <w:spacing w:before="120" w:after="120"/>
        <w:ind w:left="0"/>
        <w:rPr>
          <w:rFonts w:eastAsia="宋体"/>
        </w:rPr>
      </w:pPr>
      <w:r>
        <w:rPr>
          <w:rFonts w:eastAsia="宋体"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4EDDC78C" w14:textId="77777777"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Qualcomm, the following categorization received support from 3 companies(HW/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5D21262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af3"/>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afb"/>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17A8E6A0" w14:textId="77777777" w:rsidTr="00192B3A">
        <w:tc>
          <w:tcPr>
            <w:tcW w:w="1555" w:type="dxa"/>
          </w:tcPr>
          <w:p w14:paraId="598E256A" w14:textId="5D608027" w:rsidR="00B21B99" w:rsidRDefault="00B21B99" w:rsidP="00FD0405">
            <w:pPr>
              <w:spacing w:before="120" w:after="120"/>
              <w:rPr>
                <w:kern w:val="0"/>
              </w:rPr>
            </w:pPr>
            <w:r>
              <w:rPr>
                <w:rFonts w:hint="eastAsia"/>
                <w:kern w:val="0"/>
              </w:rPr>
              <w:t>F</w:t>
            </w:r>
            <w:r>
              <w:rPr>
                <w:kern w:val="0"/>
              </w:rPr>
              <w:t>ujitsu</w:t>
            </w:r>
          </w:p>
        </w:tc>
        <w:tc>
          <w:tcPr>
            <w:tcW w:w="8095" w:type="dxa"/>
          </w:tcPr>
          <w:p w14:paraId="1CA2213D" w14:textId="0488F9A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12E1D0AB"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3D3E3CA2" w14:textId="7C0EE9BD"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0BDD2470" w14:textId="77777777" w:rsidTr="006C4AFB">
        <w:tc>
          <w:tcPr>
            <w:tcW w:w="1555" w:type="dxa"/>
          </w:tcPr>
          <w:p w14:paraId="0969AD63" w14:textId="77777777" w:rsidR="006C4AFB" w:rsidRDefault="006C4AFB" w:rsidP="0083110D">
            <w:pPr>
              <w:spacing w:before="120" w:after="120"/>
              <w:rPr>
                <w:kern w:val="0"/>
              </w:rPr>
            </w:pPr>
            <w:r>
              <w:rPr>
                <w:rFonts w:hint="eastAsia"/>
                <w:kern w:val="0"/>
              </w:rPr>
              <w:t>vivo</w:t>
            </w:r>
          </w:p>
        </w:tc>
        <w:tc>
          <w:tcPr>
            <w:tcW w:w="8095" w:type="dxa"/>
          </w:tcPr>
          <w:p w14:paraId="362D5854" w14:textId="77777777" w:rsidR="006C4AFB" w:rsidRDefault="006C4AFB" w:rsidP="0083110D">
            <w:pPr>
              <w:spacing w:before="120" w:after="120"/>
              <w:rPr>
                <w:kern w:val="0"/>
              </w:rPr>
            </w:pPr>
            <w:r>
              <w:rPr>
                <w:kern w:val="0"/>
              </w:rPr>
              <w:t>Support Alt 2 (although we think the word of ‘cannot’ is confusing)</w:t>
            </w:r>
          </w:p>
          <w:p w14:paraId="04A24C30"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61516D5B"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bl>
    <w:p w14:paraId="3E59FB89" w14:textId="77777777" w:rsidR="00E97490" w:rsidRPr="006C4AFB" w:rsidRDefault="00E97490">
      <w:pPr>
        <w:spacing w:before="120" w:after="120"/>
        <w:rPr>
          <w:kern w:val="0"/>
          <w:lang w:val="en-SG"/>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5EE00390" w14:textId="77777777" w:rsidTr="00192B3A">
        <w:tc>
          <w:tcPr>
            <w:tcW w:w="1555" w:type="dxa"/>
          </w:tcPr>
          <w:p w14:paraId="79EE04E2" w14:textId="313D37EB" w:rsidR="00B21B99" w:rsidRDefault="00B21B99" w:rsidP="00B21B99">
            <w:pPr>
              <w:spacing w:before="120" w:after="120"/>
              <w:rPr>
                <w:kern w:val="0"/>
              </w:rPr>
            </w:pPr>
            <w:r>
              <w:rPr>
                <w:rFonts w:hint="eastAsia"/>
                <w:kern w:val="0"/>
              </w:rPr>
              <w:t>F</w:t>
            </w:r>
            <w:r>
              <w:rPr>
                <w:kern w:val="0"/>
              </w:rPr>
              <w:t>ujitsu</w:t>
            </w:r>
          </w:p>
        </w:tc>
        <w:tc>
          <w:tcPr>
            <w:tcW w:w="8095" w:type="dxa"/>
          </w:tcPr>
          <w:p w14:paraId="6F54CDA2" w14:textId="72397B88" w:rsidR="00B21B99" w:rsidRDefault="00B21B99" w:rsidP="00B21B99">
            <w:pPr>
              <w:spacing w:before="120" w:after="120"/>
              <w:rPr>
                <w:kern w:val="0"/>
              </w:rPr>
            </w:pPr>
            <w:r>
              <w:rPr>
                <w:kern w:val="0"/>
              </w:rPr>
              <w:t>We support option 2.</w:t>
            </w:r>
          </w:p>
          <w:p w14:paraId="2361A8F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749C52AA" w14:textId="77777777" w:rsidR="00B21B99" w:rsidRDefault="00B21B99" w:rsidP="00B21B99">
            <w:pPr>
              <w:spacing w:before="120" w:after="120"/>
              <w:rPr>
                <w:sz w:val="20"/>
              </w:rPr>
            </w:pPr>
            <w:r>
              <w:rPr>
                <w:kern w:val="0"/>
              </w:rPr>
              <w:lastRenderedPageBreak/>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4A457457"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3B3E44BE" w14:textId="6228DCE8"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37B5FE5B" w14:textId="77777777" w:rsidTr="006C4AFB">
        <w:tc>
          <w:tcPr>
            <w:tcW w:w="1555" w:type="dxa"/>
          </w:tcPr>
          <w:p w14:paraId="5AF0D6C8" w14:textId="77777777" w:rsidR="006C4AFB" w:rsidRDefault="006C4AFB" w:rsidP="0083110D">
            <w:pPr>
              <w:spacing w:before="120" w:after="120"/>
              <w:rPr>
                <w:kern w:val="0"/>
              </w:rPr>
            </w:pPr>
            <w:r>
              <w:rPr>
                <w:kern w:val="0"/>
              </w:rPr>
              <w:lastRenderedPageBreak/>
              <w:t>vivo</w:t>
            </w:r>
          </w:p>
        </w:tc>
        <w:tc>
          <w:tcPr>
            <w:tcW w:w="8095" w:type="dxa"/>
          </w:tcPr>
          <w:p w14:paraId="646CA9AB" w14:textId="77777777" w:rsidR="006C4AFB" w:rsidRDefault="006C4AFB" w:rsidP="0083110D">
            <w:pPr>
              <w:spacing w:before="120" w:after="120"/>
              <w:rPr>
                <w:kern w:val="0"/>
              </w:rPr>
            </w:pPr>
            <w:r>
              <w:rPr>
                <w:kern w:val="0"/>
              </w:rPr>
              <w:t>As stated before, we support option 4.</w:t>
            </w:r>
          </w:p>
        </w:tc>
      </w:tr>
    </w:tbl>
    <w:p w14:paraId="27BDC0BB" w14:textId="77777777" w:rsidR="00E97490" w:rsidRPr="00E97490" w:rsidRDefault="00E97490">
      <w:pPr>
        <w:spacing w:before="120" w:after="120"/>
        <w:rPr>
          <w:kern w:val="0"/>
        </w:rPr>
      </w:pPr>
      <w:bookmarkStart w:id="11" w:name="_GoBack"/>
      <w:bookmarkEnd w:id="11"/>
    </w:p>
    <w:p w14:paraId="359794E9" w14:textId="77777777" w:rsidR="00BB0638" w:rsidRDefault="000B2BA1">
      <w:pPr>
        <w:pStyle w:val="1"/>
        <w:spacing w:before="120" w:after="120"/>
        <w:ind w:left="0"/>
        <w:rPr>
          <w:rFonts w:eastAsia="宋体"/>
        </w:rPr>
      </w:pPr>
      <w:r>
        <w:rPr>
          <w:rFonts w:eastAsia="宋体" w:hint="eastAsia"/>
        </w:rPr>
        <w:t>Conclusion</w:t>
      </w:r>
    </w:p>
    <w:p w14:paraId="1338735B"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BFE8" w14:textId="77777777" w:rsidR="000E20C8" w:rsidRDefault="000E20C8" w:rsidP="009D4D1F">
      <w:pPr>
        <w:spacing w:before="120" w:after="120" w:line="240" w:lineRule="auto"/>
      </w:pPr>
      <w:r>
        <w:separator/>
      </w:r>
    </w:p>
  </w:endnote>
  <w:endnote w:type="continuationSeparator" w:id="0">
    <w:p w14:paraId="0A69885B" w14:textId="77777777" w:rsidR="000E20C8" w:rsidRDefault="000E20C8"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7DA5" w14:textId="77777777"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056"/>
    </w:sdtPr>
    <w:sdtEndPr/>
    <w:sdtContent>
      <w:p w14:paraId="7511B59F" w14:textId="11D76922" w:rsidR="00731917" w:rsidRDefault="00731917">
        <w:pPr>
          <w:pStyle w:val="aa"/>
          <w:spacing w:before="120" w:after="120"/>
          <w:jc w:val="center"/>
        </w:pPr>
        <w:r>
          <w:fldChar w:fldCharType="begin"/>
        </w:r>
        <w:r>
          <w:instrText xml:space="preserve"> PAGE   \* MERGEFORMAT </w:instrText>
        </w:r>
        <w:r>
          <w:fldChar w:fldCharType="separate"/>
        </w:r>
        <w:r w:rsidR="00FD0405">
          <w:rPr>
            <w:noProof/>
          </w:rPr>
          <w:t>6</w:t>
        </w:r>
        <w:r>
          <w:rPr>
            <w:noProof/>
          </w:rPr>
          <w:fldChar w:fldCharType="end"/>
        </w:r>
      </w:p>
    </w:sdtContent>
  </w:sdt>
  <w:p w14:paraId="4371945D" w14:textId="77777777"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9A257" w14:textId="77777777"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B892" w14:textId="77777777" w:rsidR="000E20C8" w:rsidRDefault="000E20C8" w:rsidP="009D4D1F">
      <w:pPr>
        <w:spacing w:before="120" w:after="120" w:line="240" w:lineRule="auto"/>
      </w:pPr>
      <w:r>
        <w:separator/>
      </w:r>
    </w:p>
  </w:footnote>
  <w:footnote w:type="continuationSeparator" w:id="0">
    <w:p w14:paraId="6C3F6D14" w14:textId="77777777" w:rsidR="000E20C8" w:rsidRDefault="000E20C8"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AFC8" w14:textId="77777777"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55EE" w14:textId="77777777"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6E8E" w14:textId="77777777"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9CECB-1F00-4AC5-942E-84800AF2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13214</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Zichao Ji, vivo</cp:lastModifiedBy>
  <cp:revision>2</cp:revision>
  <dcterms:created xsi:type="dcterms:W3CDTF">2021-05-24T08:45:00Z</dcterms:created>
  <dcterms:modified xsi:type="dcterms:W3CDTF">2021-05-24T08:45:00Z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