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1"/>
        <w:spacing w:before="120" w:after="120"/>
        <w:ind w:left="0"/>
        <w:rPr>
          <w:rFonts w:eastAsia="宋体"/>
        </w:rPr>
      </w:pPr>
      <w:r>
        <w:rPr>
          <w:rFonts w:eastAsia="宋体"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4EDDC78C" w14:textId="77777777"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2D3D288B" w14:textId="77777777"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ZTE, Sanechips</w:t>
            </w:r>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14:paraId="5D21262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(Futurewei)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45A1ECCF"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af3"/>
        <w:tblW w:w="0" w:type="auto"/>
        <w:tblLook w:val="04A0" w:firstRow="1" w:lastRow="0" w:firstColumn="1" w:lastColumn="0" w:noHBand="0" w:noVBand="1"/>
      </w:tblPr>
      <w:tblGrid>
        <w:gridCol w:w="1555"/>
        <w:gridCol w:w="8095"/>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146F4E2"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In our view, if sensing cannot performed out of DRX active time, there will be the following issues:</w:t>
            </w:r>
          </w:p>
          <w:p w14:paraId="1B1231D1"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44418914" w14:textId="77777777" w:rsidR="006D4CD1" w:rsidRDefault="006D4CD1" w:rsidP="006D4CD1">
            <w:pPr>
              <w:pStyle w:val="afb"/>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662718D" w14:textId="77777777" w:rsidTr="00192B3A">
        <w:tc>
          <w:tcPr>
            <w:tcW w:w="1555" w:type="dxa"/>
          </w:tcPr>
          <w:p w14:paraId="0249764C" w14:textId="63011DD3" w:rsidR="00FD0405" w:rsidRDefault="00FD0405" w:rsidP="00FD0405">
            <w:pPr>
              <w:spacing w:before="120" w:after="120"/>
              <w:rPr>
                <w:kern w:val="0"/>
              </w:rPr>
            </w:pPr>
            <w:r>
              <w:rPr>
                <w:rFonts w:hint="eastAsia"/>
                <w:kern w:val="0"/>
              </w:rPr>
              <w:t>Xiaomi</w:t>
            </w:r>
          </w:p>
        </w:tc>
        <w:tc>
          <w:tcPr>
            <w:tcW w:w="8095" w:type="dxa"/>
          </w:tcPr>
          <w:p w14:paraId="3CE2247C"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574BEA25" w14:textId="1A7A6F08"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17A8E6A0" w14:textId="77777777" w:rsidTr="00192B3A">
        <w:tc>
          <w:tcPr>
            <w:tcW w:w="1555" w:type="dxa"/>
          </w:tcPr>
          <w:p w14:paraId="598E256A" w14:textId="5D608027" w:rsidR="00B21B99" w:rsidRDefault="00B21B99" w:rsidP="00FD0405">
            <w:pPr>
              <w:spacing w:before="120" w:after="120"/>
              <w:rPr>
                <w:rFonts w:hint="eastAsia"/>
                <w:kern w:val="0"/>
              </w:rPr>
            </w:pPr>
            <w:r>
              <w:rPr>
                <w:rFonts w:hint="eastAsia"/>
                <w:kern w:val="0"/>
              </w:rPr>
              <w:t>F</w:t>
            </w:r>
            <w:r>
              <w:rPr>
                <w:kern w:val="0"/>
              </w:rPr>
              <w:t>ujitsu</w:t>
            </w:r>
          </w:p>
        </w:tc>
        <w:tc>
          <w:tcPr>
            <w:tcW w:w="8095" w:type="dxa"/>
          </w:tcPr>
          <w:p w14:paraId="1CA2213D" w14:textId="0488F9A7" w:rsidR="00B21B99" w:rsidRDefault="00B21B99" w:rsidP="00B21B99">
            <w:pPr>
              <w:spacing w:before="120" w:after="120"/>
              <w:rPr>
                <w:sz w:val="20"/>
              </w:rPr>
            </w:pPr>
            <w:r>
              <w:rPr>
                <w:kern w:val="0"/>
              </w:rPr>
              <w:t>We s</w:t>
            </w:r>
            <w:r>
              <w:rPr>
                <w:rFonts w:hint="eastAsia"/>
                <w:kern w:val="0"/>
              </w:rPr>
              <w:t>upport</w:t>
            </w:r>
            <w:r>
              <w:rPr>
                <w:sz w:val="20"/>
              </w:rPr>
              <w:t xml:space="preserve"> </w:t>
            </w:r>
            <w:r>
              <w:rPr>
                <w:sz w:val="20"/>
              </w:rPr>
              <w:t xml:space="preserve">Alt 1. </w:t>
            </w:r>
          </w:p>
          <w:p w14:paraId="12E1D0AB"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3D3E3CA2" w14:textId="7C0EE9BD" w:rsidR="00B21B99" w:rsidRDefault="00B21B99" w:rsidP="00B21B99">
            <w:pPr>
              <w:spacing w:before="120" w:after="120"/>
              <w:rPr>
                <w:rFonts w:hint="eastAsia"/>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bl>
    <w:p w14:paraId="3E59FB89" w14:textId="77777777" w:rsidR="00E97490" w:rsidRDefault="00E97490">
      <w:pPr>
        <w:spacing w:before="120" w:after="120"/>
        <w:rPr>
          <w:kern w:val="0"/>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555"/>
        <w:gridCol w:w="8095"/>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Malgun Gothic" w:hint="eastAsia"/>
                <w:kern w:val="0"/>
                <w:lang w:eastAsia="ko-KR"/>
              </w:rPr>
              <w:lastRenderedPageBreak/>
              <w:t>S</w:t>
            </w:r>
            <w:r>
              <w:rPr>
                <w:rFonts w:eastAsia="Malgun Gothic"/>
                <w:kern w:val="0"/>
                <w:lang w:eastAsia="ko-KR"/>
              </w:rPr>
              <w:t>amsung</w:t>
            </w:r>
          </w:p>
        </w:tc>
        <w:tc>
          <w:tcPr>
            <w:tcW w:w="8095" w:type="dxa"/>
          </w:tcPr>
          <w:p w14:paraId="102341E5"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07C850B7" w14:textId="77777777" w:rsidR="003B31EC" w:rsidRDefault="003B31EC" w:rsidP="003B31EC">
            <w:pPr>
              <w:spacing w:before="120" w:after="120"/>
              <w:rPr>
                <w:sz w:val="20"/>
              </w:rPr>
            </w:pPr>
            <w:bookmarkStart w:id="8"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5037C7D1" w14:textId="77777777" w:rsidTr="00192B3A">
        <w:tc>
          <w:tcPr>
            <w:tcW w:w="1555" w:type="dxa"/>
          </w:tcPr>
          <w:p w14:paraId="4CE119BE" w14:textId="760EEDD1" w:rsidR="00FD0405" w:rsidRDefault="00FD0405" w:rsidP="00FD0405">
            <w:pPr>
              <w:spacing w:before="120" w:after="120"/>
              <w:rPr>
                <w:kern w:val="0"/>
              </w:rPr>
            </w:pPr>
            <w:r>
              <w:rPr>
                <w:rFonts w:hint="eastAsia"/>
                <w:kern w:val="0"/>
              </w:rPr>
              <w:t>Xiaomi</w:t>
            </w:r>
          </w:p>
        </w:tc>
        <w:tc>
          <w:tcPr>
            <w:tcW w:w="8095" w:type="dxa"/>
          </w:tcPr>
          <w:p w14:paraId="72A572F3" w14:textId="35C6685B"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5EE00390" w14:textId="77777777" w:rsidTr="00192B3A">
        <w:tc>
          <w:tcPr>
            <w:tcW w:w="1555" w:type="dxa"/>
          </w:tcPr>
          <w:p w14:paraId="79EE04E2" w14:textId="313D37EB" w:rsidR="00B21B99" w:rsidRDefault="00B21B99" w:rsidP="00B21B99">
            <w:pPr>
              <w:spacing w:before="120" w:after="120"/>
              <w:rPr>
                <w:rFonts w:hint="eastAsia"/>
                <w:kern w:val="0"/>
              </w:rPr>
            </w:pPr>
            <w:r>
              <w:rPr>
                <w:rFonts w:hint="eastAsia"/>
                <w:kern w:val="0"/>
              </w:rPr>
              <w:t>F</w:t>
            </w:r>
            <w:r>
              <w:rPr>
                <w:kern w:val="0"/>
              </w:rPr>
              <w:t>ujitsu</w:t>
            </w:r>
          </w:p>
        </w:tc>
        <w:tc>
          <w:tcPr>
            <w:tcW w:w="8095" w:type="dxa"/>
          </w:tcPr>
          <w:p w14:paraId="6F54CDA2" w14:textId="72397B88" w:rsidR="00B21B99" w:rsidRDefault="00B21B99" w:rsidP="00B21B99">
            <w:pPr>
              <w:spacing w:before="120" w:after="120"/>
              <w:rPr>
                <w:kern w:val="0"/>
              </w:rPr>
            </w:pPr>
            <w:r>
              <w:rPr>
                <w:kern w:val="0"/>
              </w:rPr>
              <w:t>We support o</w:t>
            </w:r>
            <w:r>
              <w:rPr>
                <w:kern w:val="0"/>
              </w:rPr>
              <w:t>ption 2.</w:t>
            </w:r>
          </w:p>
          <w:p w14:paraId="2361A8F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749C52AA"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4A457457" w14:textId="77777777" w:rsidR="00B21B99" w:rsidRDefault="00B21B99" w:rsidP="00B21B99">
            <w:pPr>
              <w:spacing w:before="120" w:after="120"/>
              <w:rPr>
                <w:kern w:val="0"/>
              </w:rPr>
            </w:pPr>
            <w:r>
              <w:rPr>
                <w:kern w:val="0"/>
              </w:rPr>
              <w:lastRenderedPageBreak/>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3B3E44BE" w14:textId="6228DCE8" w:rsidR="00B21B99" w:rsidRDefault="00B21B99" w:rsidP="00B21B99">
            <w:pPr>
              <w:spacing w:before="120" w:after="120"/>
              <w:rPr>
                <w:rFonts w:hint="eastAsia"/>
                <w:kern w:val="0"/>
              </w:rPr>
            </w:pPr>
            <w:r>
              <w:rPr>
                <w:rFonts w:hint="eastAsia"/>
                <w:kern w:val="0"/>
              </w:rPr>
              <w:t>W</w:t>
            </w:r>
            <w:r>
              <w:rPr>
                <w:kern w:val="0"/>
              </w:rPr>
              <w:t>e can also accept the proposal from OPPO that to postpone this detailed discussion in RAN1.</w:t>
            </w:r>
          </w:p>
        </w:tc>
      </w:tr>
    </w:tbl>
    <w:p w14:paraId="27BDC0BB" w14:textId="77777777" w:rsidR="00E97490" w:rsidRPr="00E97490" w:rsidRDefault="00E97490">
      <w:pPr>
        <w:spacing w:before="120" w:after="120"/>
        <w:rPr>
          <w:kern w:val="0"/>
        </w:rPr>
      </w:pPr>
    </w:p>
    <w:p w14:paraId="359794E9" w14:textId="77777777" w:rsidR="00BB0638" w:rsidRDefault="000B2BA1">
      <w:pPr>
        <w:pStyle w:val="1"/>
        <w:spacing w:before="120" w:after="120"/>
        <w:ind w:left="0"/>
        <w:rPr>
          <w:rFonts w:eastAsia="宋体"/>
        </w:rPr>
      </w:pPr>
      <w:r>
        <w:rPr>
          <w:rFonts w:eastAsia="宋体" w:hint="eastAsia"/>
        </w:rPr>
        <w:t>Conclusion</w:t>
      </w:r>
    </w:p>
    <w:p w14:paraId="1338735B"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A550" w14:textId="77777777" w:rsidR="00023F7A" w:rsidRDefault="00023F7A" w:rsidP="009D4D1F">
      <w:pPr>
        <w:spacing w:before="120" w:after="120" w:line="240" w:lineRule="auto"/>
      </w:pPr>
      <w:r>
        <w:separator/>
      </w:r>
    </w:p>
  </w:endnote>
  <w:endnote w:type="continuationSeparator" w:id="0">
    <w:p w14:paraId="7B748BDC" w14:textId="77777777" w:rsidR="00023F7A" w:rsidRDefault="00023F7A"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ºÚÌå"/>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7DA5" w14:textId="77777777"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7511B59F" w14:textId="11D76922" w:rsidR="00731917" w:rsidRDefault="00731917">
        <w:pPr>
          <w:pStyle w:val="aa"/>
          <w:spacing w:before="120" w:after="120"/>
          <w:jc w:val="center"/>
        </w:pPr>
        <w:r>
          <w:fldChar w:fldCharType="begin"/>
        </w:r>
        <w:r>
          <w:instrText xml:space="preserve"> PAGE   \* MERGEFORMAT </w:instrText>
        </w:r>
        <w:r>
          <w:fldChar w:fldCharType="separate"/>
        </w:r>
        <w:r w:rsidR="00FD0405">
          <w:rPr>
            <w:noProof/>
          </w:rPr>
          <w:t>6</w:t>
        </w:r>
        <w:r>
          <w:rPr>
            <w:noProof/>
          </w:rPr>
          <w:fldChar w:fldCharType="end"/>
        </w:r>
      </w:p>
    </w:sdtContent>
  </w:sdt>
  <w:p w14:paraId="4371945D" w14:textId="77777777"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A257" w14:textId="77777777"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C943" w14:textId="77777777" w:rsidR="00023F7A" w:rsidRDefault="00023F7A" w:rsidP="009D4D1F">
      <w:pPr>
        <w:spacing w:before="120" w:after="120" w:line="240" w:lineRule="auto"/>
      </w:pPr>
      <w:r>
        <w:separator/>
      </w:r>
    </w:p>
  </w:footnote>
  <w:footnote w:type="continuationSeparator" w:id="0">
    <w:p w14:paraId="6EF808B0" w14:textId="77777777" w:rsidR="00023F7A" w:rsidRDefault="00023F7A"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AFC8" w14:textId="77777777"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55EE" w14:textId="77777777"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6E8E" w14:textId="77777777"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D4CD1"/>
    <w:rsid w:val="006E0001"/>
    <w:rsid w:val="006E07F5"/>
    <w:rsid w:val="006E2948"/>
    <w:rsid w:val="00713289"/>
    <w:rsid w:val="007274EB"/>
    <w:rsid w:val="00731917"/>
    <w:rsid w:val="00735D0D"/>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1B99"/>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D7E0E"/>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TOC3">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TOC1">
    <w:name w:val="toc 1"/>
    <w:basedOn w:val="a"/>
    <w:next w:val="a"/>
    <w:uiPriority w:val="39"/>
    <w:unhideWhenUsed/>
    <w:qFormat/>
    <w:rsid w:val="00BB0638"/>
    <w:rPr>
      <w:rFonts w:eastAsiaTheme="minorEastAsia"/>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TOC2">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0">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2C5361-858D-4638-9167-88BB0588B6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2243</Words>
  <Characters>12790</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Ji, Pengyu/纪 鹏宇</cp:lastModifiedBy>
  <cp:revision>3</cp:revision>
  <dcterms:created xsi:type="dcterms:W3CDTF">2021-05-24T07:44:00Z</dcterms:created>
  <dcterms:modified xsi:type="dcterms:W3CDTF">2021-05-24T08:32:00Z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