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SimSun"/>
        </w:rPr>
      </w:pPr>
      <w:r>
        <w:rPr>
          <w:rFonts w:eastAsia="SimSun" w:hint="eastAsia"/>
        </w:rPr>
        <w:t>Introduction</w:t>
      </w:r>
    </w:p>
    <w:p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rsidR="00E97490" w:rsidRPr="00E97490" w:rsidRDefault="00E97490" w:rsidP="00E97490">
      <w:pPr>
        <w:pStyle w:val="2"/>
        <w:spacing w:before="120" w:after="120"/>
        <w:ind w:right="210"/>
      </w:pPr>
      <w:r w:rsidRPr="00E97490">
        <w:rPr>
          <w:rFonts w:hint="eastAsia"/>
        </w:rPr>
        <w:t>R</w:t>
      </w:r>
      <w:r w:rsidRPr="00E97490">
        <w:t>ound 1 discussion</w:t>
      </w:r>
    </w:p>
    <w:p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rsidR="0057017A" w:rsidRPr="00230691" w:rsidRDefault="0057017A" w:rsidP="0057017A">
      <w:pPr>
        <w:pStyle w:val="af2"/>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rsidR="0057017A" w:rsidRDefault="0057017A" w:rsidP="0057017A">
      <w:pPr>
        <w:pStyle w:val="af2"/>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rsidR="00220F73" w:rsidRPr="00230691" w:rsidRDefault="00220F73" w:rsidP="0057017A">
      <w:pPr>
        <w:pStyle w:val="af2"/>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ad"/>
        <w:tblW w:w="0" w:type="auto"/>
        <w:tblLook w:val="04A0" w:firstRow="1" w:lastRow="0" w:firstColumn="1" w:lastColumn="0" w:noHBand="0" w:noVBand="1"/>
      </w:tblPr>
      <w:tblGrid>
        <w:gridCol w:w="4794"/>
        <w:gridCol w:w="4856"/>
      </w:tblGrid>
      <w:tr w:rsidR="00230691" w:rsidTr="00230691">
        <w:tc>
          <w:tcPr>
            <w:tcW w:w="4938" w:type="dxa"/>
          </w:tcPr>
          <w:p w:rsidR="00230691" w:rsidRDefault="00230691">
            <w:pPr>
              <w:spacing w:before="120" w:after="120"/>
              <w:rPr>
                <w:kern w:val="0"/>
              </w:rPr>
            </w:pPr>
            <w:r>
              <w:rPr>
                <w:rFonts w:hint="eastAsia"/>
                <w:kern w:val="0"/>
              </w:rPr>
              <w:t>Company</w:t>
            </w:r>
          </w:p>
        </w:tc>
        <w:tc>
          <w:tcPr>
            <w:tcW w:w="4938" w:type="dxa"/>
          </w:tcPr>
          <w:p w:rsidR="00230691" w:rsidRDefault="00230691">
            <w:pPr>
              <w:spacing w:before="120" w:after="120"/>
              <w:rPr>
                <w:kern w:val="0"/>
              </w:rPr>
            </w:pPr>
            <w:r>
              <w:rPr>
                <w:rFonts w:hint="eastAsia"/>
                <w:kern w:val="0"/>
              </w:rPr>
              <w:t>View</w:t>
            </w:r>
          </w:p>
        </w:tc>
      </w:tr>
      <w:tr w:rsidR="00230691" w:rsidTr="00230691">
        <w:tc>
          <w:tcPr>
            <w:tcW w:w="4938" w:type="dxa"/>
          </w:tcPr>
          <w:p w:rsidR="00230691" w:rsidRDefault="00230691">
            <w:pPr>
              <w:spacing w:before="120" w:after="120"/>
              <w:rPr>
                <w:kern w:val="0"/>
              </w:rPr>
            </w:pPr>
            <w:r>
              <w:rPr>
                <w:rFonts w:hint="eastAsia"/>
                <w:kern w:val="0"/>
              </w:rPr>
              <w:t>ZTE, Sanechips</w:t>
            </w:r>
          </w:p>
        </w:tc>
        <w:tc>
          <w:tcPr>
            <w:tcW w:w="4938" w:type="dxa"/>
          </w:tcPr>
          <w:p w:rsidR="00230691" w:rsidRPr="00784555" w:rsidRDefault="00230691">
            <w:pPr>
              <w:spacing w:before="120" w:after="120"/>
              <w:rPr>
                <w:sz w:val="20"/>
              </w:rPr>
            </w:pPr>
            <w:r w:rsidRPr="00784555">
              <w:rPr>
                <w:rFonts w:hint="eastAsia"/>
                <w:sz w:val="20"/>
              </w:rPr>
              <w:t xml:space="preserve">Alt 1. </w:t>
            </w:r>
          </w:p>
          <w:p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rsidR="00220F73" w:rsidRDefault="00220F73" w:rsidP="00220F73">
            <w:pPr>
              <w:spacing w:before="120" w:after="120"/>
              <w:rPr>
                <w:sz w:val="20"/>
              </w:rPr>
            </w:pPr>
            <w:r>
              <w:rPr>
                <w:rFonts w:hint="eastAsia"/>
                <w:sz w:val="20"/>
              </w:rPr>
              <w:t>Apart from the concerns of performance/sensing procedure, the following issues should be considered too.</w:t>
            </w:r>
          </w:p>
          <w:p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rsidR="00A251C9" w:rsidRPr="00A251C9" w:rsidRDefault="00A251C9" w:rsidP="00220F73">
            <w:pPr>
              <w:spacing w:before="120" w:after="120"/>
              <w:rPr>
                <w:sz w:val="20"/>
              </w:rPr>
            </w:pPr>
          </w:p>
          <w:p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rsidR="00220F73" w:rsidRPr="00220F73" w:rsidRDefault="00220F73" w:rsidP="00220F73">
            <w:pPr>
              <w:pStyle w:val="YJ-Proposal"/>
              <w:numPr>
                <w:ilvl w:val="0"/>
                <w:numId w:val="0"/>
              </w:numPr>
              <w:spacing w:before="120" w:after="120"/>
              <w:rPr>
                <w:kern w:val="0"/>
                <w:lang w:val="en-US"/>
              </w:rPr>
            </w:pPr>
          </w:p>
        </w:tc>
      </w:tr>
    </w:tbl>
    <w:p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rsidR="00731917" w:rsidRDefault="00731917">
      <w:pPr>
        <w:spacing w:before="120" w:after="120"/>
        <w:rPr>
          <w:kern w:val="0"/>
        </w:rPr>
      </w:pPr>
      <w:r>
        <w:rPr>
          <w:kern w:val="0"/>
        </w:rPr>
        <w:t>From the email replies received from HW/HiSilicon, Ericsson, Samsung, DoCoMo, vivo, Futurewei, Qualcomm, the following categorization received support from 3 companies(HW/HiSilicon, DoCoMo, Futurewei)</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r>
        <w:rPr>
          <w:kern w:val="0"/>
        </w:rPr>
        <w:t>The following categorization received support from 2 companies (vivo/Qualcomm)</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rsidR="00731917" w:rsidRDefault="00731917" w:rsidP="00731917">
      <w:pPr>
        <w:spacing w:before="120" w:after="120"/>
        <w:rPr>
          <w:kern w:val="0"/>
        </w:rPr>
      </w:pPr>
      <w:r>
        <w:rPr>
          <w:kern w:val="0"/>
        </w:rPr>
        <w:t>The following categorization received support from 2 companies (DoCoMo/Qualcomm)</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rsidR="00731917" w:rsidRDefault="00731917">
      <w:pPr>
        <w:spacing w:before="120" w:after="120"/>
        <w:rPr>
          <w:kern w:val="0"/>
        </w:rPr>
      </w:pPr>
    </w:p>
    <w:p w:rsidR="00731917" w:rsidRDefault="00731917">
      <w:pPr>
        <w:spacing w:before="120" w:after="120"/>
        <w:rPr>
          <w:kern w:val="0"/>
        </w:rPr>
      </w:pPr>
      <w:r>
        <w:rPr>
          <w:kern w:val="0"/>
        </w:rPr>
        <w:t>One company (Futurewei) prefer some additional change to option 2 as following as starting point</w:t>
      </w:r>
    </w:p>
    <w:p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rsidR="00731917" w:rsidRDefault="00731917">
      <w:pPr>
        <w:spacing w:before="120" w:after="120"/>
        <w:rPr>
          <w:kern w:val="0"/>
        </w:rPr>
      </w:pPr>
    </w:p>
    <w:p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rsidR="00731917" w:rsidRDefault="00E97490" w:rsidP="00E97490">
      <w:pPr>
        <w:pStyle w:val="2"/>
        <w:spacing w:before="120" w:after="120"/>
        <w:ind w:right="210"/>
      </w:pPr>
      <w:r>
        <w:rPr>
          <w:rFonts w:hint="eastAsia"/>
        </w:rPr>
        <w:t>R</w:t>
      </w:r>
      <w:r>
        <w:t>ound 2 discussion</w:t>
      </w:r>
    </w:p>
    <w:p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p>
    <w:tbl>
      <w:tblPr>
        <w:tblStyle w:val="ad"/>
        <w:tblW w:w="0" w:type="auto"/>
        <w:tblLook w:val="04A0" w:firstRow="1" w:lastRow="0" w:firstColumn="1" w:lastColumn="0" w:noHBand="0" w:noVBand="1"/>
      </w:tblPr>
      <w:tblGrid>
        <w:gridCol w:w="1555"/>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Pr="00192B3A" w:rsidRDefault="00192B3A" w:rsidP="00354631">
            <w:pPr>
              <w:spacing w:before="120" w:after="120"/>
              <w:rPr>
                <w:rFonts w:eastAsia="맑은 고딕" w:hint="eastAsia"/>
                <w:kern w:val="0"/>
                <w:lang w:eastAsia="ko-KR"/>
              </w:rPr>
            </w:pPr>
            <w:r>
              <w:rPr>
                <w:rFonts w:eastAsia="맑은 고딕" w:hint="eastAsia"/>
                <w:kern w:val="0"/>
                <w:lang w:eastAsia="ko-KR"/>
              </w:rPr>
              <w:t>S</w:t>
            </w:r>
            <w:r>
              <w:rPr>
                <w:rFonts w:eastAsia="맑은 고딕"/>
                <w:kern w:val="0"/>
                <w:lang w:eastAsia="ko-KR"/>
              </w:rPr>
              <w:t>amsung</w:t>
            </w:r>
          </w:p>
        </w:tc>
        <w:tc>
          <w:tcPr>
            <w:tcW w:w="8095" w:type="dxa"/>
          </w:tcPr>
          <w:p w:rsidR="00E97490" w:rsidRPr="00B23846" w:rsidRDefault="00192B3A" w:rsidP="00B23846">
            <w:pPr>
              <w:spacing w:before="120" w:after="120"/>
              <w:rPr>
                <w:rFonts w:eastAsia="맑은 고딕" w:hint="eastAsia"/>
                <w:lang w:eastAsia="ko-KR"/>
              </w:rPr>
            </w:pPr>
            <w:r>
              <w:rPr>
                <w:rFonts w:eastAsia="맑은 고딕"/>
                <w:kern w:val="0"/>
                <w:lang w:eastAsia="ko-KR"/>
              </w:rPr>
              <w:t xml:space="preserve">We support Alt 2 in order to achieve the power saving by prohibiting </w:t>
            </w:r>
            <w:r w:rsidR="00B23846">
              <w:rPr>
                <w:rFonts w:eastAsia="맑은 고딕"/>
                <w:kern w:val="0"/>
                <w:lang w:eastAsia="ko-KR"/>
              </w:rPr>
              <w:t>sensing (</w:t>
            </w:r>
            <w:r>
              <w:rPr>
                <w:rFonts w:eastAsia="맑은 고딕"/>
                <w:kern w:val="0"/>
                <w:lang w:eastAsia="ko-KR"/>
              </w:rPr>
              <w:t>SL reception of PSCCH and RSRP measurement</w:t>
            </w:r>
            <w:r w:rsidR="00B23846">
              <w:rPr>
                <w:rFonts w:eastAsia="맑은 고딕"/>
                <w:kern w:val="0"/>
                <w:lang w:eastAsia="ko-KR"/>
              </w:rPr>
              <w:t xml:space="preserve">) </w:t>
            </w:r>
            <w:r>
              <w:rPr>
                <w:rFonts w:eastAsia="맑은 고딕"/>
                <w:kern w:val="0"/>
                <w:lang w:eastAsia="ko-KR"/>
              </w:rPr>
              <w:t xml:space="preserve">during the SL DRX </w:t>
            </w:r>
            <w:r w:rsidR="00B23846">
              <w:rPr>
                <w:rFonts w:eastAsia="맑은 고딕"/>
                <w:kern w:val="0"/>
                <w:lang w:eastAsia="ko-KR"/>
              </w:rPr>
              <w:t xml:space="preserve">inactive time. Like Alt 1, additional UE behavior should be discussed for Alt 2. For example, </w:t>
            </w:r>
            <w:r w:rsidR="00B23846">
              <w:rPr>
                <w:rFonts w:eastAsia="맑은 고딕"/>
                <w:lang w:eastAsia="ko-KR"/>
              </w:rPr>
              <w:t>f</w:t>
            </w:r>
            <w:r w:rsidR="00B23846" w:rsidRPr="00B23846">
              <w:rPr>
                <w:rFonts w:eastAsia="맑은 고딕"/>
                <w:lang w:eastAsia="ko-KR"/>
              </w:rPr>
              <w:t xml:space="preserve">or UE with </w:t>
            </w:r>
            <w:r w:rsidR="00B23846">
              <w:rPr>
                <w:rFonts w:eastAsia="맑은 고딕"/>
                <w:lang w:eastAsia="ko-KR"/>
              </w:rPr>
              <w:t>SL</w:t>
            </w:r>
            <w:r w:rsidR="00B23846" w:rsidRPr="00B23846">
              <w:rPr>
                <w:rFonts w:eastAsia="맑은 고딕"/>
                <w:lang w:eastAsia="ko-KR"/>
              </w:rPr>
              <w:t xml:space="preserve"> D</w:t>
            </w:r>
            <w:bookmarkStart w:id="7" w:name="_GoBack"/>
            <w:bookmarkEnd w:id="7"/>
            <w:r w:rsidR="00B23846" w:rsidRPr="00B23846">
              <w:rPr>
                <w:rFonts w:eastAsia="맑은 고딕"/>
                <w:lang w:eastAsia="ko-KR"/>
              </w:rPr>
              <w:t xml:space="preserve">RX, sensing window </w:t>
            </w:r>
            <w:r w:rsidR="00B23846">
              <w:rPr>
                <w:rFonts w:eastAsia="맑은 고딕"/>
                <w:lang w:eastAsia="ko-KR"/>
              </w:rPr>
              <w:t>can be</w:t>
            </w:r>
            <w:r w:rsidR="00B23846" w:rsidRPr="00B23846">
              <w:rPr>
                <w:rFonts w:eastAsia="맑은 고딕"/>
                <w:lang w:eastAsia="ko-KR"/>
              </w:rPr>
              <w:t xml:space="preserve"> adjusted into DRX active time within configured sensing window</w:t>
            </w:r>
            <w:r w:rsidR="00B23846">
              <w:rPr>
                <w:rFonts w:eastAsia="맑은 고딕"/>
                <w:lang w:eastAsia="ko-KR"/>
              </w:rPr>
              <w:t xml:space="preserve"> and if the sensing window is not available, UE can perform random selection without sensing. </w:t>
            </w:r>
            <w:r w:rsidR="00B23846">
              <w:rPr>
                <w:rFonts w:eastAsia="맑은 고딕" w:hint="eastAsia"/>
                <w:lang w:eastAsia="ko-KR"/>
              </w:rPr>
              <w:t>S</w:t>
            </w:r>
            <w:r w:rsidR="00B23846">
              <w:rPr>
                <w:rFonts w:eastAsia="맑은 고딕"/>
                <w:lang w:eastAsia="ko-KR"/>
              </w:rPr>
              <w:t>o, we suggest to add “FFS other details” also for A</w:t>
            </w:r>
            <w:r w:rsidR="0010588D">
              <w:rPr>
                <w:rFonts w:eastAsia="맑은 고딕"/>
                <w:lang w:eastAsia="ko-KR"/>
              </w:rPr>
              <w:t xml:space="preserve">lt 2. </w:t>
            </w:r>
          </w:p>
        </w:tc>
      </w:tr>
    </w:tbl>
    <w:p w:rsidR="00E97490" w:rsidRDefault="00E97490">
      <w:pPr>
        <w:spacing w:before="120" w:after="120"/>
        <w:rPr>
          <w:kern w:val="0"/>
        </w:rPr>
      </w:pPr>
    </w:p>
    <w:p w:rsidR="00E97490" w:rsidRDefault="00E97490">
      <w:pPr>
        <w:spacing w:before="120" w:after="120"/>
        <w:rPr>
          <w:kern w:val="0"/>
        </w:rPr>
      </w:pPr>
    </w:p>
    <w:p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firstRow="1" w:lastRow="0" w:firstColumn="1" w:lastColumn="0" w:noHBand="0" w:noVBand="1"/>
      </w:tblPr>
      <w:tblGrid>
        <w:gridCol w:w="1555"/>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Default="00B23846" w:rsidP="00354631">
            <w:pPr>
              <w:spacing w:before="120" w:after="120"/>
              <w:rPr>
                <w:kern w:val="0"/>
              </w:rPr>
            </w:pPr>
            <w:r>
              <w:rPr>
                <w:rFonts w:eastAsia="맑은 고딕" w:hint="eastAsia"/>
                <w:kern w:val="0"/>
                <w:lang w:eastAsia="ko-KR"/>
              </w:rPr>
              <w:t>S</w:t>
            </w:r>
            <w:r>
              <w:rPr>
                <w:rFonts w:eastAsia="맑은 고딕"/>
                <w:kern w:val="0"/>
                <w:lang w:eastAsia="ko-KR"/>
              </w:rPr>
              <w:t>amsung</w:t>
            </w:r>
          </w:p>
        </w:tc>
        <w:tc>
          <w:tcPr>
            <w:tcW w:w="8095" w:type="dxa"/>
          </w:tcPr>
          <w:p w:rsidR="00E97490" w:rsidRPr="0010588D" w:rsidRDefault="0010588D" w:rsidP="0010588D">
            <w:pPr>
              <w:spacing w:before="120" w:after="120"/>
              <w:rPr>
                <w:rFonts w:eastAsia="맑은 고딕" w:hint="eastAsia"/>
                <w:kern w:val="0"/>
                <w:lang w:eastAsia="ko-KR"/>
              </w:rPr>
            </w:pPr>
            <w:r>
              <w:rPr>
                <w:rFonts w:eastAsia="맑은 고딕"/>
                <w:kern w:val="0"/>
                <w:lang w:eastAsia="ko-KR"/>
              </w:rPr>
              <w:t>For Option 4, we need to discuss about detailed UE behavior. Please see our comment in Q1 above.</w:t>
            </w:r>
          </w:p>
        </w:tc>
      </w:tr>
    </w:tbl>
    <w:p w:rsidR="00E97490" w:rsidRPr="00E97490" w:rsidRDefault="00E97490">
      <w:pPr>
        <w:spacing w:before="120" w:after="120"/>
        <w:rPr>
          <w:kern w:val="0"/>
        </w:rPr>
      </w:pPr>
    </w:p>
    <w:p w:rsidR="00BB0638" w:rsidRDefault="000B2BA1">
      <w:pPr>
        <w:pStyle w:val="1"/>
        <w:spacing w:before="120" w:after="120"/>
        <w:ind w:left="0"/>
        <w:rPr>
          <w:rFonts w:eastAsia="SimSun"/>
        </w:rPr>
      </w:pPr>
      <w:r>
        <w:rPr>
          <w:rFonts w:eastAsia="SimSun" w:hint="eastAsia"/>
        </w:rPr>
        <w:t>Conclusion</w:t>
      </w:r>
    </w:p>
    <w:p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rsidR="00BB0638" w:rsidRDefault="000B2BA1">
      <w:pPr>
        <w:pStyle w:val="1"/>
        <w:spacing w:before="120" w:after="120"/>
        <w:ind w:left="0"/>
        <w:rPr>
          <w:rFonts w:eastAsia="SimSun"/>
        </w:rPr>
      </w:pPr>
      <w:r>
        <w:rPr>
          <w:rFonts w:eastAsia="SimSun" w:hint="eastAsia"/>
        </w:rPr>
        <w:t>Reference</w:t>
      </w:r>
      <w:r>
        <w:rPr>
          <w:rFonts w:eastAsia="SimSun"/>
        </w:rPr>
        <w:t>s</w:t>
      </w:r>
    </w:p>
    <w:p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5EE" w:rsidRDefault="001675EE" w:rsidP="009D4D1F">
      <w:pPr>
        <w:spacing w:before="120" w:after="120" w:line="240" w:lineRule="auto"/>
      </w:pPr>
      <w:r>
        <w:separator/>
      </w:r>
    </w:p>
  </w:endnote>
  <w:endnote w:type="continuationSeparator" w:id="0">
    <w:p w:rsidR="001675EE" w:rsidRDefault="001675EE"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rsidR="00731917" w:rsidRDefault="00731917">
        <w:pPr>
          <w:pStyle w:val="a7"/>
          <w:spacing w:before="120" w:after="120"/>
          <w:jc w:val="center"/>
        </w:pPr>
        <w:r>
          <w:fldChar w:fldCharType="begin"/>
        </w:r>
        <w:r>
          <w:instrText xml:space="preserve"> PAGE   \* MERGEFORMAT </w:instrText>
        </w:r>
        <w:r>
          <w:fldChar w:fldCharType="separate"/>
        </w:r>
        <w:r w:rsidR="0010588D">
          <w:rPr>
            <w:noProof/>
          </w:rPr>
          <w:t>4</w:t>
        </w:r>
        <w:r>
          <w:rPr>
            <w:noProof/>
          </w:rPr>
          <w:fldChar w:fldCharType="end"/>
        </w:r>
      </w:p>
    </w:sdtContent>
  </w:sdt>
  <w:p w:rsidR="00731917" w:rsidRDefault="00731917">
    <w:pPr>
      <w:pStyle w:val="a7"/>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7"/>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5EE" w:rsidRDefault="001675EE" w:rsidP="009D4D1F">
      <w:pPr>
        <w:spacing w:before="120" w:after="120" w:line="240" w:lineRule="auto"/>
      </w:pPr>
      <w:r>
        <w:separator/>
      </w:r>
    </w:p>
  </w:footnote>
  <w:footnote w:type="continuationSeparator" w:id="0">
    <w:p w:rsidR="001675EE" w:rsidRDefault="001675EE"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8"/>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8"/>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8"/>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5"/>
  </w:num>
  <w:num w:numId="3">
    <w:abstractNumId w:val="11"/>
  </w:num>
  <w:num w:numId="4">
    <w:abstractNumId w:val="13"/>
  </w:num>
  <w:num w:numId="5">
    <w:abstractNumId w:val="2"/>
  </w:num>
  <w:num w:numId="6">
    <w:abstractNumId w:val="1"/>
  </w:num>
  <w:num w:numId="7">
    <w:abstractNumId w:val="16"/>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4917"/>
    <w:rsid w:val="0002708F"/>
    <w:rsid w:val="000402B5"/>
    <w:rsid w:val="00055E90"/>
    <w:rsid w:val="0006022E"/>
    <w:rsid w:val="0006398D"/>
    <w:rsid w:val="0008331E"/>
    <w:rsid w:val="000A4133"/>
    <w:rsid w:val="000A4385"/>
    <w:rsid w:val="000A5F2D"/>
    <w:rsid w:val="000B2BA1"/>
    <w:rsid w:val="000B72CE"/>
    <w:rsid w:val="000C6FD0"/>
    <w:rsid w:val="000D2BFF"/>
    <w:rsid w:val="000D57E0"/>
    <w:rsid w:val="000D6AB2"/>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6B5"/>
    <w:rsid w:val="003B45A9"/>
    <w:rsid w:val="003D6404"/>
    <w:rsid w:val="003F5018"/>
    <w:rsid w:val="003F729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E07F5"/>
    <w:rsid w:val="006E2948"/>
    <w:rsid w:val="00713289"/>
    <w:rsid w:val="007274EB"/>
    <w:rsid w:val="00731917"/>
    <w:rsid w:val="00735D0D"/>
    <w:rsid w:val="00756220"/>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3846"/>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F62E8"/>
    <w:rsid w:val="00C107DB"/>
    <w:rsid w:val="00C137EA"/>
    <w:rsid w:val="00C27661"/>
    <w:rsid w:val="00C322B2"/>
    <w:rsid w:val="00C33951"/>
    <w:rsid w:val="00C3448B"/>
    <w:rsid w:val="00C43BD4"/>
    <w:rsid w:val="00C50EDF"/>
    <w:rsid w:val="00C539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A28CF"/>
    <w:rsid w:val="00DA7176"/>
    <w:rsid w:val="00DB5D94"/>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BC03C"/>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SimSun"/>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rFonts w:eastAsiaTheme="minorEastAsia"/>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リスト段落,列"/>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머리글 Char"/>
    <w:basedOn w:val="a0"/>
    <w:link w:val="a8"/>
    <w:semiHidden/>
    <w:qFormat/>
    <w:rsid w:val="00BB0638"/>
    <w:rPr>
      <w:rFonts w:eastAsia="SimSun"/>
      <w:kern w:val="2"/>
      <w:sz w:val="21"/>
    </w:rPr>
  </w:style>
  <w:style w:type="character" w:customStyle="1" w:styleId="Char2">
    <w:name w:val="바닥글 Char"/>
    <w:basedOn w:val="a0"/>
    <w:link w:val="a7"/>
    <w:uiPriority w:val="99"/>
    <w:qFormat/>
    <w:rsid w:val="00BB0638"/>
    <w:rPr>
      <w:rFonts w:eastAsia="SimSun"/>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SimSun"/>
    </w:rPr>
  </w:style>
  <w:style w:type="character" w:customStyle="1" w:styleId="Char1">
    <w:name w:val="풍선 도움말 텍스트 Char"/>
    <w:basedOn w:val="a0"/>
    <w:link w:val="a6"/>
    <w:uiPriority w:val="99"/>
    <w:semiHidden/>
    <w:qFormat/>
    <w:rsid w:val="00BB0638"/>
    <w:rPr>
      <w:kern w:val="2"/>
      <w:sz w:val="18"/>
      <w:szCs w:val="18"/>
    </w:rPr>
  </w:style>
  <w:style w:type="character" w:customStyle="1" w:styleId="Char">
    <w:name w:val="문서 구조 Char"/>
    <w:basedOn w:val="a0"/>
    <w:link w:val="a4"/>
    <w:uiPriority w:val="99"/>
    <w:semiHidden/>
    <w:qFormat/>
    <w:rsid w:val="00BB0638"/>
    <w:rPr>
      <w:rFonts w:ascii="SimSun"/>
      <w:kern w:val="2"/>
      <w:sz w:val="18"/>
      <w:szCs w:val="18"/>
    </w:rPr>
  </w:style>
  <w:style w:type="character" w:customStyle="1" w:styleId="Char0">
    <w:name w:val="메모 텍스트 Char"/>
    <w:basedOn w:val="a0"/>
    <w:link w:val="a5"/>
    <w:uiPriority w:val="99"/>
    <w:qFormat/>
    <w:rsid w:val="00BB0638"/>
    <w:rPr>
      <w:rFonts w:eastAsia="SimSun"/>
      <w:kern w:val="2"/>
      <w:sz w:val="21"/>
    </w:rPr>
  </w:style>
  <w:style w:type="character" w:customStyle="1" w:styleId="Char4">
    <w:name w:val="메모 주제 Char"/>
    <w:basedOn w:val="Char0"/>
    <w:link w:val="ac"/>
    <w:qFormat/>
    <w:rsid w:val="00BB0638"/>
    <w:rPr>
      <w:rFonts w:eastAsia="SimSun"/>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제목 4 Char"/>
    <w:basedOn w:val="a0"/>
    <w:link w:val="4"/>
    <w:qFormat/>
    <w:rsid w:val="00BB0638"/>
    <w:rPr>
      <w:rFonts w:ascii="Arial" w:eastAsia="MS Mincho" w:hAnsi="Arial"/>
      <w:kern w:val="2"/>
      <w:sz w:val="24"/>
    </w:rPr>
  </w:style>
  <w:style w:type="character" w:customStyle="1" w:styleId="3Char">
    <w:name w:val="제목 3 Char"/>
    <w:basedOn w:val="a0"/>
    <w:link w:val="3"/>
    <w:qFormat/>
    <w:rsid w:val="00BB0638"/>
    <w:rPr>
      <w:rFonts w:ascii="Arial" w:eastAsia="MS Mincho" w:hAnsi="Arial"/>
      <w:kern w:val="2"/>
      <w:sz w:val="24"/>
    </w:rPr>
  </w:style>
  <w:style w:type="character" w:customStyle="1" w:styleId="2Char">
    <w:name w:val="제목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본문 Char"/>
    <w:basedOn w:val="a0"/>
    <w:link w:val="af4"/>
    <w:rsid w:val="00D545C2"/>
    <w:rPr>
      <w:rFonts w:eastAsia="MS Mincho"/>
    </w:rPr>
  </w:style>
  <w:style w:type="character" w:customStyle="1" w:styleId="6Char">
    <w:name w:val="제목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553B7-B5C8-459D-A08E-63F88876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6495</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신철규/표준연구팀(SR)/Staff Engineer/삼성전자</cp:lastModifiedBy>
  <cp:revision>2</cp:revision>
  <dcterms:created xsi:type="dcterms:W3CDTF">2021-05-24T02:12:00Z</dcterms:created>
  <dcterms:modified xsi:type="dcterms:W3CDTF">2021-05-24T02:12:00Z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