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0C5E05"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sidRPr="000C5E05">
        <w:rPr>
          <w:rFonts w:ascii="Times New Roman" w:eastAsia="Times New Roman" w:hAnsi="Times New Roman" w:cs="Times New Roman"/>
          <w:sz w:val="20"/>
          <w:szCs w:val="20"/>
          <w:shd w:val="clear" w:color="auto" w:fill="FFFFFF"/>
        </w:rPr>
        <w:t xml:space="preserve">r </w:t>
      </w:r>
      <w:r w:rsidRPr="000C5E05">
        <w:rPr>
          <w:rFonts w:ascii="Times New Roman" w:eastAsia="Times New Roman" w:hAnsi="Times New Roman" w:cs="Times New Roman"/>
          <w:sz w:val="20"/>
          <w:szCs w:val="20"/>
          <w:shd w:val="clear" w:color="auto" w:fill="FFFFFF"/>
        </w:rPr>
        <w:t>CC</w:t>
      </w:r>
    </w:p>
    <w:p w14:paraId="27B2277F" w14:textId="3CA9CF4F" w:rsidR="00792F40" w:rsidRPr="000C5E05" w:rsidRDefault="00792F40"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5982E470" w14:textId="0D827542" w:rsidR="00A55550" w:rsidRPr="000C5E05" w:rsidRDefault="00A55550"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p>
    <w:p w14:paraId="106B9985" w14:textId="72167C1F" w:rsidR="003F04CE" w:rsidRPr="000C5E05" w:rsidRDefault="003F04CE"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lastRenderedPageBreak/>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lastRenderedPageBreak/>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lastRenderedPageBreak/>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5098B002" w14:textId="4285D5B2" w:rsidR="005C5DC1" w:rsidRPr="000C5E05" w:rsidRDefault="005C5DC1"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0C5E05">
        <w:rPr>
          <w:rFonts w:ascii="Times New Roman" w:hAnsi="Times New Roman" w:cs="Times New Roman"/>
          <w:sz w:val="20"/>
          <w:szCs w:val="20"/>
        </w:rPr>
        <w:t>For TCI state activation and indication, following cases are included (via NW implementation):</w:t>
      </w:r>
    </w:p>
    <w:p w14:paraId="0CA50EED"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At least one activated TCI state is associated with joint TCI and at least another activated TCI state is associated with separate DL/UL TCI</w:t>
      </w:r>
      <w:r w:rsidRPr="000C5E05">
        <w:rPr>
          <w:rFonts w:ascii="Times New Roman" w:eastAsia="Times New Roman" w:hAnsi="Times New Roman" w:cs="Times New Roman"/>
        </w:rPr>
        <w:t xml:space="preserve"> </w:t>
      </w:r>
    </w:p>
    <w:p w14:paraId="333A578A" w14:textId="1FE580AB"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TCI field in DCI formats 1_1/1_2 used for beam indication can indicate a TCI state(s) associated with either joint TCI or separate DL/UL TCI. </w:t>
      </w:r>
    </w:p>
    <w:p w14:paraId="603D20DF" w14:textId="77777777" w:rsidR="005C5DC1" w:rsidRPr="000C5E05" w:rsidRDefault="005C5DC1" w:rsidP="00C22397">
      <w:pPr>
        <w:numPr>
          <w:ilvl w:val="2"/>
          <w:numId w:val="29"/>
        </w:numPr>
        <w:snapToGrid w:val="0"/>
        <w:jc w:val="both"/>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rPr>
        <w:t>Activation of TCI states where at least one activated TCI state is associated with joint TCI and at least another activated TCI state is associated with separate DL /UL TCI is an optional UE capability</w:t>
      </w:r>
    </w:p>
    <w:p w14:paraId="2422FFC1"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All the activated TCI states are associated with joint TCI</w:t>
      </w:r>
      <w:r w:rsidRPr="000C5E05">
        <w:rPr>
          <w:rFonts w:ascii="Times New Roman" w:eastAsia="Times New Roman" w:hAnsi="Times New Roman" w:cs="Times New Roman"/>
        </w:rPr>
        <w:t xml:space="preserve"> </w:t>
      </w:r>
    </w:p>
    <w:p w14:paraId="6DBA4270" w14:textId="0540BED4"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TCI field in DCI formats 1_1/1_2 used for beam indication can indicate only a TCI state associated with joint TCI</w:t>
      </w:r>
    </w:p>
    <w:p w14:paraId="1D93ACCA" w14:textId="77777777" w:rsidR="005C5DC1" w:rsidRPr="000C5E05" w:rsidRDefault="005C5DC1" w:rsidP="00C22397">
      <w:pPr>
        <w:numPr>
          <w:ilvl w:val="0"/>
          <w:numId w:val="30"/>
        </w:numPr>
        <w:snapToGrid w:val="0"/>
        <w:ind w:left="1440"/>
        <w:jc w:val="both"/>
        <w:rPr>
          <w:rFonts w:ascii="Times New Roman" w:hAnsi="Times New Roman" w:cs="Times New Roman"/>
          <w:sz w:val="20"/>
          <w:szCs w:val="20"/>
        </w:rPr>
      </w:pPr>
      <w:r w:rsidRPr="000C5E05">
        <w:rPr>
          <w:rFonts w:ascii="Times New Roman" w:hAnsi="Times New Roman" w:cs="Times New Roman"/>
          <w:sz w:val="20"/>
          <w:szCs w:val="20"/>
        </w:rPr>
        <w:t>All the activated TCI states are associated with separate DL /UL TCI</w:t>
      </w:r>
    </w:p>
    <w:p w14:paraId="45587CA7" w14:textId="5A6F91FF" w:rsidR="005C5DC1" w:rsidRPr="000C5E05" w:rsidRDefault="005C5DC1" w:rsidP="00C22397">
      <w:pPr>
        <w:numPr>
          <w:ilvl w:val="1"/>
          <w:numId w:val="30"/>
        </w:numPr>
        <w:snapToGrid w:val="0"/>
        <w:ind w:left="2160"/>
        <w:jc w:val="both"/>
        <w:rPr>
          <w:rFonts w:ascii="Times New Roman" w:hAnsi="Times New Roman" w:cs="Times New Roman"/>
          <w:sz w:val="20"/>
          <w:szCs w:val="20"/>
        </w:rPr>
      </w:pPr>
      <w:r w:rsidRPr="000C5E05">
        <w:rPr>
          <w:rFonts w:ascii="Times New Roman" w:hAnsi="Times New Roman" w:cs="Times New Roman"/>
          <w:sz w:val="20"/>
          <w:szCs w:val="20"/>
        </w:rPr>
        <w:t>The TCI field in DCI formats 1_1/1_2 used for beam indication can only indicate TCI state(s) associated with separate DL /UL TCI</w:t>
      </w:r>
    </w:p>
    <w:p w14:paraId="2F6A988E"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szCs w:val="20"/>
        </w:rPr>
      </w:pPr>
      <w:r w:rsidRPr="000C5E05">
        <w:rPr>
          <w:rFonts w:ascii="Times New Roman" w:hAnsi="Times New Roman" w:cs="Times New Roman"/>
        </w:rPr>
        <w:t>Detailed MAC-CE-based design for the above functionality is up to RAN2</w:t>
      </w:r>
    </w:p>
    <w:p w14:paraId="276B4CD7"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rPr>
      </w:pPr>
      <w:r w:rsidRPr="000C5E05">
        <w:rPr>
          <w:rFonts w:ascii="Times New Roman" w:hAnsi="Times New Roman" w:cs="Times New Roman"/>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B9401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7D451CA8"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7CA19555"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 xml:space="preserve">Concern: </w:t>
            </w:r>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B94014">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B94014">
            <w:pPr>
              <w:snapToGrid w:val="0"/>
              <w:rPr>
                <w:rFonts w:ascii="Times New Roman" w:hAnsi="Times New Roman" w:cs="Times New Roman"/>
                <w:sz w:val="18"/>
                <w:szCs w:val="18"/>
              </w:rPr>
            </w:pPr>
          </w:p>
        </w:tc>
      </w:tr>
      <w:tr w:rsidR="0064290F" w:rsidRPr="000C5E05" w14:paraId="20FA588B"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6021BF06" w:rsidR="0064290F" w:rsidRPr="00B1595F" w:rsidRDefault="00B1595F"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tc>
      </w:tr>
      <w:tr w:rsidR="005822D0" w:rsidRPr="000C5E05" w14:paraId="055CB96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77777777" w:rsidR="005822D0" w:rsidRPr="000C5E05" w:rsidRDefault="005822D0"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7777777" w:rsidR="005822D0" w:rsidRPr="000C5E05" w:rsidRDefault="005822D0" w:rsidP="00B94014">
            <w:pPr>
              <w:snapToGrid w:val="0"/>
              <w:jc w:val="both"/>
              <w:rPr>
                <w:rFonts w:ascii="Times New Roman" w:eastAsia="PMingLiU" w:hAnsi="Times New Roman" w:cs="Times New Roman"/>
                <w:sz w:val="18"/>
                <w:szCs w:val="18"/>
                <w:lang w:eastAsia="zh-TW"/>
              </w:rPr>
            </w:pPr>
          </w:p>
        </w:tc>
      </w:tr>
      <w:tr w:rsidR="005822D0" w:rsidRPr="000C5E05" w14:paraId="5C15A504"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77777777" w:rsidR="005822D0" w:rsidRPr="000C5E05" w:rsidRDefault="005822D0"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7777777" w:rsidR="005822D0" w:rsidRPr="000C5E05" w:rsidRDefault="005822D0" w:rsidP="00B9401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{Rel.16 P-MPR based (TCI or SSBRI/CRI-specific)} + Virtual PHR or a modified version</w:t>
      </w:r>
      <w:r w:rsidRPr="00F64C78">
        <w:rPr>
          <w:rFonts w:ascii="Times New Roman" w:hAnsi="Times New Roman" w:cs="Times New Roman" w:hint="eastAsia"/>
          <w:sz w:val="20"/>
        </w:rPr>
        <w:t xml:space="preserve"> </w:t>
      </w:r>
    </w:p>
    <w:p w14:paraId="43986CE9"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reporting reuses the event-driven mechanisms from the Rel-16 P-MPR reporting</w:t>
      </w:r>
    </w:p>
    <w:p w14:paraId="40A9EA57"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FFS: Definition of virtual PHR and how it is used</w:t>
      </w:r>
    </w:p>
    <w:p w14:paraId="518FE54B"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 xml:space="preserve">Opt2A. </w:t>
      </w:r>
      <w:r w:rsidRPr="00F64C78">
        <w:rPr>
          <w:rFonts w:ascii="Times New Roman" w:hAnsi="Times New Roman" w:cs="Times New Roman"/>
          <w:color w:val="FF0000"/>
          <w:sz w:val="20"/>
        </w:rPr>
        <w:t xml:space="preserve">Reporting at least </w:t>
      </w:r>
      <w:r w:rsidRPr="00F64C78">
        <w:rPr>
          <w:rFonts w:ascii="Times New Roman" w:hAnsi="Times New Roman" w:cs="Times New Roman"/>
          <w:sz w:val="20"/>
        </w:rPr>
        <w:t xml:space="preserve">{SSBRI(s)/CRI(s)} (beam/panel level) </w:t>
      </w:r>
      <w:r w:rsidRPr="00F64C78">
        <w:rPr>
          <w:rFonts w:ascii="Times New Roman" w:hAnsi="Times New Roman" w:cs="Times New Roman"/>
          <w:color w:val="FF0000"/>
          <w:sz w:val="20"/>
        </w:rPr>
        <w:t>to indicate gNB beam(s) that are preferred for UL transmission in NW-initiated CSI-report on PUCCH/PUSCH</w:t>
      </w:r>
    </w:p>
    <w:p w14:paraId="185C5859" w14:textId="77777777" w:rsidR="00707ACD" w:rsidRPr="00F64C78" w:rsidRDefault="00707ACD" w:rsidP="00707ACD">
      <w:pPr>
        <w:numPr>
          <w:ilvl w:val="1"/>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Down-select one option from the followings by RAN1#106-e:</w:t>
      </w:r>
      <w:r w:rsidRPr="00F64C78">
        <w:rPr>
          <w:rFonts w:ascii="Times New Roman" w:hAnsi="Times New Roman" w:cs="Times New Roman" w:hint="eastAsia"/>
          <w:color w:val="FF0000"/>
          <w:sz w:val="20"/>
        </w:rPr>
        <w:t xml:space="preserve"> </w:t>
      </w:r>
    </w:p>
    <w:p w14:paraId="29B6099A"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the offsetting L1-RSRP is calculated with regard to MPE effect</w:t>
      </w:r>
    </w:p>
    <w:p w14:paraId="261DD008"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Alt2: In a single reporting instance, reporting SSBRI(s)/CRI(s) to indicate gNB beams that is preferred for UL transmission</w:t>
      </w:r>
      <w:r>
        <w:rPr>
          <w:rFonts w:ascii="Times New Roman" w:hAnsi="Times New Roman" w:cs="Times New Roman"/>
          <w:color w:val="FF0000"/>
          <w:sz w:val="20"/>
        </w:rPr>
        <w:t>, DL reception (only), or both </w:t>
      </w:r>
      <w:r w:rsidRPr="00F64C78">
        <w:rPr>
          <w:rFonts w:ascii="Times New Roman" w:hAnsi="Times New Roman" w:cs="Times New Roman"/>
          <w:color w:val="FF0000"/>
          <w:sz w:val="20"/>
        </w:rPr>
        <w:t xml:space="preserve">+ L1-RSRP associated with the SSBRI(s)/CRI(s) + virtual PHR or a modified version </w:t>
      </w:r>
    </w:p>
    <w:p w14:paraId="60C291BB"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35D9012"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virtual PHR or a modified version, reuse the same definition in Opt1A</w:t>
      </w:r>
    </w:p>
    <w:p w14:paraId="576CD3E9"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virtual PHR or a modified version is reported or not</w:t>
      </w:r>
    </w:p>
    <w:p w14:paraId="050A7587"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Alt3: In a single reporting instance, reporting SSBRI(s)/CRI(s) to indicate gNB beams that is preferred for UL transmission, DL reception (only), or both + L1-RSRP associated with the SSBRI(s)/CRI(s)</w:t>
      </w:r>
    </w:p>
    <w:p w14:paraId="7D4B7463"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reported SSBRI/CRI is preferred for UL transmission or preferred for DL reception (only)</w:t>
      </w:r>
    </w:p>
    <w:p w14:paraId="52BCEA95" w14:textId="77777777" w:rsidR="00707ACD" w:rsidRPr="00F64C78" w:rsidRDefault="00707ACD" w:rsidP="00707ACD">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B9401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 received some offline inputs on </w:t>
            </w:r>
            <w:r>
              <w:rPr>
                <w:rFonts w:ascii="Times New Roman" w:eastAsia="DengXian" w:hAnsi="Times New Roman" w:cs="Times New Roman"/>
                <w:sz w:val="18"/>
                <w:szCs w:val="18"/>
                <w:lang w:eastAsia="zh-CN"/>
              </w:rPr>
              <w:t>Opt2A</w:t>
            </w:r>
            <w:r>
              <w:rPr>
                <w:rFonts w:ascii="Times New Roman" w:eastAsia="DengXian" w:hAnsi="Times New Roman" w:cs="Times New Roman"/>
                <w:sz w:val="18"/>
                <w:szCs w:val="18"/>
                <w:lang w:eastAsia="zh-CN"/>
              </w:rPr>
              <w:t xml:space="preserve"> text (red).</w:t>
            </w:r>
          </w:p>
          <w:p w14:paraId="17805872" w14:textId="77777777" w:rsidR="00707ACD" w:rsidRPr="000C5E05" w:rsidRDefault="00707ACD" w:rsidP="00B94014">
            <w:pPr>
              <w:snapToGrid w:val="0"/>
              <w:rPr>
                <w:rFonts w:ascii="Times New Roman" w:eastAsia="DengXian" w:hAnsi="Times New Roman" w:cs="Times New Roman"/>
                <w:sz w:val="18"/>
                <w:szCs w:val="18"/>
                <w:lang w:eastAsia="zh-CN"/>
              </w:rPr>
            </w:pPr>
          </w:p>
          <w:p w14:paraId="31CDC696" w14:textId="11DC6703" w:rsidR="00707ACD" w:rsidRPr="000C5E05" w:rsidRDefault="00707ACD" w:rsidP="00B94014">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w:t>
            </w:r>
            <w:r>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B94014">
            <w:pPr>
              <w:snapToGrid w:val="0"/>
              <w:rPr>
                <w:rFonts w:ascii="Times New Roman" w:hAnsi="Times New Roman" w:cs="Times New Roman"/>
                <w:sz w:val="18"/>
                <w:szCs w:val="18"/>
              </w:rPr>
            </w:pPr>
          </w:p>
        </w:tc>
      </w:tr>
      <w:tr w:rsidR="00707ACD" w:rsidRPr="000C5E05" w14:paraId="0FD2D4F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77777777" w:rsidR="00707ACD" w:rsidRPr="000C5E05" w:rsidRDefault="00707ACD"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74E1" w14:textId="77777777" w:rsidR="00707ACD" w:rsidRPr="000C5E05" w:rsidRDefault="00707ACD" w:rsidP="00B94014">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bookmarkStart w:id="3" w:name="_GoBack"/>
      <w:bookmarkEnd w:id="3"/>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DE9A1" w14:textId="77777777" w:rsidR="00477918" w:rsidRDefault="00477918">
      <w:r>
        <w:separator/>
      </w:r>
    </w:p>
  </w:endnote>
  <w:endnote w:type="continuationSeparator" w:id="0">
    <w:p w14:paraId="7B6A6A4C" w14:textId="77777777" w:rsidR="00477918" w:rsidRDefault="0047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C7F01" w14:textId="77777777" w:rsidR="00477918" w:rsidRDefault="00477918">
      <w:r>
        <w:rPr>
          <w:color w:val="000000"/>
        </w:rPr>
        <w:separator/>
      </w:r>
    </w:p>
  </w:footnote>
  <w:footnote w:type="continuationSeparator" w:id="0">
    <w:p w14:paraId="4409C06C" w14:textId="77777777" w:rsidR="00477918" w:rsidRDefault="0047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9"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
  </w:num>
  <w:num w:numId="4">
    <w:abstractNumId w:val="11"/>
  </w:num>
  <w:num w:numId="5">
    <w:abstractNumId w:val="20"/>
  </w:num>
  <w:num w:numId="6">
    <w:abstractNumId w:val="27"/>
  </w:num>
  <w:num w:numId="7">
    <w:abstractNumId w:val="6"/>
  </w:num>
  <w:num w:numId="8">
    <w:abstractNumId w:val="17"/>
  </w:num>
  <w:num w:numId="9">
    <w:abstractNumId w:val="21"/>
  </w:num>
  <w:num w:numId="10">
    <w:abstractNumId w:val="8"/>
  </w:num>
  <w:num w:numId="11">
    <w:abstractNumId w:val="14"/>
  </w:num>
  <w:num w:numId="12">
    <w:abstractNumId w:val="23"/>
  </w:num>
  <w:num w:numId="13">
    <w:abstractNumId w:val="21"/>
  </w:num>
  <w:num w:numId="14">
    <w:abstractNumId w:val="10"/>
  </w:num>
  <w:num w:numId="15">
    <w:abstractNumId w:val="4"/>
  </w:num>
  <w:num w:numId="16">
    <w:abstractNumId w:val="4"/>
  </w:num>
  <w:num w:numId="17">
    <w:abstractNumId w:val="12"/>
  </w:num>
  <w:num w:numId="18">
    <w:abstractNumId w:val="1"/>
  </w:num>
  <w:num w:numId="19">
    <w:abstractNumId w:val="13"/>
  </w:num>
  <w:num w:numId="20">
    <w:abstractNumId w:val="26"/>
  </w:num>
  <w:num w:numId="21">
    <w:abstractNumId w:val="18"/>
  </w:num>
  <w:num w:numId="22">
    <w:abstractNumId w:val="19"/>
  </w:num>
  <w:num w:numId="23">
    <w:abstractNumId w:val="15"/>
  </w:num>
  <w:num w:numId="24">
    <w:abstractNumId w:val="23"/>
  </w:num>
  <w:num w:numId="25">
    <w:abstractNumId w:val="22"/>
  </w:num>
  <w:num w:numId="26">
    <w:abstractNumId w:val="16"/>
  </w:num>
  <w:num w:numId="27">
    <w:abstractNumId w:val="3"/>
  </w:num>
  <w:num w:numId="28">
    <w:abstractNumId w:val="28"/>
  </w:num>
  <w:num w:numId="29">
    <w:abstractNumId w:val="9"/>
  </w:num>
  <w:num w:numId="30">
    <w:abstractNumId w:val="25"/>
  </w:num>
  <w:num w:numId="31">
    <w:abstractNumId w:val="7"/>
  </w:num>
  <w:num w:numId="32">
    <w:abstractNumId w:val="0"/>
    <w:lvlOverride w:ilvl="0"/>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15C3"/>
    <w:rsid w:val="00A618E3"/>
    <w:rsid w:val="00A61A9E"/>
    <w:rsid w:val="00A6270D"/>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FD308DDC-6919-4237-A88D-82B4EBBB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6608</Words>
  <Characters>37671</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cp:revision>
  <dcterms:created xsi:type="dcterms:W3CDTF">2021-05-25T22:44:00Z</dcterms:created>
  <dcterms:modified xsi:type="dcterms:W3CDTF">2021-05-25T22:46:00Z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