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99" w:rsidRPr="00BD5EF3" w:rsidRDefault="00BD5EF3" w:rsidP="00BD5EF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5EF3">
        <w:rPr>
          <w:rFonts w:ascii="Times New Roman" w:hAnsi="Times New Roman" w:cs="Times New Roman"/>
          <w:b/>
          <w:sz w:val="28"/>
        </w:rPr>
        <w:t>Previous agreements</w:t>
      </w:r>
    </w:p>
    <w:p w:rsidR="00BD5EF3" w:rsidRDefault="00BD5EF3" w:rsidP="0091638B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CF0EE1" w:rsidRPr="00AF29B2" w:rsidRDefault="002F2399" w:rsidP="0091638B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AF29B2">
        <w:rPr>
          <w:rFonts w:ascii="Times New Roman" w:hAnsi="Times New Roman" w:cs="Times New Roman"/>
          <w:b/>
          <w:sz w:val="24"/>
          <w:u w:val="single"/>
        </w:rPr>
        <w:t>Issue 1: UL P</w:t>
      </w:r>
      <w:bookmarkStart w:id="0" w:name="_GoBack"/>
      <w:bookmarkEnd w:id="0"/>
      <w:r w:rsidRPr="00AF29B2">
        <w:rPr>
          <w:rFonts w:ascii="Times New Roman" w:hAnsi="Times New Roman" w:cs="Times New Roman"/>
          <w:b/>
          <w:sz w:val="24"/>
          <w:u w:val="single"/>
        </w:rPr>
        <w:t>C</w:t>
      </w:r>
    </w:p>
    <w:p w:rsidR="00E86D4D" w:rsidRDefault="00E86D4D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A4D3B" w:rsidRPr="00BD5EF3" w:rsidRDefault="001A4D3B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73B" w:rsidRPr="00BD5EF3" w:rsidRDefault="00E4273B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EF3">
        <w:rPr>
          <w:rFonts w:ascii="Times New Roman" w:hAnsi="Times New Roman" w:cs="Times New Roman"/>
          <w:b/>
          <w:sz w:val="20"/>
          <w:szCs w:val="20"/>
          <w:highlight w:val="green"/>
          <w:u w:val="single"/>
        </w:rPr>
        <w:t>Agreement</w:t>
      </w:r>
      <w:r w:rsidRPr="00BD5EF3">
        <w:rPr>
          <w:rFonts w:ascii="Times New Roman" w:hAnsi="Times New Roman" w:cs="Times New Roman"/>
          <w:sz w:val="20"/>
          <w:szCs w:val="20"/>
        </w:rPr>
        <w:t>: (RAN1#104-e)</w:t>
      </w:r>
    </w:p>
    <w:p w:rsidR="00E4273B" w:rsidRPr="00BD5EF3" w:rsidRDefault="00E4273B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EF3">
        <w:rPr>
          <w:rFonts w:ascii="Times New Roman" w:hAnsi="Times New Roman" w:cs="Times New Roman"/>
          <w:sz w:val="20"/>
          <w:szCs w:val="20"/>
        </w:rPr>
        <w:t xml:space="preserve">On the setting of UL PC parameters except for PL-RS (P0, alpha, closed loop index) for Rel.17 unified TCI framework: </w:t>
      </w:r>
    </w:p>
    <w:p w:rsidR="00E4273B" w:rsidRPr="00BD5EF3" w:rsidRDefault="00E4273B" w:rsidP="00A830DB">
      <w:pPr>
        <w:pStyle w:val="ListParagraph"/>
        <w:numPr>
          <w:ilvl w:val="0"/>
          <w:numId w:val="13"/>
        </w:numPr>
        <w:autoSpaceDN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5EF3">
        <w:rPr>
          <w:rFonts w:ascii="Times New Roman" w:hAnsi="Times New Roman"/>
          <w:sz w:val="20"/>
          <w:szCs w:val="20"/>
        </w:rPr>
        <w:t>The setting of (P0, alpha, closed loop index) is at least associated with UL channel or UL RS</w:t>
      </w:r>
    </w:p>
    <w:p w:rsidR="00E4273B" w:rsidRPr="00BD5EF3" w:rsidRDefault="00E4273B" w:rsidP="00A830DB">
      <w:pPr>
        <w:pStyle w:val="ListParagraph"/>
        <w:numPr>
          <w:ilvl w:val="0"/>
          <w:numId w:val="13"/>
        </w:numPr>
        <w:autoSpaceDN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5EF3">
        <w:rPr>
          <w:rFonts w:ascii="Times New Roman" w:hAnsi="Times New Roman"/>
          <w:sz w:val="20"/>
          <w:szCs w:val="20"/>
        </w:rPr>
        <w:t> Select or modify from one of the following alternatives by RAN1#104bis-e for PUCCH, PUSCH, and SRS separately:</w:t>
      </w:r>
    </w:p>
    <w:p w:rsidR="00E4273B" w:rsidRPr="00BD5EF3" w:rsidRDefault="00E4273B" w:rsidP="00A830DB">
      <w:pPr>
        <w:pStyle w:val="ListParagraph"/>
        <w:numPr>
          <w:ilvl w:val="1"/>
          <w:numId w:val="13"/>
        </w:numPr>
        <w:autoSpaceDN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5EF3">
        <w:rPr>
          <w:rFonts w:ascii="Times New Roman" w:hAnsi="Times New Roman"/>
          <w:sz w:val="20"/>
          <w:szCs w:val="20"/>
        </w:rPr>
        <w:t>Alt1. The setting of (P0, alpha, closed loop index) is also associated with UL or (if applicable) joint TCI state</w:t>
      </w:r>
    </w:p>
    <w:p w:rsidR="00E4273B" w:rsidRPr="00BD5EF3" w:rsidRDefault="00E4273B" w:rsidP="00A830DB">
      <w:pPr>
        <w:pStyle w:val="ListParagraph"/>
        <w:numPr>
          <w:ilvl w:val="1"/>
          <w:numId w:val="13"/>
        </w:numPr>
        <w:autoSpaceDN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5EF3">
        <w:rPr>
          <w:rFonts w:ascii="Times New Roman" w:hAnsi="Times New Roman"/>
          <w:sz w:val="20"/>
          <w:szCs w:val="20"/>
        </w:rPr>
        <w:t>Alt2. The setting of (P0, alpha, closed loop index) is included with UL or (if applicable) joint TCI state</w:t>
      </w:r>
    </w:p>
    <w:p w:rsidR="00E4273B" w:rsidRPr="00BD5EF3" w:rsidRDefault="00E4273B" w:rsidP="00A830DB">
      <w:pPr>
        <w:pStyle w:val="ListParagraph"/>
        <w:numPr>
          <w:ilvl w:val="1"/>
          <w:numId w:val="13"/>
        </w:numPr>
        <w:autoSpaceDN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5EF3">
        <w:rPr>
          <w:rFonts w:ascii="Times New Roman" w:hAnsi="Times New Roman"/>
          <w:sz w:val="20"/>
          <w:szCs w:val="20"/>
        </w:rPr>
        <w:t>Alt3. The setting of (P0, alpha, closed loop index) is neither associated with nor included in UL or (if applicable) joint TCI state</w:t>
      </w:r>
    </w:p>
    <w:p w:rsidR="00E4273B" w:rsidRPr="00BD5EF3" w:rsidRDefault="00E4273B" w:rsidP="00A830DB">
      <w:pPr>
        <w:pStyle w:val="ListParagraph"/>
        <w:numPr>
          <w:ilvl w:val="1"/>
          <w:numId w:val="13"/>
        </w:numPr>
        <w:autoSpaceDN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5EF3">
        <w:rPr>
          <w:rFonts w:ascii="Times New Roman" w:hAnsi="Times New Roman"/>
          <w:sz w:val="20"/>
          <w:szCs w:val="20"/>
        </w:rPr>
        <w:t>Alt4. The setting of (P0, alpha, closed loop index) is determined as in Rel-16 without enhancement</w:t>
      </w:r>
    </w:p>
    <w:p w:rsidR="00756A47" w:rsidRPr="00BD5EF3" w:rsidRDefault="00756A47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2FD" w:rsidRPr="00BD5EF3" w:rsidRDefault="00EA72FD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EF3">
        <w:rPr>
          <w:rFonts w:ascii="Times New Roman" w:hAnsi="Times New Roman" w:cs="Times New Roman"/>
          <w:b/>
          <w:sz w:val="20"/>
          <w:szCs w:val="20"/>
          <w:highlight w:val="green"/>
          <w:u w:val="single"/>
        </w:rPr>
        <w:t>Agreement</w:t>
      </w:r>
      <w:r w:rsidRPr="00BD5EF3">
        <w:rPr>
          <w:rFonts w:ascii="Times New Roman" w:hAnsi="Times New Roman" w:cs="Times New Roman"/>
          <w:sz w:val="20"/>
          <w:szCs w:val="20"/>
        </w:rPr>
        <w:t>: (RAN1#104</w:t>
      </w:r>
      <w:r w:rsidRPr="00BD5EF3">
        <w:rPr>
          <w:rFonts w:ascii="Times New Roman" w:hAnsi="Times New Roman" w:cs="Times New Roman"/>
          <w:sz w:val="20"/>
          <w:szCs w:val="20"/>
        </w:rPr>
        <w:t>bis</w:t>
      </w:r>
      <w:r w:rsidRPr="00BD5EF3">
        <w:rPr>
          <w:rFonts w:ascii="Times New Roman" w:hAnsi="Times New Roman" w:cs="Times New Roman"/>
          <w:sz w:val="20"/>
          <w:szCs w:val="20"/>
        </w:rPr>
        <w:t>-e)</w:t>
      </w:r>
    </w:p>
    <w:p w:rsidR="00EA72FD" w:rsidRPr="00BD5EF3" w:rsidRDefault="00EA72FD" w:rsidP="00A830D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r w:rsidRPr="00BD5EF3">
        <w:rPr>
          <w:rFonts w:ascii="Times New Roman" w:eastAsia="Batang" w:hAnsi="Times New Roman" w:cs="Times New Roman"/>
          <w:sz w:val="20"/>
          <w:szCs w:val="20"/>
          <w:lang w:val="en-GB" w:eastAsia="en-US"/>
        </w:rPr>
        <w:t>On the setting of UL PC parameters except for PL-RS (P0, alpha, closed loop index) for Rel.17 unified TCI framework, for each of PUSCH, PUCCH, and SRS,</w:t>
      </w:r>
      <w:r w:rsidRPr="00BD5EF3">
        <w:rPr>
          <w:rFonts w:ascii="Times New Roman" w:eastAsia="Batang" w:hAnsi="Times New Roman" w:cs="Times New Roman"/>
          <w:color w:val="1F497D"/>
          <w:sz w:val="20"/>
          <w:szCs w:val="20"/>
          <w:lang w:val="en-GB" w:eastAsia="en-US"/>
        </w:rPr>
        <w:t xml:space="preserve"> </w:t>
      </w:r>
      <w:r w:rsidRPr="00BD5EF3">
        <w:rPr>
          <w:rFonts w:ascii="Times New Roman" w:eastAsia="Batang" w:hAnsi="Times New Roman" w:cs="Times New Roman"/>
          <w:sz w:val="20"/>
          <w:szCs w:val="20"/>
          <w:lang w:val="en-GB" w:eastAsia="en-US"/>
        </w:rPr>
        <w:t>in RAN1#105-e, further discuss to down-select or combine from the following alternatives:</w:t>
      </w:r>
    </w:p>
    <w:p w:rsidR="00EA72FD" w:rsidRPr="00BD5EF3" w:rsidRDefault="00EA72FD" w:rsidP="00A830DB">
      <w:pPr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proofErr w:type="spellStart"/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AltA.</w:t>
      </w:r>
      <w:proofErr w:type="spellEnd"/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The setting of (P0, alpha, closed loop index) is also associated with UL or (if applicable) joint TCI state</w:t>
      </w:r>
    </w:p>
    <w:p w:rsidR="00EA72FD" w:rsidRPr="00BD5EF3" w:rsidRDefault="00EA72FD" w:rsidP="00A830DB">
      <w:pPr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proofErr w:type="spellStart"/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AltB</w:t>
      </w:r>
      <w:proofErr w:type="spellEnd"/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. The setting of (P0, alpha, closed loop index) is also included with UL or (if applicable) joint TCI state</w:t>
      </w:r>
    </w:p>
    <w:p w:rsidR="00EA72FD" w:rsidRPr="00BD5EF3" w:rsidRDefault="00EA72FD" w:rsidP="00A830DB">
      <w:pPr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proofErr w:type="spellStart"/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AltC</w:t>
      </w:r>
      <w:proofErr w:type="spellEnd"/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. The setting of (P0, alpha, closed loop index) is neither associated with nor included in UL or (if applicable) joint TCI state</w:t>
      </w:r>
    </w:p>
    <w:p w:rsidR="00EA72FD" w:rsidRPr="00BD5EF3" w:rsidRDefault="00EA72FD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EF3">
        <w:rPr>
          <w:rFonts w:ascii="Times New Roman" w:eastAsia="Batang" w:hAnsi="Times New Roman" w:cs="Times New Roman"/>
          <w:sz w:val="20"/>
          <w:szCs w:val="20"/>
          <w:lang w:val="en-GB" w:eastAsia="en-US"/>
        </w:rPr>
        <w:t>Note: It has been agreed that the setting of (P0, alpha, closed loop index) is associated with UL channel or UL RS (therefore the setting is channel- and signal-specific).</w:t>
      </w:r>
    </w:p>
    <w:p w:rsidR="002F2399" w:rsidRPr="00BD5EF3" w:rsidRDefault="002F2399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73B" w:rsidRPr="00BD5EF3" w:rsidRDefault="00E4273B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A47" w:rsidRDefault="00756A47" w:rsidP="0091638B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2F2399" w:rsidRPr="00AF29B2" w:rsidRDefault="002F2399" w:rsidP="0091638B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AF29B2">
        <w:rPr>
          <w:rFonts w:ascii="Times New Roman" w:hAnsi="Times New Roman" w:cs="Times New Roman"/>
          <w:b/>
          <w:sz w:val="24"/>
          <w:u w:val="single"/>
        </w:rPr>
        <w:t>Issue 1: PL-RS</w:t>
      </w:r>
    </w:p>
    <w:p w:rsidR="002F2399" w:rsidRPr="00BD5EF3" w:rsidRDefault="002F2399" w:rsidP="0091638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0017" w:rsidRPr="00BD5EF3" w:rsidRDefault="00A80017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green"/>
          <w:u w:val="single"/>
        </w:rPr>
      </w:pPr>
    </w:p>
    <w:p w:rsidR="006A2F70" w:rsidRPr="00BD5EF3" w:rsidRDefault="006A2F70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EF3">
        <w:rPr>
          <w:rFonts w:ascii="Times New Roman" w:hAnsi="Times New Roman" w:cs="Times New Roman"/>
          <w:b/>
          <w:sz w:val="20"/>
          <w:szCs w:val="20"/>
          <w:highlight w:val="green"/>
          <w:u w:val="single"/>
        </w:rPr>
        <w:t>Agreement</w:t>
      </w:r>
      <w:r w:rsidRPr="00BD5EF3">
        <w:rPr>
          <w:rFonts w:ascii="Times New Roman" w:hAnsi="Times New Roman" w:cs="Times New Roman"/>
          <w:sz w:val="20"/>
          <w:szCs w:val="20"/>
        </w:rPr>
        <w:t>: (RAN1#104</w:t>
      </w:r>
      <w:r w:rsidRPr="00BD5EF3">
        <w:rPr>
          <w:rFonts w:ascii="Times New Roman" w:hAnsi="Times New Roman" w:cs="Times New Roman"/>
          <w:sz w:val="20"/>
          <w:szCs w:val="20"/>
        </w:rPr>
        <w:t>bis</w:t>
      </w:r>
      <w:r w:rsidRPr="00BD5EF3">
        <w:rPr>
          <w:rFonts w:ascii="Times New Roman" w:hAnsi="Times New Roman" w:cs="Times New Roman"/>
          <w:sz w:val="20"/>
          <w:szCs w:val="20"/>
        </w:rPr>
        <w:t>-e)</w:t>
      </w:r>
    </w:p>
    <w:p w:rsidR="00240743" w:rsidRPr="00BD5EF3" w:rsidRDefault="00240743" w:rsidP="00A830DB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  <w:sz w:val="20"/>
          <w:szCs w:val="20"/>
          <w:lang w:val="en-GB" w:eastAsia="en-US"/>
        </w:rPr>
      </w:pPr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On Rel.17 unified TCI framework, in RAN1#105-e, further discuss to down select or combine from the following three alternatives for PL-RS (note: the text below is based on the agreed description in RAN1#104-e):</w:t>
      </w:r>
    </w:p>
    <w:p w:rsidR="00240743" w:rsidRPr="00BD5EF3" w:rsidRDefault="00240743" w:rsidP="00A830DB">
      <w:pPr>
        <w:numPr>
          <w:ilvl w:val="0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val="en-GB" w:eastAsia="x-none"/>
        </w:rPr>
      </w:pPr>
      <w:proofErr w:type="spellStart"/>
      <w:r w:rsidRPr="00BD5EF3">
        <w:rPr>
          <w:rFonts w:ascii="Times New Roman" w:eastAsia="DengXian" w:hAnsi="Times New Roman" w:cs="Times New Roman"/>
          <w:sz w:val="20"/>
          <w:szCs w:val="20"/>
          <w:lang w:val="en-GB" w:eastAsia="x-none"/>
        </w:rPr>
        <w:t>AltA.</w:t>
      </w:r>
      <w:proofErr w:type="spellEnd"/>
      <w:r w:rsidRPr="00BD5EF3">
        <w:rPr>
          <w:rFonts w:ascii="Times New Roman" w:eastAsia="DengXian" w:hAnsi="Times New Roman" w:cs="Times New Roman"/>
          <w:sz w:val="20"/>
          <w:szCs w:val="20"/>
          <w:lang w:val="en-GB" w:eastAsia="x-none"/>
        </w:rPr>
        <w:t xml:space="preserve"> PL-RS</w:t>
      </w:r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> </w:t>
      </w:r>
      <w:r w:rsidRPr="00BD5EF3">
        <w:rPr>
          <w:rFonts w:ascii="Times New Roman" w:eastAsia="DengXian" w:hAnsi="Times New Roman" w:cs="Times New Roman"/>
          <w:sz w:val="20"/>
          <w:szCs w:val="20"/>
          <w:lang w:val="en-GB" w:eastAsia="x-none"/>
        </w:rPr>
        <w:t>can be</w:t>
      </w:r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> </w:t>
      </w:r>
      <w:r w:rsidRPr="00BD5EF3">
        <w:rPr>
          <w:rFonts w:ascii="Times New Roman" w:eastAsia="DengXian" w:hAnsi="Times New Roman" w:cs="Times New Roman"/>
          <w:sz w:val="20"/>
          <w:szCs w:val="20"/>
          <w:lang w:val="en-GB" w:eastAsia="x-none"/>
        </w:rPr>
        <w:t>included in UL TCI state (or, if applicable, joint TCI state).</w:t>
      </w:r>
    </w:p>
    <w:p w:rsidR="00240743" w:rsidRPr="00BD5EF3" w:rsidRDefault="00240743" w:rsidP="00A830DB">
      <w:pPr>
        <w:numPr>
          <w:ilvl w:val="1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val="en-GB" w:eastAsia="x-none"/>
        </w:rPr>
      </w:pPr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FFS: Whether it is always included or not. If not included, PL-RS is the periodic DL-RS used as a source RS for determining spatial TX filter or the PL RS used for the UL RS in UL or (if applicable) joint TCI state. </w:t>
      </w:r>
    </w:p>
    <w:p w:rsidR="00240743" w:rsidRPr="00BD5EF3" w:rsidRDefault="00240743" w:rsidP="00A830DB">
      <w:pPr>
        <w:numPr>
          <w:ilvl w:val="0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val="en-GB" w:eastAsia="x-none"/>
        </w:rPr>
      </w:pPr>
      <w:proofErr w:type="spellStart"/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>AltB</w:t>
      </w:r>
      <w:proofErr w:type="spellEnd"/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>. PL-RS can be associated with (but not included in) UL TCI state (or, if applicable, joint TCI state)</w:t>
      </w:r>
    </w:p>
    <w:p w:rsidR="00240743" w:rsidRPr="00BD5EF3" w:rsidRDefault="00240743" w:rsidP="00A830DB">
      <w:pPr>
        <w:numPr>
          <w:ilvl w:val="1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val="en-GB" w:eastAsia="x-none"/>
        </w:rPr>
      </w:pPr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>FFS: Exact association mechanism</w:t>
      </w:r>
    </w:p>
    <w:p w:rsidR="00240743" w:rsidRPr="00BD5EF3" w:rsidRDefault="00240743" w:rsidP="00A830DB">
      <w:pPr>
        <w:numPr>
          <w:ilvl w:val="1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val="en-GB" w:eastAsia="x-none"/>
        </w:rPr>
      </w:pPr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FFS: Whether it is always associated or not. If not associated, PL-RS is the periodic DL-RS used as a source RS for determining spatial TX filter or the PL RS used for the UL RS in UL or (if applicable) joint TCI state</w:t>
      </w:r>
    </w:p>
    <w:p w:rsidR="00240743" w:rsidRPr="00BD5EF3" w:rsidRDefault="00240743" w:rsidP="00A830DB">
      <w:pPr>
        <w:numPr>
          <w:ilvl w:val="0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val="en-GB" w:eastAsia="x-none"/>
        </w:rPr>
      </w:pPr>
      <w:proofErr w:type="spellStart"/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AltC</w:t>
      </w:r>
      <w:proofErr w:type="spellEnd"/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. UE calculates path-loss based on periodic DL RS configured as the source RS </w:t>
      </w:r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>for determining spatial TX filter in UL or (if applicable) joint TCI state</w:t>
      </w:r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</w:t>
      </w:r>
    </w:p>
    <w:p w:rsidR="00240743" w:rsidRPr="00BD5EF3" w:rsidRDefault="00240743" w:rsidP="00A830DB">
      <w:pPr>
        <w:numPr>
          <w:ilvl w:val="1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val="en-GB" w:eastAsia="x-none"/>
        </w:rPr>
      </w:pPr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FFS: </w:t>
      </w:r>
      <w:r w:rsidRPr="00BD5EF3">
        <w:rPr>
          <w:rFonts w:ascii="Times New Roman" w:eastAsia="Malgun Gothic" w:hAnsi="Times New Roman" w:cs="Times New Roman"/>
          <w:sz w:val="20"/>
          <w:szCs w:val="20"/>
          <w:lang w:val="en-GB" w:eastAsia="x-none"/>
        </w:rPr>
        <w:t xml:space="preserve">If a PL RS is not </w:t>
      </w:r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 xml:space="preserve">included in or associated with the UL </w:t>
      </w:r>
      <w:r w:rsidRPr="00BD5EF3">
        <w:rPr>
          <w:rFonts w:ascii="Times New Roman" w:eastAsia="Malgun Gothic" w:hAnsi="Times New Roman" w:cs="Times New Roman"/>
          <w:sz w:val="20"/>
          <w:szCs w:val="20"/>
          <w:lang w:val="en-GB" w:eastAsia="x-none"/>
        </w:rPr>
        <w:t>TCI state (or, if applicable, joint TCI state), whether the UE can estimate path-loss based on the PL-RS of an UL RS provided in an UL TCI state (or, if applicable, joint TCI state) as a source RS for determining the spatial TX filter.</w:t>
      </w:r>
    </w:p>
    <w:p w:rsidR="00240743" w:rsidRPr="00BD5EF3" w:rsidRDefault="00240743" w:rsidP="00A830D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r w:rsidRPr="00BD5EF3">
        <w:rPr>
          <w:rFonts w:ascii="Times New Roman" w:eastAsia="Batang" w:hAnsi="Times New Roman" w:cs="Times New Roman"/>
          <w:sz w:val="20"/>
          <w:szCs w:val="20"/>
          <w:lang w:val="en-GB" w:eastAsia="en-US"/>
        </w:rPr>
        <w:t>In addition:</w:t>
      </w:r>
    </w:p>
    <w:p w:rsidR="00240743" w:rsidRPr="00BD5EF3" w:rsidRDefault="00240743" w:rsidP="00A830DB">
      <w:pPr>
        <w:numPr>
          <w:ilvl w:val="0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en-GB" w:eastAsia="x-none"/>
        </w:rPr>
      </w:pPr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 xml:space="preserve">FFS (to be decided in RAN1#105-e) whether a </w:t>
      </w:r>
      <w:proofErr w:type="spellStart"/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>fallback</w:t>
      </w:r>
      <w:proofErr w:type="spellEnd"/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 xml:space="preserve"> scheme is needed and, if so, the details </w:t>
      </w:r>
    </w:p>
    <w:p w:rsidR="00240743" w:rsidRPr="00BD5EF3" w:rsidRDefault="00240743" w:rsidP="00A830DB">
      <w:pPr>
        <w:numPr>
          <w:ilvl w:val="0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en-GB" w:eastAsia="x-none"/>
        </w:rPr>
      </w:pPr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lastRenderedPageBreak/>
        <w:t>FFS: Support additional UE capability to report whether above PLRS determination mechanism is supported</w:t>
      </w:r>
    </w:p>
    <w:p w:rsidR="00240743" w:rsidRPr="00BD5EF3" w:rsidRDefault="00240743" w:rsidP="00A830DB">
      <w:pPr>
        <w:numPr>
          <w:ilvl w:val="0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en-GB" w:eastAsia="x-none"/>
        </w:rPr>
      </w:pPr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>Note: As agreed in RAN1#104-e, the total number of maintained PL-RSs per CC is no more than 4</w:t>
      </w:r>
    </w:p>
    <w:p w:rsidR="00240743" w:rsidRPr="00BD5EF3" w:rsidRDefault="00240743" w:rsidP="00A830DB">
      <w:pPr>
        <w:numPr>
          <w:ilvl w:val="0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en-GB" w:eastAsia="x-none"/>
        </w:rPr>
      </w:pPr>
      <w:r w:rsidRPr="00BD5EF3">
        <w:rPr>
          <w:rFonts w:ascii="Times New Roman" w:eastAsia="Batang" w:hAnsi="Times New Roman" w:cs="Times New Roman"/>
          <w:sz w:val="20"/>
          <w:szCs w:val="20"/>
          <w:lang w:val="en-GB" w:eastAsia="x-none"/>
        </w:rPr>
        <w:t>FFS: investigate the condition(s) agreed in Rel-17 and, if needed, study whether a UE can simultaneously maintain more than four path-loss estimates based on UE capability</w:t>
      </w:r>
    </w:p>
    <w:p w:rsidR="00240743" w:rsidRPr="00BD5EF3" w:rsidRDefault="00240743" w:rsidP="00A830DB">
      <w:pPr>
        <w:numPr>
          <w:ilvl w:val="0"/>
          <w:numId w:val="15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en-GB" w:eastAsia="x-none"/>
        </w:rPr>
      </w:pPr>
      <w:r w:rsidRPr="00BD5EF3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FFS: UE capability for maximum number of active PL-RS across CCs per band</w:t>
      </w:r>
    </w:p>
    <w:p w:rsidR="002F2399" w:rsidRPr="00BD5EF3" w:rsidRDefault="002F2399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7675F5" w:rsidRPr="00BD5EF3" w:rsidRDefault="007675F5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2F70" w:rsidRPr="00BD5EF3" w:rsidRDefault="006A2F70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EF3">
        <w:rPr>
          <w:rFonts w:ascii="Times New Roman" w:hAnsi="Times New Roman" w:cs="Times New Roman"/>
          <w:b/>
          <w:sz w:val="20"/>
          <w:szCs w:val="20"/>
          <w:highlight w:val="green"/>
          <w:u w:val="single"/>
        </w:rPr>
        <w:t>Agreement</w:t>
      </w:r>
      <w:r w:rsidRPr="00BD5EF3">
        <w:rPr>
          <w:rFonts w:ascii="Times New Roman" w:hAnsi="Times New Roman" w:cs="Times New Roman"/>
          <w:sz w:val="20"/>
          <w:szCs w:val="20"/>
        </w:rPr>
        <w:t>: (RAN1#104-e)</w:t>
      </w:r>
    </w:p>
    <w:p w:rsidR="00815812" w:rsidRPr="00BD5EF3" w:rsidRDefault="00815812" w:rsidP="00A830D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EF3">
        <w:rPr>
          <w:rFonts w:ascii="Times New Roman" w:hAnsi="Times New Roman" w:cs="Times New Roman"/>
          <w:sz w:val="20"/>
          <w:szCs w:val="20"/>
        </w:rPr>
        <w:t>On Rel.17 unified TCI framework:</w:t>
      </w:r>
    </w:p>
    <w:p w:rsidR="00815812" w:rsidRPr="00BD5EF3" w:rsidRDefault="00815812" w:rsidP="00A830DB">
      <w:pPr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 xml:space="preserve">Select at least one of the following alternatives by RAN1#104bis-e for path-loss measurement (PL-RS): </w:t>
      </w:r>
    </w:p>
    <w:p w:rsidR="00815812" w:rsidRPr="00BD5EF3" w:rsidRDefault="00815812" w:rsidP="00A830DB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 xml:space="preserve">Alt1. PL-RS can be included in UL TCI state or (if applicable) joint TCI state. </w:t>
      </w:r>
    </w:p>
    <w:p w:rsidR="00815812" w:rsidRPr="00BD5EF3" w:rsidRDefault="00815812" w:rsidP="00A830DB">
      <w:pPr>
        <w:numPr>
          <w:ilvl w:val="2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 xml:space="preserve">FFS: Whether it is always included or not. If not included, PL-RS is the periodic DL-RS used as a source RS for determining spatial TX filter or the PL RS used for the UL RS in UL or (if applicable) joint TCI state.  </w:t>
      </w:r>
    </w:p>
    <w:p w:rsidR="00815812" w:rsidRPr="00BD5EF3" w:rsidRDefault="00815812" w:rsidP="00A830DB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 xml:space="preserve">Alt2. PL-RS can be associated with (but not included in) UL TCI state or (if applicable) joint TCI state </w:t>
      </w:r>
    </w:p>
    <w:p w:rsidR="00815812" w:rsidRPr="00BD5EF3" w:rsidRDefault="00815812" w:rsidP="00A830DB">
      <w:pPr>
        <w:numPr>
          <w:ilvl w:val="2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 xml:space="preserve">FFS: Exact association mechanism </w:t>
      </w:r>
    </w:p>
    <w:p w:rsidR="00815812" w:rsidRPr="00BD5EF3" w:rsidRDefault="00815812" w:rsidP="00A830DB">
      <w:pPr>
        <w:numPr>
          <w:ilvl w:val="2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>FFS: Whether it is always associated or not. If not associated, PL-RS is the periodic DL-RS used as a source RS for determining spatial TX filter or the PL RS used for the UL RS in UL or (if applicable) joint TCI state</w:t>
      </w:r>
    </w:p>
    <w:p w:rsidR="00815812" w:rsidRPr="00BD5EF3" w:rsidRDefault="00815812" w:rsidP="00A830DB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 xml:space="preserve">Alt3. The periodic DL-RS used as a source RS for determining spatial TX filter can be used as PL-RS. In case the periodic DL-RS used as a source RS for determining spatial TX filter is not used as PL-RS, reuse Rel.16 procedure with the same signaling structure (MAC CE+SRI field in UL-related DCI) to indicate PL-RS for UL transmission with minimum enhancement (e.g. pertaining to the use for PUCCH, or using default PL-RS) </w:t>
      </w:r>
    </w:p>
    <w:p w:rsidR="00815812" w:rsidRPr="00BD5EF3" w:rsidRDefault="00815812" w:rsidP="00A830DB">
      <w:pPr>
        <w:numPr>
          <w:ilvl w:val="2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>PL-RS is not additionally configured in or associated to UL TCI state or (if applicable) joint TCI state</w:t>
      </w:r>
    </w:p>
    <w:p w:rsidR="00815812" w:rsidRPr="00BD5EF3" w:rsidRDefault="00815812" w:rsidP="00A830DB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>Alt4. UE calculates path-loss based on periodic DL RS configured as the source RS or a periodic QCL-Type-D/</w:t>
      </w:r>
      <w:proofErr w:type="spellStart"/>
      <w:r w:rsidRPr="00BD5EF3">
        <w:rPr>
          <w:rFonts w:ascii="Times New Roman" w:eastAsia="Times New Roman" w:hAnsi="Times New Roman" w:cs="Times New Roman"/>
          <w:sz w:val="20"/>
          <w:szCs w:val="20"/>
        </w:rPr>
        <w:t>spatialRelationInfo</w:t>
      </w:r>
      <w:proofErr w:type="spellEnd"/>
      <w:r w:rsidRPr="00BD5EF3">
        <w:rPr>
          <w:rFonts w:ascii="Times New Roman" w:eastAsia="Times New Roman" w:hAnsi="Times New Roman" w:cs="Times New Roman"/>
          <w:sz w:val="20"/>
          <w:szCs w:val="20"/>
        </w:rPr>
        <w:t xml:space="preserve"> source of the source RS in UL TCI state or (if applicable) joint TCI state </w:t>
      </w:r>
    </w:p>
    <w:p w:rsidR="00815812" w:rsidRPr="00BD5EF3" w:rsidRDefault="00815812" w:rsidP="00A830DB">
      <w:pPr>
        <w:numPr>
          <w:ilvl w:val="2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>FFS: Whether UE can calculate path-loss based on DL periodic RS for path-loss calculation for UL RS in the UL TCI</w:t>
      </w:r>
    </w:p>
    <w:p w:rsidR="00815812" w:rsidRPr="00BD5EF3" w:rsidRDefault="00815812" w:rsidP="00A830DB">
      <w:pPr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>FFS: Application time of PL-RS</w:t>
      </w:r>
    </w:p>
    <w:p w:rsidR="00815812" w:rsidRPr="00BD5EF3" w:rsidRDefault="00815812" w:rsidP="00A830DB">
      <w:pPr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EF3">
        <w:rPr>
          <w:rFonts w:ascii="Times New Roman" w:eastAsia="Times New Roman" w:hAnsi="Times New Roman" w:cs="Times New Roman"/>
          <w:sz w:val="20"/>
          <w:szCs w:val="20"/>
        </w:rPr>
        <w:t xml:space="preserve">NOTE: As in Rel-16, a UE does not expect to simultaneously maintain more than four path-loss estimates per serving cell for all PUSCH/PUCCH/SRS transmissions </w:t>
      </w:r>
    </w:p>
    <w:p w:rsidR="00815812" w:rsidRPr="00BD5EF3" w:rsidRDefault="00815812" w:rsidP="00A830DB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D5EF3">
        <w:rPr>
          <w:rFonts w:ascii="Times New Roman" w:eastAsia="Times New Roman" w:hAnsi="Times New Roman" w:cs="Times New Roman"/>
          <w:sz w:val="20"/>
          <w:szCs w:val="20"/>
          <w:lang w:eastAsia="en-US"/>
        </w:rPr>
        <w:t>FFS: investigate the condition(s) agreed in Rel-17 and, if needed, study whether a UE can simultaneously maintain more than four path-loss estimates</w:t>
      </w:r>
    </w:p>
    <w:p w:rsidR="00617379" w:rsidRPr="00617379" w:rsidRDefault="00617379" w:rsidP="00617379">
      <w:pPr>
        <w:pStyle w:val="ListParagraph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</w:p>
    <w:sectPr w:rsidR="00617379" w:rsidRPr="0061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65E"/>
    <w:multiLevelType w:val="hybridMultilevel"/>
    <w:tmpl w:val="A7422E7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C816082"/>
    <w:multiLevelType w:val="hybridMultilevel"/>
    <w:tmpl w:val="3B46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505"/>
    <w:multiLevelType w:val="hybridMultilevel"/>
    <w:tmpl w:val="6632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D464B"/>
    <w:multiLevelType w:val="hybridMultilevel"/>
    <w:tmpl w:val="02A2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5E6"/>
    <w:multiLevelType w:val="hybridMultilevel"/>
    <w:tmpl w:val="8688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2B60"/>
    <w:multiLevelType w:val="hybridMultilevel"/>
    <w:tmpl w:val="7EA2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601C5"/>
    <w:multiLevelType w:val="hybridMultilevel"/>
    <w:tmpl w:val="0B46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D7C9B"/>
    <w:multiLevelType w:val="hybridMultilevel"/>
    <w:tmpl w:val="2EBE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8116E"/>
    <w:multiLevelType w:val="hybridMultilevel"/>
    <w:tmpl w:val="B7A2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E0682"/>
    <w:multiLevelType w:val="hybridMultilevel"/>
    <w:tmpl w:val="2AF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56617"/>
    <w:multiLevelType w:val="hybridMultilevel"/>
    <w:tmpl w:val="83C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51415"/>
    <w:multiLevelType w:val="multilevel"/>
    <w:tmpl w:val="1756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10FF3"/>
    <w:multiLevelType w:val="hybridMultilevel"/>
    <w:tmpl w:val="30B0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90AFC"/>
    <w:multiLevelType w:val="hybridMultilevel"/>
    <w:tmpl w:val="2F78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C434A"/>
    <w:multiLevelType w:val="hybridMultilevel"/>
    <w:tmpl w:val="4016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40F66"/>
    <w:multiLevelType w:val="hybridMultilevel"/>
    <w:tmpl w:val="DA90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5"/>
  </w:num>
  <w:num w:numId="5">
    <w:abstractNumId w:val="1"/>
  </w:num>
  <w:num w:numId="6">
    <w:abstractNumId w:val="9"/>
  </w:num>
  <w:num w:numId="7">
    <w:abstractNumId w:val="4"/>
  </w:num>
  <w:num w:numId="8">
    <w:abstractNumId w:val="16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93"/>
    <w:rsid w:val="00002330"/>
    <w:rsid w:val="000261BE"/>
    <w:rsid w:val="00044EFB"/>
    <w:rsid w:val="0004525B"/>
    <w:rsid w:val="00055127"/>
    <w:rsid w:val="00060A24"/>
    <w:rsid w:val="00060B54"/>
    <w:rsid w:val="000667DC"/>
    <w:rsid w:val="000713B0"/>
    <w:rsid w:val="00087783"/>
    <w:rsid w:val="000A123F"/>
    <w:rsid w:val="000C53C7"/>
    <w:rsid w:val="000D7C15"/>
    <w:rsid w:val="000F0BCE"/>
    <w:rsid w:val="000F48A7"/>
    <w:rsid w:val="00111865"/>
    <w:rsid w:val="00113D8A"/>
    <w:rsid w:val="00114E55"/>
    <w:rsid w:val="0014236F"/>
    <w:rsid w:val="00144449"/>
    <w:rsid w:val="00150CA0"/>
    <w:rsid w:val="00166973"/>
    <w:rsid w:val="00183223"/>
    <w:rsid w:val="00194A19"/>
    <w:rsid w:val="001965F3"/>
    <w:rsid w:val="001A4D3B"/>
    <w:rsid w:val="001E1A48"/>
    <w:rsid w:val="00203ED8"/>
    <w:rsid w:val="002279D3"/>
    <w:rsid w:val="002335FB"/>
    <w:rsid w:val="00240743"/>
    <w:rsid w:val="00251FDD"/>
    <w:rsid w:val="00260091"/>
    <w:rsid w:val="002922AE"/>
    <w:rsid w:val="002A7F06"/>
    <w:rsid w:val="002E4AC4"/>
    <w:rsid w:val="002F2399"/>
    <w:rsid w:val="003004D8"/>
    <w:rsid w:val="003065DE"/>
    <w:rsid w:val="00321471"/>
    <w:rsid w:val="00324FDE"/>
    <w:rsid w:val="00334D8F"/>
    <w:rsid w:val="00346FC2"/>
    <w:rsid w:val="00394628"/>
    <w:rsid w:val="003A6068"/>
    <w:rsid w:val="003A793F"/>
    <w:rsid w:val="003D4CC1"/>
    <w:rsid w:val="003E5E23"/>
    <w:rsid w:val="00414F12"/>
    <w:rsid w:val="00420845"/>
    <w:rsid w:val="00430ECD"/>
    <w:rsid w:val="00481C0D"/>
    <w:rsid w:val="00486BB6"/>
    <w:rsid w:val="00497529"/>
    <w:rsid w:val="004D74AD"/>
    <w:rsid w:val="004E48FC"/>
    <w:rsid w:val="004F6B2F"/>
    <w:rsid w:val="00500BA9"/>
    <w:rsid w:val="00502FE3"/>
    <w:rsid w:val="00526172"/>
    <w:rsid w:val="00530CC5"/>
    <w:rsid w:val="0053105A"/>
    <w:rsid w:val="0056275E"/>
    <w:rsid w:val="00565494"/>
    <w:rsid w:val="00583353"/>
    <w:rsid w:val="00586679"/>
    <w:rsid w:val="005A71C1"/>
    <w:rsid w:val="005C7BC3"/>
    <w:rsid w:val="005D5220"/>
    <w:rsid w:val="005F44B9"/>
    <w:rsid w:val="0060763F"/>
    <w:rsid w:val="00617379"/>
    <w:rsid w:val="00623650"/>
    <w:rsid w:val="006254B7"/>
    <w:rsid w:val="00645816"/>
    <w:rsid w:val="00665DD7"/>
    <w:rsid w:val="0069731C"/>
    <w:rsid w:val="006A1DA8"/>
    <w:rsid w:val="006A2F70"/>
    <w:rsid w:val="006C54D4"/>
    <w:rsid w:val="006D7829"/>
    <w:rsid w:val="006E1372"/>
    <w:rsid w:val="006E6231"/>
    <w:rsid w:val="006F7052"/>
    <w:rsid w:val="00706C54"/>
    <w:rsid w:val="00717AAC"/>
    <w:rsid w:val="00720C7C"/>
    <w:rsid w:val="00751EEB"/>
    <w:rsid w:val="007540B3"/>
    <w:rsid w:val="00756A47"/>
    <w:rsid w:val="007675F5"/>
    <w:rsid w:val="00767D6D"/>
    <w:rsid w:val="00777148"/>
    <w:rsid w:val="00777BE3"/>
    <w:rsid w:val="007B0613"/>
    <w:rsid w:val="007C5BA5"/>
    <w:rsid w:val="007D3D0A"/>
    <w:rsid w:val="00813673"/>
    <w:rsid w:val="00815812"/>
    <w:rsid w:val="008423D0"/>
    <w:rsid w:val="008A57FA"/>
    <w:rsid w:val="008A618A"/>
    <w:rsid w:val="008B54A5"/>
    <w:rsid w:val="008C49D9"/>
    <w:rsid w:val="008C4FA3"/>
    <w:rsid w:val="0091638B"/>
    <w:rsid w:val="00923DB9"/>
    <w:rsid w:val="009362A7"/>
    <w:rsid w:val="00953482"/>
    <w:rsid w:val="00961F05"/>
    <w:rsid w:val="009629FB"/>
    <w:rsid w:val="00994AD1"/>
    <w:rsid w:val="00994E03"/>
    <w:rsid w:val="0099561D"/>
    <w:rsid w:val="009B0475"/>
    <w:rsid w:val="009B0876"/>
    <w:rsid w:val="009B4373"/>
    <w:rsid w:val="009F4393"/>
    <w:rsid w:val="00A10983"/>
    <w:rsid w:val="00A129BF"/>
    <w:rsid w:val="00A14DB1"/>
    <w:rsid w:val="00A76C9A"/>
    <w:rsid w:val="00A80017"/>
    <w:rsid w:val="00A830DB"/>
    <w:rsid w:val="00A94312"/>
    <w:rsid w:val="00A96299"/>
    <w:rsid w:val="00AC4C10"/>
    <w:rsid w:val="00AD6D9E"/>
    <w:rsid w:val="00AF29B2"/>
    <w:rsid w:val="00AF5629"/>
    <w:rsid w:val="00B062F5"/>
    <w:rsid w:val="00B130BB"/>
    <w:rsid w:val="00B154D5"/>
    <w:rsid w:val="00B257CF"/>
    <w:rsid w:val="00B302CC"/>
    <w:rsid w:val="00B362D4"/>
    <w:rsid w:val="00BC095C"/>
    <w:rsid w:val="00BD4A82"/>
    <w:rsid w:val="00BD5EF3"/>
    <w:rsid w:val="00BF5976"/>
    <w:rsid w:val="00C00A4A"/>
    <w:rsid w:val="00C31746"/>
    <w:rsid w:val="00C31FDA"/>
    <w:rsid w:val="00C376EF"/>
    <w:rsid w:val="00C41F11"/>
    <w:rsid w:val="00C733C4"/>
    <w:rsid w:val="00C80E0A"/>
    <w:rsid w:val="00CA303D"/>
    <w:rsid w:val="00CA6AB1"/>
    <w:rsid w:val="00CB4E15"/>
    <w:rsid w:val="00CD0DEC"/>
    <w:rsid w:val="00CD4E74"/>
    <w:rsid w:val="00CE0333"/>
    <w:rsid w:val="00CF0EE1"/>
    <w:rsid w:val="00CF34C6"/>
    <w:rsid w:val="00CF6808"/>
    <w:rsid w:val="00D26767"/>
    <w:rsid w:val="00D87548"/>
    <w:rsid w:val="00D95C1D"/>
    <w:rsid w:val="00DA1CFE"/>
    <w:rsid w:val="00DD212D"/>
    <w:rsid w:val="00E0146C"/>
    <w:rsid w:val="00E12224"/>
    <w:rsid w:val="00E4273B"/>
    <w:rsid w:val="00E55BFD"/>
    <w:rsid w:val="00E62ED3"/>
    <w:rsid w:val="00E664B6"/>
    <w:rsid w:val="00E8271A"/>
    <w:rsid w:val="00E86D4D"/>
    <w:rsid w:val="00EA72FD"/>
    <w:rsid w:val="00ED14C9"/>
    <w:rsid w:val="00F07906"/>
    <w:rsid w:val="00F1220E"/>
    <w:rsid w:val="00F14064"/>
    <w:rsid w:val="00F4164E"/>
    <w:rsid w:val="00F5307A"/>
    <w:rsid w:val="00F60448"/>
    <w:rsid w:val="00F84BF4"/>
    <w:rsid w:val="00F93E83"/>
    <w:rsid w:val="00F9775C"/>
    <w:rsid w:val="00FC01F8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1E98"/>
  <w15:chartTrackingRefBased/>
  <w15:docId w15:val="{D5DA5D7C-7F9F-4556-8AF2-51C1B33A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出段落,列表段落"/>
    <w:basedOn w:val="Normal"/>
    <w:link w:val="ListParagraphChar"/>
    <w:uiPriority w:val="34"/>
    <w:qFormat/>
    <w:rsid w:val="0091638B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113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3</cp:revision>
  <dcterms:created xsi:type="dcterms:W3CDTF">2021-05-24T21:52:00Z</dcterms:created>
  <dcterms:modified xsi:type="dcterms:W3CDTF">2021-05-24T21:54:00Z</dcterms:modified>
</cp:coreProperties>
</file>