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C17D79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Hyperlink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[105-e-NR-7.1CRs-13] Issue#28: Correction for HARQ-ACK timing in Rel-16 – Sigen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Gulim"/>
          <w:i/>
          <w:iCs/>
          <w:sz w:val="21"/>
          <w:szCs w:val="21"/>
        </w:rPr>
      </w:pPr>
      <w:r>
        <w:rPr>
          <w:rFonts w:eastAsia="Gulim"/>
          <w:i/>
          <w:iCs/>
          <w:sz w:val="20"/>
          <w:szCs w:val="20"/>
        </w:rPr>
        <w:t>-</w:t>
      </w:r>
      <w:r>
        <w:rPr>
          <w:rFonts w:eastAsia="Gulim"/>
          <w:i/>
          <w:iCs/>
          <w:sz w:val="11"/>
          <w:szCs w:val="11"/>
        </w:rPr>
        <w:t>       </w:t>
      </w:r>
      <w:r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Batang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 xml:space="preserve">Assuming an example as shown in Fig. 1 where DL uses 15 kHz SCS and UL uses 30 kHz SCS, with interpretation 1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 xml:space="preserve">=0 would correspond to UL slot 6, while with interpretation 2 </w:t>
      </w:r>
      <w:r>
        <w:rPr>
          <w:rFonts w:eastAsia="Batang"/>
          <w:i/>
          <w:iCs/>
          <w:sz w:val="20"/>
        </w:rPr>
        <w:t>k</w:t>
      </w:r>
      <w:r>
        <w:rPr>
          <w:rFonts w:eastAsia="Batang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Batang"/>
          <w:sz w:val="22"/>
          <w:szCs w:val="32"/>
        </w:rPr>
      </w:pPr>
      <w:r>
        <w:rPr>
          <w:rFonts w:eastAsia="Batang"/>
          <w:noProof/>
          <w:sz w:val="22"/>
          <w:szCs w:val="32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Caption"/>
        <w:jc w:val="center"/>
        <w:rPr>
          <w:rFonts w:eastAsia="Batang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Batang"/>
          <w:iCs/>
          <w:color w:val="000000"/>
          <w:kern w:val="2"/>
          <w:sz w:val="20"/>
          <w:szCs w:val="20"/>
        </w:rPr>
      </w:pPr>
      <w:r>
        <w:rPr>
          <w:rFonts w:eastAsia="Batang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Batang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Batang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Batang"/>
                <w:i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Batang"/>
          <w:sz w:val="20"/>
        </w:rPr>
      </w:pPr>
    </w:p>
    <w:p w14:paraId="1A90D277" w14:textId="77777777" w:rsidR="00221E7A" w:rsidRDefault="00E97A77">
      <w:pPr>
        <w:spacing w:after="120"/>
        <w:rPr>
          <w:rFonts w:eastAsia="Batang"/>
          <w:sz w:val="20"/>
        </w:rPr>
      </w:pPr>
      <w:r>
        <w:rPr>
          <w:rFonts w:eastAsia="Batang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Batang"/>
          <w:sz w:val="20"/>
        </w:rPr>
      </w:pPr>
      <w:r>
        <w:rPr>
          <w:rFonts w:eastAsia="Batang"/>
          <w:noProof/>
          <w:sz w:val="20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Caption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>for PDSCH1, K1=1 means that the HARQ-ACK should be provided in UL slot 7 (</w:t>
      </w:r>
      <w:proofErr w:type="gramStart"/>
      <w:r>
        <w:rPr>
          <w:lang w:eastAsia="fr-FR"/>
        </w:rPr>
        <w:t>e.g.</w:t>
      </w:r>
      <w:proofErr w:type="gramEnd"/>
      <w:r>
        <w:rPr>
          <w:lang w:eastAsia="fr-FR"/>
        </w:rPr>
        <w:t xml:space="preserve"> PUCCH1). For PDSCH2, K1=1 means that the HARQ-ACK should be provided in UL slot 8 (e.g. PUCCH2).</w:t>
      </w:r>
    </w:p>
    <w:p w14:paraId="59804447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ListParagraph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This means that the HARQ-ACK for PDSCH1 is lost in the codebook construction, and the UE would never transmit it to the gNB.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330AE9A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>, MediaTek</w:t>
            </w:r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  <w:r w:rsidR="00DE3307">
              <w:rPr>
                <w:rFonts w:eastAsiaTheme="minorEastAsia"/>
                <w:sz w:val="20"/>
                <w:szCs w:val="21"/>
                <w:lang w:val="en"/>
              </w:rPr>
              <w:t>, Apple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138EF91C" w14:textId="77777777" w:rsidR="00221E7A" w:rsidRDefault="00E97A77">
            <w:pPr>
              <w:jc w:val="both"/>
              <w:rPr>
                <w:sz w:val="20"/>
                <w:szCs w:val="20"/>
                <w:lang w:val="en" w:eastAsia="fr-FR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  <w:p w14:paraId="36160EDB" w14:textId="204C9BC1" w:rsidR="007E0257" w:rsidRDefault="007E0257">
            <w:pPr>
              <w:jc w:val="both"/>
              <w:rPr>
                <w:sz w:val="20"/>
                <w:szCs w:val="21"/>
                <w:lang w:val="en"/>
              </w:rPr>
            </w:pPr>
            <w:r w:rsidRPr="007E0257">
              <w:rPr>
                <w:color w:val="C00000"/>
                <w:sz w:val="20"/>
                <w:szCs w:val="20"/>
                <w:lang w:val="en" w:eastAsia="fr-FR"/>
              </w:rPr>
              <w:t xml:space="preserve">[Moderator] 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Type-1 CB construction procedure should work regardless of the set of values configured for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K1. </w:t>
            </w:r>
            <w:r>
              <w:rPr>
                <w:color w:val="C00000"/>
                <w:sz w:val="20"/>
                <w:szCs w:val="20"/>
                <w:lang w:val="en" w:eastAsia="fr-FR"/>
              </w:rPr>
              <w:t>The intention of the example is to show that in some cases Type-1 CB construction does not work properly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 for interpretation 1</w:t>
            </w:r>
            <w:r>
              <w:rPr>
                <w:color w:val="C00000"/>
                <w:sz w:val="20"/>
                <w:szCs w:val="20"/>
                <w:lang w:val="en" w:eastAsia="fr-FR"/>
              </w:rPr>
              <w:t xml:space="preserve">.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 xml:space="preserve">I understand that there can be some </w:t>
            </w:r>
            <w:r w:rsidR="00AC0A9F">
              <w:rPr>
                <w:color w:val="C00000"/>
                <w:sz w:val="20"/>
                <w:szCs w:val="20"/>
                <w:lang w:val="en" w:eastAsia="fr-FR"/>
              </w:rPr>
              <w:t xml:space="preserve">other </w:t>
            </w:r>
            <w:r w:rsidR="004419B0">
              <w:rPr>
                <w:color w:val="C00000"/>
                <w:sz w:val="20"/>
                <w:szCs w:val="20"/>
                <w:lang w:val="en" w:eastAsia="fr-FR"/>
              </w:rPr>
              <w:t>cases that Type-1 CB can be constructed properly even with interpretation 1</w:t>
            </w:r>
            <w:r w:rsidR="004531D0">
              <w:rPr>
                <w:color w:val="C00000"/>
                <w:sz w:val="20"/>
                <w:szCs w:val="20"/>
                <w:lang w:val="en" w:eastAsia="fr-FR"/>
              </w:rPr>
              <w:t>, but the point is that this is not true for all cases. Interpretation 2 does not have such an issue. Anyway, since companies understand the issue well, the example is not important.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lastRenderedPageBreak/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</w:t>
            </w:r>
            <w:r>
              <w:rPr>
                <w:rFonts w:eastAsiaTheme="minorEastAsia"/>
                <w:sz w:val="20"/>
                <w:szCs w:val="21"/>
              </w:rPr>
              <w:lastRenderedPageBreak/>
              <w:t xml:space="preserve">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MediaTek</w:t>
            </w:r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Malgun Gothic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Malgun Gothic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Gulim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Gulim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Gulim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Gulim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Malgun Gothic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Malgun Gothic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Interpretation 2, and have the same concern from CATT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ACD9E46" w:rsidR="00DE3307" w:rsidRDefault="00DE3307" w:rsidP="001575FD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64E3F8B6" w14:textId="21218A02" w:rsidR="00DE3307" w:rsidRDefault="00DE3307" w:rsidP="00FE3727">
            <w:pPr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Support interpretation 2</w:t>
            </w:r>
          </w:p>
        </w:tc>
      </w:tr>
    </w:tbl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71074689" w14:textId="0D837801" w:rsidR="00221E7A" w:rsidRDefault="00AC0A9F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During the first round of the discussion, all the companies support interpretation 2. The only issue raised is </w:t>
      </w:r>
      <w:r w:rsidR="00C66DBE">
        <w:rPr>
          <w:sz w:val="20"/>
          <w:szCs w:val="21"/>
        </w:rPr>
        <w:t>the understanding for sub-slot-based HARQ-ACK feedback. For the companies that had provided views, they think “sub-slot” should replace “slot” in this case.</w:t>
      </w:r>
    </w:p>
    <w:p w14:paraId="079F7BE2" w14:textId="409E8F4F" w:rsidR="009F3BC9" w:rsidRDefault="009F3BC9">
      <w:pPr>
        <w:jc w:val="both"/>
        <w:rPr>
          <w:sz w:val="20"/>
          <w:szCs w:val="21"/>
        </w:rPr>
      </w:pPr>
      <w:r>
        <w:rPr>
          <w:sz w:val="20"/>
          <w:szCs w:val="21"/>
        </w:rPr>
        <w:t>Therefore</w:t>
      </w:r>
      <w:r w:rsidR="00813131">
        <w:rPr>
          <w:sz w:val="20"/>
          <w:szCs w:val="21"/>
        </w:rPr>
        <w:t>,</w:t>
      </w:r>
      <w:r>
        <w:rPr>
          <w:sz w:val="20"/>
          <w:szCs w:val="21"/>
        </w:rPr>
        <w:t xml:space="preserve"> </w:t>
      </w:r>
      <w:r w:rsidR="00813131">
        <w:rPr>
          <w:sz w:val="20"/>
          <w:szCs w:val="21"/>
        </w:rPr>
        <w:t>Proposal 1 is</w:t>
      </w:r>
      <w:r>
        <w:rPr>
          <w:sz w:val="20"/>
          <w:szCs w:val="21"/>
        </w:rPr>
        <w:t xml:space="preserve"> proposed</w:t>
      </w:r>
      <w:r w:rsidR="00813131">
        <w:rPr>
          <w:sz w:val="20"/>
          <w:szCs w:val="21"/>
        </w:rPr>
        <w:t xml:space="preserve"> below</w:t>
      </w:r>
      <w:r>
        <w:rPr>
          <w:sz w:val="20"/>
          <w:szCs w:val="21"/>
        </w:rPr>
        <w:t>. The reason that “</w:t>
      </w:r>
      <w:r w:rsidRPr="0079215D">
        <w:rPr>
          <w:sz w:val="20"/>
          <w:szCs w:val="21"/>
        </w:rPr>
        <w:t>in case UL SCS is larger than DL SCS</w:t>
      </w:r>
      <w:r>
        <w:rPr>
          <w:sz w:val="20"/>
          <w:szCs w:val="21"/>
        </w:rPr>
        <w:t xml:space="preserve">” </w:t>
      </w:r>
      <w:r w:rsidR="008C53B8">
        <w:rPr>
          <w:sz w:val="20"/>
          <w:szCs w:val="21"/>
        </w:rPr>
        <w:t xml:space="preserve">is not included in the proposal is to accommodate </w:t>
      </w:r>
      <w:r w:rsidR="00FA376B">
        <w:rPr>
          <w:sz w:val="20"/>
          <w:szCs w:val="21"/>
        </w:rPr>
        <w:t>the case with sub-slot-based HARQ-ACK feedback</w:t>
      </w:r>
      <w:r w:rsidR="005473FE">
        <w:rPr>
          <w:sz w:val="20"/>
          <w:szCs w:val="21"/>
        </w:rPr>
        <w:t>.</w:t>
      </w:r>
      <w:r w:rsidR="00072B00">
        <w:rPr>
          <w:sz w:val="20"/>
          <w:szCs w:val="21"/>
        </w:rPr>
        <w:t xml:space="preserve"> However, it </w:t>
      </w:r>
      <w:r w:rsidR="00733D4F">
        <w:rPr>
          <w:sz w:val="20"/>
          <w:szCs w:val="21"/>
        </w:rPr>
        <w:t>does not really change the intention of the proposal because in case UL SCS is smaller than or equal to DL SCS,</w:t>
      </w:r>
      <w:r w:rsidR="00381B72">
        <w:rPr>
          <w:sz w:val="20"/>
          <w:szCs w:val="21"/>
        </w:rPr>
        <w:t xml:space="preserve"> for slot-based HARQ-ACK feedback,</w:t>
      </w:r>
      <w:r w:rsidR="00733D4F">
        <w:rPr>
          <w:sz w:val="20"/>
          <w:szCs w:val="21"/>
        </w:rPr>
        <w:t xml:space="preserve"> interpretation 2 is </w:t>
      </w:r>
      <w:r w:rsidR="00813131">
        <w:rPr>
          <w:sz w:val="20"/>
          <w:szCs w:val="21"/>
        </w:rPr>
        <w:t>already</w:t>
      </w:r>
      <w:r w:rsidR="00381B72">
        <w:rPr>
          <w:sz w:val="20"/>
          <w:szCs w:val="21"/>
        </w:rPr>
        <w:t xml:space="preserve"> the case anyway.</w:t>
      </w:r>
    </w:p>
    <w:p w14:paraId="2D184B95" w14:textId="7E6D78F2" w:rsidR="00DE3307" w:rsidRPr="00381B72" w:rsidRDefault="00C9544D" w:rsidP="00381B72">
      <w:pPr>
        <w:pStyle w:val="Heading3"/>
        <w:rPr>
          <w:sz w:val="24"/>
          <w:szCs w:val="24"/>
        </w:rPr>
      </w:pPr>
      <w:r w:rsidRPr="00D03059">
        <w:rPr>
          <w:sz w:val="24"/>
          <w:szCs w:val="24"/>
          <w:highlight w:val="lightGray"/>
        </w:rPr>
        <w:t>Proposal 1:</w:t>
      </w:r>
    </w:p>
    <w:p w14:paraId="7A5DF918" w14:textId="77777777" w:rsidR="00FA376B" w:rsidRPr="0035238B" w:rsidRDefault="00C9544D" w:rsidP="0079215D">
      <w:pPr>
        <w:jc w:val="both"/>
        <w:rPr>
          <w:b/>
          <w:bCs/>
          <w:sz w:val="20"/>
          <w:szCs w:val="21"/>
        </w:rPr>
      </w:pPr>
      <w:r w:rsidRPr="0035238B">
        <w:rPr>
          <w:b/>
          <w:bCs/>
          <w:sz w:val="20"/>
          <w:szCs w:val="21"/>
        </w:rPr>
        <w:t>For HARQ-ACK timing in Rel-1</w:t>
      </w:r>
      <w:r w:rsidR="0079215D" w:rsidRPr="0035238B">
        <w:rPr>
          <w:b/>
          <w:bCs/>
          <w:sz w:val="20"/>
          <w:szCs w:val="21"/>
        </w:rPr>
        <w:t>6</w:t>
      </w:r>
      <w:r w:rsidRPr="0035238B">
        <w:rPr>
          <w:b/>
          <w:bCs/>
          <w:sz w:val="20"/>
          <w:szCs w:val="21"/>
        </w:rPr>
        <w:t xml:space="preserve">, </w:t>
      </w:r>
    </w:p>
    <w:p w14:paraId="7227A7DC" w14:textId="1BE99E7B" w:rsidR="00C9544D" w:rsidRPr="0035238B" w:rsidRDefault="00C9544D" w:rsidP="00FA376B">
      <w:pPr>
        <w:pStyle w:val="ListParagraph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slot that overlaps with the DL slot for the PDSCH</w:t>
      </w:r>
      <w:r w:rsidR="00FA376B" w:rsidRPr="0035238B">
        <w:rPr>
          <w:b/>
          <w:bCs/>
          <w:szCs w:val="21"/>
        </w:rPr>
        <w:t xml:space="preserve"> for slot-based HARQ-ACK feedback.</w:t>
      </w:r>
    </w:p>
    <w:p w14:paraId="6C7191D3" w14:textId="5A043BC9" w:rsidR="00FA376B" w:rsidRPr="0035238B" w:rsidRDefault="00FA376B" w:rsidP="005473FE">
      <w:pPr>
        <w:pStyle w:val="ListParagraph"/>
        <w:numPr>
          <w:ilvl w:val="0"/>
          <w:numId w:val="5"/>
        </w:numPr>
        <w:jc w:val="both"/>
        <w:rPr>
          <w:b/>
          <w:bCs/>
          <w:szCs w:val="21"/>
        </w:rPr>
      </w:pPr>
      <w:r w:rsidRPr="0035238B">
        <w:rPr>
          <w:b/>
          <w:bCs/>
          <w:i/>
          <w:iCs/>
          <w:szCs w:val="21"/>
        </w:rPr>
        <w:t>k</w:t>
      </w:r>
      <w:r w:rsidRPr="0035238B">
        <w:rPr>
          <w:b/>
          <w:bCs/>
          <w:szCs w:val="21"/>
        </w:rPr>
        <w:t xml:space="preserve"> = 0 corresponds to the last UL sub-slot that overlaps with the DL slot for the PDSCH for sub-slot-based HARQ-ACK feedback.</w:t>
      </w:r>
    </w:p>
    <w:p w14:paraId="48C5CEA1" w14:textId="7E059CB6" w:rsidR="00C9544D" w:rsidRDefault="00C9544D">
      <w:pPr>
        <w:jc w:val="both"/>
        <w:rPr>
          <w:sz w:val="20"/>
          <w:szCs w:val="21"/>
        </w:rPr>
      </w:pPr>
    </w:p>
    <w:p w14:paraId="6A482CD9" w14:textId="66570718" w:rsidR="004644A9" w:rsidRDefault="004644A9" w:rsidP="004644A9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1.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4644A9" w14:paraId="19CEB1C0" w14:textId="77777777" w:rsidTr="00314FB7">
        <w:trPr>
          <w:trHeight w:val="309"/>
        </w:trPr>
        <w:tc>
          <w:tcPr>
            <w:tcW w:w="1255" w:type="dxa"/>
          </w:tcPr>
          <w:p w14:paraId="6DED7A5D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Company</w:t>
            </w:r>
          </w:p>
        </w:tc>
        <w:tc>
          <w:tcPr>
            <w:tcW w:w="8374" w:type="dxa"/>
          </w:tcPr>
          <w:p w14:paraId="4A7C3373" w14:textId="77777777" w:rsidR="004644A9" w:rsidRDefault="004644A9" w:rsidP="00B76892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4644A9" w14:paraId="61DC13DD" w14:textId="77777777" w:rsidTr="00314FB7">
        <w:tc>
          <w:tcPr>
            <w:tcW w:w="1255" w:type="dxa"/>
          </w:tcPr>
          <w:p w14:paraId="2985C69A" w14:textId="100678F1" w:rsidR="004644A9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13801D58" w14:textId="077CFCF8" w:rsid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The agreement in RAN1#97 for sub-slot based HARQ-ACK feedback is as follows.</w:t>
            </w:r>
          </w:p>
          <w:p w14:paraId="58CA7B26" w14:textId="77777777" w:rsidR="005646DB" w:rsidRPr="005646DB" w:rsidRDefault="005646DB" w:rsidP="005646DB">
            <w:pPr>
              <w:spacing w:after="0" w:line="240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5646DB">
              <w:rPr>
                <w:rFonts w:eastAsia="Batang"/>
                <w:sz w:val="22"/>
                <w:szCs w:val="22"/>
                <w:highlight w:val="green"/>
                <w:lang w:eastAsia="en-US"/>
              </w:rPr>
              <w:t>Agreements</w:t>
            </w:r>
            <w:r w:rsidRPr="005646DB">
              <w:rPr>
                <w:rFonts w:eastAsia="Batang"/>
                <w:sz w:val="22"/>
                <w:szCs w:val="22"/>
                <w:lang w:eastAsia="en-US"/>
              </w:rPr>
              <w:t>:</w:t>
            </w:r>
          </w:p>
          <w:p w14:paraId="6AE341AF" w14:textId="77777777" w:rsidR="005646DB" w:rsidRPr="005646DB" w:rsidRDefault="005646DB" w:rsidP="005646DB">
            <w:pPr>
              <w:spacing w:after="0" w:line="240" w:lineRule="auto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 xml:space="preserve">For sub-slot-based HARQ-ACK feedback procedure, K1 is the number of sub-slots from the </w:t>
            </w:r>
            <w:r w:rsidRPr="005646DB">
              <w:rPr>
                <w:rFonts w:eastAsia="SimSun"/>
                <w:sz w:val="22"/>
                <w:szCs w:val="22"/>
                <w:u w:val="single"/>
              </w:rPr>
              <w:t>sub-slot containing the end of PDSCH</w:t>
            </w:r>
            <w:r w:rsidRPr="005646DB">
              <w:rPr>
                <w:rFonts w:eastAsia="SimSun"/>
                <w:sz w:val="22"/>
                <w:szCs w:val="22"/>
              </w:rPr>
              <w:t xml:space="preserve"> to the sub-slot containing the start of PUCCH. </w:t>
            </w:r>
          </w:p>
          <w:p w14:paraId="2B5BD17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Use UL numerology to define the sub-slot grid for PDSCH-to-sub-slot association.</w:t>
            </w:r>
          </w:p>
          <w:p w14:paraId="7C7F4B25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 xml:space="preserve">FFS: The configurable value range of K1 needs to be extended, and impact to related DCI field </w:t>
            </w:r>
            <w:proofErr w:type="spellStart"/>
            <w:r w:rsidRPr="005646DB">
              <w:rPr>
                <w:rFonts w:eastAsia="SimSun"/>
                <w:sz w:val="22"/>
                <w:szCs w:val="22"/>
              </w:rPr>
              <w:t>bitwidth</w:t>
            </w:r>
            <w:proofErr w:type="spellEnd"/>
            <w:r w:rsidRPr="005646DB">
              <w:rPr>
                <w:rFonts w:eastAsia="SimSun"/>
                <w:sz w:val="22"/>
                <w:szCs w:val="22"/>
              </w:rPr>
              <w:t>.</w:t>
            </w:r>
          </w:p>
          <w:p w14:paraId="3A72BBE2" w14:textId="77777777" w:rsidR="005646DB" w:rsidRPr="005646DB" w:rsidRDefault="005646DB" w:rsidP="005646D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left="714" w:hanging="357"/>
              <w:jc w:val="both"/>
              <w:rPr>
                <w:rFonts w:eastAsia="SimSun"/>
                <w:sz w:val="22"/>
                <w:szCs w:val="22"/>
              </w:rPr>
            </w:pPr>
            <w:r w:rsidRPr="005646DB">
              <w:rPr>
                <w:rFonts w:eastAsia="SimSun"/>
                <w:sz w:val="22"/>
                <w:szCs w:val="22"/>
              </w:rPr>
              <w:t>Note: It has been agreed that K1 is defined following R15 approach but in unit of sub-slot.</w:t>
            </w:r>
          </w:p>
          <w:p w14:paraId="55480B4A" w14:textId="77777777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-GB"/>
              </w:rPr>
            </w:pPr>
          </w:p>
          <w:p w14:paraId="635A6833" w14:textId="583E6FD9" w:rsidR="004644A9" w:rsidRDefault="005646DB" w:rsidP="008D4B14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proposal 1, 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the previous agreement is reverted and the latency for HARQ-ACK feedback is increased as shown in the figure below. We think more discussion is needed involving URLLC delegates and it may not be </w:t>
            </w:r>
            <w:r w:rsidR="008D4B14">
              <w:rPr>
                <w:rFonts w:eastAsiaTheme="minorEastAsia"/>
                <w:sz w:val="20"/>
                <w:szCs w:val="21"/>
              </w:rPr>
              <w:t>appropriate</w:t>
            </w:r>
            <w:r w:rsidR="008D4B14">
              <w:rPr>
                <w:rFonts w:eastAsiaTheme="minorEastAsia" w:hint="eastAsia"/>
                <w:sz w:val="20"/>
                <w:szCs w:val="21"/>
              </w:rPr>
              <w:t xml:space="preserve"> to revert the agreement </w:t>
            </w:r>
            <w:r w:rsidR="00C51110">
              <w:rPr>
                <w:rFonts w:eastAsiaTheme="minorEastAsia" w:hint="eastAsia"/>
                <w:sz w:val="20"/>
                <w:szCs w:val="21"/>
              </w:rPr>
              <w:t>here</w:t>
            </w:r>
            <w:r w:rsidR="008D4B14">
              <w:rPr>
                <w:rFonts w:eastAsiaTheme="minorEastAsia" w:hint="eastAsia"/>
                <w:sz w:val="20"/>
                <w:szCs w:val="21"/>
              </w:rPr>
              <w:t>.</w:t>
            </w:r>
          </w:p>
          <w:p w14:paraId="1E5C64A4" w14:textId="1C50D208" w:rsidR="005646DB" w:rsidRDefault="00C17D79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noProof/>
              </w:rPr>
              <w:object w:dxaOrig="8520" w:dyaOrig="5049" w14:anchorId="42229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8.45pt;height:175.9pt;mso-width-percent:0;mso-height-percent:0;mso-width-percent:0;mso-height-percent:0" o:ole="">
                  <v:imagedata r:id="rId13" o:title=""/>
                </v:shape>
                <o:OLEObject Type="Embed" ProgID="Visio.Drawing.11" ShapeID="_x0000_i1025" DrawAspect="Content" ObjectID="_1683094435" r:id="rId14"/>
              </w:object>
            </w:r>
          </w:p>
          <w:p w14:paraId="0C20D019" w14:textId="33B82319" w:rsidR="005646DB" w:rsidRPr="005646DB" w:rsidRDefault="005646DB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AA2EC0" w14:paraId="68FE0C40" w14:textId="77777777" w:rsidTr="00314FB7">
        <w:tc>
          <w:tcPr>
            <w:tcW w:w="1255" w:type="dxa"/>
          </w:tcPr>
          <w:p w14:paraId="3CC91DD3" w14:textId="78C42D11" w:rsidR="00AA2EC0" w:rsidRPr="00AA2EC0" w:rsidRDefault="00AA2EC0" w:rsidP="00B7689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amsung</w:t>
            </w:r>
          </w:p>
        </w:tc>
        <w:tc>
          <w:tcPr>
            <w:tcW w:w="8374" w:type="dxa"/>
          </w:tcPr>
          <w:p w14:paraId="3F20147F" w14:textId="386DC4A5" w:rsidR="00AA2EC0" w:rsidRPr="00D03059" w:rsidRDefault="00AA2EC0" w:rsidP="00B7689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We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 share the same view with CATT.  If interpretation 2 is adopted for the case with sub-slot based HARQ-ACK feedback, there will be latency issue for URLLC HARQ-ACK. </w:t>
            </w:r>
          </w:p>
          <w:p w14:paraId="0A89F163" w14:textId="311649F5" w:rsidR="00AA2EC0" w:rsidRDefault="00AA2EC0" w:rsidP="00B76892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1F9474AF" w14:textId="131B79E3" w:rsidR="00D03059" w:rsidRDefault="00FE3452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(Please do not </w:t>
      </w:r>
      <w:r w:rsidR="00D62F95">
        <w:rPr>
          <w:sz w:val="20"/>
          <w:szCs w:val="21"/>
        </w:rPr>
        <w:t xml:space="preserve">further </w:t>
      </w:r>
      <w:r>
        <w:rPr>
          <w:sz w:val="20"/>
          <w:szCs w:val="21"/>
        </w:rPr>
        <w:t>comment on Proposal 1.)</w:t>
      </w:r>
    </w:p>
    <w:p w14:paraId="4D15C770" w14:textId="77777777" w:rsidR="00FE3452" w:rsidRDefault="00FE3452">
      <w:pPr>
        <w:jc w:val="both"/>
        <w:rPr>
          <w:sz w:val="20"/>
          <w:szCs w:val="21"/>
        </w:rPr>
      </w:pPr>
    </w:p>
    <w:p w14:paraId="4E56A96D" w14:textId="1B48A605" w:rsidR="00D03059" w:rsidRDefault="00D03059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Based on the feedback above, </w:t>
      </w:r>
      <w:r w:rsidR="00DB4A8B">
        <w:rPr>
          <w:sz w:val="20"/>
          <w:szCs w:val="21"/>
        </w:rPr>
        <w:t>some companies prefer not to take the similar approach for sub-slot-based HARQ-ACK feedback as for slot-based HARQ-ACK feedback. Therefore, the proposal</w:t>
      </w:r>
      <w:r w:rsidR="00EA72DC">
        <w:rPr>
          <w:sz w:val="20"/>
          <w:szCs w:val="21"/>
        </w:rPr>
        <w:t xml:space="preserve"> is updated to </w:t>
      </w:r>
      <w:r w:rsidR="00031394">
        <w:rPr>
          <w:sz w:val="20"/>
          <w:szCs w:val="21"/>
        </w:rPr>
        <w:t xml:space="preserve">address slot-based HARQ-ACK feedback only, while input is collected below for </w:t>
      </w:r>
      <w:r w:rsidR="00031394">
        <w:rPr>
          <w:sz w:val="20"/>
          <w:szCs w:val="21"/>
        </w:rPr>
        <w:t>slot-based HARQ-ACK feedback</w:t>
      </w:r>
      <w:r w:rsidR="00031394">
        <w:rPr>
          <w:sz w:val="20"/>
          <w:szCs w:val="21"/>
        </w:rPr>
        <w:t>.</w:t>
      </w:r>
    </w:p>
    <w:p w14:paraId="1363BAD4" w14:textId="3C7F2515" w:rsidR="003C700D" w:rsidRPr="00381B72" w:rsidRDefault="003C700D" w:rsidP="003C700D">
      <w:pPr>
        <w:pStyle w:val="Heading3"/>
        <w:rPr>
          <w:sz w:val="24"/>
          <w:szCs w:val="24"/>
        </w:rPr>
      </w:pPr>
      <w:r w:rsidRPr="00381B72">
        <w:rPr>
          <w:sz w:val="24"/>
          <w:szCs w:val="24"/>
          <w:highlight w:val="yellow"/>
        </w:rPr>
        <w:t xml:space="preserve">Proposal </w:t>
      </w:r>
      <w:r w:rsidR="00942841">
        <w:rPr>
          <w:sz w:val="24"/>
          <w:szCs w:val="24"/>
          <w:highlight w:val="yellow"/>
        </w:rPr>
        <w:t>1a</w:t>
      </w:r>
      <w:r w:rsidRPr="00381B72">
        <w:rPr>
          <w:sz w:val="24"/>
          <w:szCs w:val="24"/>
          <w:highlight w:val="yellow"/>
        </w:rPr>
        <w:t>:</w:t>
      </w:r>
    </w:p>
    <w:p w14:paraId="50D7C485" w14:textId="18CA4C5C" w:rsidR="003C700D" w:rsidRDefault="003C700D" w:rsidP="003C700D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="00DB4A8B" w:rsidRPr="00DB4A8B">
        <w:rPr>
          <w:b/>
          <w:bCs/>
          <w:sz w:val="20"/>
          <w:szCs w:val="20"/>
        </w:rPr>
        <w:t xml:space="preserve"> </w:t>
      </w:r>
      <w:r w:rsidR="00DB4A8B">
        <w:rPr>
          <w:b/>
          <w:bCs/>
          <w:sz w:val="20"/>
          <w:szCs w:val="20"/>
        </w:rPr>
        <w:t>with</w:t>
      </w:r>
      <w:r w:rsidR="00DB4A8B" w:rsidRPr="00D03059">
        <w:rPr>
          <w:b/>
          <w:bCs/>
          <w:sz w:val="20"/>
          <w:szCs w:val="20"/>
        </w:rPr>
        <w:t xml:space="preserve"> slot-based HARQ-ACK feedback</w:t>
      </w:r>
      <w:r w:rsidRPr="00D03059">
        <w:rPr>
          <w:b/>
          <w:bCs/>
          <w:sz w:val="20"/>
          <w:szCs w:val="20"/>
        </w:rPr>
        <w:t>,</w:t>
      </w:r>
      <w:r w:rsidR="00D944B3" w:rsidRPr="00D944B3">
        <w:t xml:space="preserve"> </w:t>
      </w:r>
      <w:r w:rsidR="00D944B3" w:rsidRPr="00D944B3">
        <w:rPr>
          <w:b/>
          <w:bCs/>
          <w:sz w:val="20"/>
          <w:szCs w:val="20"/>
        </w:rPr>
        <w:t>in case UL SCS is larger than DL SCS,</w:t>
      </w:r>
      <w:r w:rsidRPr="00D03059">
        <w:rPr>
          <w:b/>
          <w:bCs/>
          <w:sz w:val="20"/>
          <w:szCs w:val="20"/>
        </w:rPr>
        <w:t xml:space="preserve"> </w:t>
      </w:r>
      <w:r w:rsidRPr="00D03059">
        <w:rPr>
          <w:b/>
          <w:bCs/>
          <w:i/>
          <w:iCs/>
          <w:sz w:val="20"/>
          <w:szCs w:val="20"/>
        </w:rPr>
        <w:t>k</w:t>
      </w:r>
      <w:r w:rsidRPr="00D03059">
        <w:rPr>
          <w:b/>
          <w:bCs/>
          <w:sz w:val="20"/>
          <w:szCs w:val="20"/>
        </w:rPr>
        <w:t xml:space="preserve"> = 0 corresponds to the last UL slot that overlaps with the DL slot for the PDSCH.</w:t>
      </w:r>
    </w:p>
    <w:p w14:paraId="1A2FD792" w14:textId="77777777" w:rsidR="00D03059" w:rsidRPr="00D03059" w:rsidRDefault="00D03059" w:rsidP="003C700D">
      <w:pPr>
        <w:jc w:val="both"/>
        <w:rPr>
          <w:b/>
          <w:bCs/>
          <w:sz w:val="20"/>
          <w:szCs w:val="20"/>
        </w:rPr>
      </w:pPr>
    </w:p>
    <w:p w14:paraId="009B13D6" w14:textId="7CABE2C6" w:rsidR="003C700D" w:rsidRDefault="003C700D" w:rsidP="003C700D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comments on Proposal </w:t>
      </w:r>
      <w:r w:rsidR="00031394">
        <w:rPr>
          <w:b/>
          <w:bCs/>
          <w:sz w:val="20"/>
          <w:szCs w:val="21"/>
        </w:rPr>
        <w:t>1a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3C700D" w14:paraId="355E73EC" w14:textId="77777777" w:rsidTr="00314FB7">
        <w:trPr>
          <w:trHeight w:val="309"/>
        </w:trPr>
        <w:tc>
          <w:tcPr>
            <w:tcW w:w="1255" w:type="dxa"/>
          </w:tcPr>
          <w:p w14:paraId="5854B356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470C5BB" w14:textId="77777777" w:rsidR="003C700D" w:rsidRDefault="003C700D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3C700D" w14:paraId="220D4AA9" w14:textId="77777777" w:rsidTr="00314FB7">
        <w:tc>
          <w:tcPr>
            <w:tcW w:w="1255" w:type="dxa"/>
          </w:tcPr>
          <w:p w14:paraId="0391E82D" w14:textId="6CF47DBE" w:rsidR="003C700D" w:rsidRPr="005646DB" w:rsidRDefault="003C700D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568E0972" w14:textId="77777777" w:rsidR="003C700D" w:rsidRPr="005646DB" w:rsidRDefault="003C700D" w:rsidP="003C700D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1B512777" w14:textId="77777777" w:rsidR="003C700D" w:rsidRDefault="003C700D">
      <w:pPr>
        <w:jc w:val="both"/>
        <w:rPr>
          <w:sz w:val="20"/>
          <w:szCs w:val="21"/>
        </w:rPr>
      </w:pPr>
    </w:p>
    <w:p w14:paraId="3C12DCFB" w14:textId="3C5E5408" w:rsidR="004644A9" w:rsidDel="00D62F95" w:rsidRDefault="0035238B" w:rsidP="00D62F95">
      <w:pPr>
        <w:jc w:val="both"/>
        <w:rPr>
          <w:del w:id="1" w:author="Sigen Ye" w:date="2021-05-21T09:21:00Z"/>
          <w:sz w:val="20"/>
          <w:szCs w:val="21"/>
        </w:rPr>
      </w:pPr>
      <w:r>
        <w:rPr>
          <w:sz w:val="20"/>
          <w:szCs w:val="21"/>
        </w:rPr>
        <w:lastRenderedPageBreak/>
        <w:t>The TP proposed in [2] can be used as the starting point for discussion.</w:t>
      </w:r>
      <w:ins w:id="2" w:author="Sigen Ye" w:date="2021-05-21T09:22:00Z">
        <w:r w:rsidR="00D62F95">
          <w:rPr>
            <w:sz w:val="20"/>
            <w:szCs w:val="21"/>
          </w:rPr>
          <w:t xml:space="preserve"> How to handle sub-slot-based HARQ-ACK feedback will be </w:t>
        </w:r>
        <w:r w:rsidR="001B24BD">
          <w:rPr>
            <w:sz w:val="20"/>
            <w:szCs w:val="21"/>
          </w:rPr>
          <w:t>addressed after we reach an agreement</w:t>
        </w:r>
      </w:ins>
      <w:ins w:id="3" w:author="Sigen Ye" w:date="2021-05-21T09:23:00Z">
        <w:r w:rsidR="001B24BD">
          <w:rPr>
            <w:sz w:val="20"/>
            <w:szCs w:val="21"/>
          </w:rPr>
          <w:t xml:space="preserve"> on the issue</w:t>
        </w:r>
      </w:ins>
      <w:ins w:id="4" w:author="Sigen Ye" w:date="2021-05-21T09:22:00Z">
        <w:r w:rsidR="001B24BD">
          <w:rPr>
            <w:sz w:val="20"/>
            <w:szCs w:val="21"/>
          </w:rPr>
          <w:t>.</w:t>
        </w:r>
      </w:ins>
      <w:r w:rsidR="00961353">
        <w:rPr>
          <w:sz w:val="20"/>
          <w:szCs w:val="21"/>
        </w:rPr>
        <w:t xml:space="preserve"> </w:t>
      </w:r>
      <w:del w:id="5" w:author="Sigen Ye" w:date="2021-05-21T09:21:00Z">
        <w:r w:rsidR="00961353" w:rsidDel="00D62F95">
          <w:rPr>
            <w:sz w:val="20"/>
            <w:szCs w:val="21"/>
          </w:rPr>
          <w:delText>There is no additional TP proposed for sub-slot-based HARQ-ACK feedback because there is the following sentence in TS 38.213 Clause 9</w:delText>
        </w:r>
        <w:r w:rsidR="004E5268" w:rsidDel="00D62F95">
          <w:rPr>
            <w:sz w:val="20"/>
            <w:szCs w:val="21"/>
          </w:rPr>
          <w:delText>, which should cover the case automatically.</w:delText>
        </w:r>
      </w:del>
    </w:p>
    <w:p w14:paraId="5B704D34" w14:textId="4A7F4B48" w:rsidR="00961353" w:rsidRDefault="00961353" w:rsidP="00D62F95">
      <w:pPr>
        <w:jc w:val="both"/>
        <w:rPr>
          <w:sz w:val="20"/>
          <w:szCs w:val="21"/>
        </w:rPr>
      </w:pPr>
      <w:del w:id="6" w:author="Sigen Ye" w:date="2021-05-21T09:21:00Z">
        <w:r w:rsidDel="00D62F95">
          <w:rPr>
            <w:sz w:val="20"/>
            <w:szCs w:val="21"/>
          </w:rPr>
          <w:delText>“</w:delText>
        </w:r>
        <w:r w:rsidRPr="00961353" w:rsidDel="00D62F95">
          <w:rPr>
            <w:sz w:val="20"/>
            <w:szCs w:val="21"/>
          </w:rPr>
          <w:delText xml:space="preserve">In the remaining of this Clause, if a UE is provided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, a slot for an associated PUCCH</w:delText>
        </w:r>
        <w:r w:rsidR="004E5268" w:rsidDel="00D62F95">
          <w:rPr>
            <w:sz w:val="20"/>
            <w:szCs w:val="21"/>
          </w:rPr>
          <w:delText xml:space="preserve"> </w:delText>
        </w:r>
        <w:r w:rsidRPr="00961353" w:rsidDel="00D62F95">
          <w:rPr>
            <w:sz w:val="20"/>
            <w:szCs w:val="21"/>
          </w:rPr>
          <w:delText xml:space="preserve">transmission includes a number of symbols indicated by </w:delText>
        </w:r>
        <w:r w:rsidRPr="004E5268" w:rsidDel="00D62F95">
          <w:rPr>
            <w:i/>
            <w:iCs/>
            <w:sz w:val="20"/>
            <w:szCs w:val="21"/>
          </w:rPr>
          <w:delText>subslotLengthForPUCCH</w:delText>
        </w:r>
        <w:r w:rsidRPr="00961353" w:rsidDel="00D62F95">
          <w:rPr>
            <w:sz w:val="20"/>
            <w:szCs w:val="21"/>
          </w:rPr>
          <w:delText>.</w:delText>
        </w:r>
        <w:r w:rsidDel="00D62F95">
          <w:rPr>
            <w:sz w:val="20"/>
            <w:szCs w:val="21"/>
          </w:rPr>
          <w:delText>”</w:delText>
        </w:r>
      </w:del>
    </w:p>
    <w:p w14:paraId="2922F319" w14:textId="77777777" w:rsidR="0035238B" w:rsidRPr="00B76892" w:rsidRDefault="0035238B" w:rsidP="00B76892">
      <w:pPr>
        <w:pStyle w:val="Heading3"/>
        <w:rPr>
          <w:sz w:val="24"/>
          <w:szCs w:val="24"/>
          <w:highlight w:val="yellow"/>
        </w:rPr>
      </w:pPr>
      <w:r w:rsidRPr="00B76892">
        <w:rPr>
          <w:sz w:val="24"/>
          <w:szCs w:val="24"/>
          <w:highlight w:val="yellow"/>
        </w:rPr>
        <w:t xml:space="preserve">Proposal 2: </w:t>
      </w:r>
    </w:p>
    <w:p w14:paraId="3DF83237" w14:textId="605E9FBD" w:rsidR="0035238B" w:rsidRPr="004E5268" w:rsidRDefault="0035238B" w:rsidP="0035238B">
      <w:pPr>
        <w:jc w:val="both"/>
        <w:rPr>
          <w:rFonts w:eastAsia="Batang"/>
          <w:b/>
          <w:bCs/>
          <w:iCs/>
          <w:color w:val="000000"/>
          <w:kern w:val="2"/>
          <w:sz w:val="20"/>
          <w:szCs w:val="20"/>
        </w:rPr>
      </w:pPr>
      <w:r w:rsidRPr="004E5268">
        <w:rPr>
          <w:rFonts w:eastAsia="Batang"/>
          <w:b/>
          <w:bCs/>
          <w:iCs/>
          <w:color w:val="000000"/>
          <w:kern w:val="2"/>
          <w:sz w:val="20"/>
          <w:szCs w:val="20"/>
        </w:rPr>
        <w:t>Adopt the following TP for TS 38.213 for Rel-16: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35238B" w14:paraId="795C638D" w14:textId="77777777" w:rsidTr="0035238B">
        <w:tc>
          <w:tcPr>
            <w:tcW w:w="9625" w:type="dxa"/>
          </w:tcPr>
          <w:p w14:paraId="75AB4351" w14:textId="77777777" w:rsidR="0035238B" w:rsidRPr="00481F78" w:rsidRDefault="0035238B" w:rsidP="00314FB7">
            <w:pPr>
              <w:jc w:val="both"/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</w:pPr>
            <w:r w:rsidRPr="00481F78">
              <w:rPr>
                <w:rFonts w:eastAsia="Batang"/>
                <w:b/>
                <w:bCs/>
                <w:iCs/>
                <w:color w:val="000000"/>
                <w:kern w:val="2"/>
                <w:sz w:val="32"/>
                <w:szCs w:val="32"/>
              </w:rPr>
              <w:t>TP for TS 38.213</w:t>
            </w:r>
          </w:p>
          <w:p w14:paraId="46426460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  <w:p w14:paraId="7C118AB7" w14:textId="77777777" w:rsidR="0035238B" w:rsidRPr="00CE6A27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7" w:name="_Ref497329097"/>
            <w:bookmarkStart w:id="8" w:name="_Toc12021469"/>
            <w:bookmarkStart w:id="9" w:name="_Toc20311581"/>
            <w:bookmarkStart w:id="10" w:name="_Toc26719406"/>
            <w:bookmarkStart w:id="11" w:name="_Toc29894839"/>
            <w:bookmarkStart w:id="12" w:name="_Toc29899138"/>
            <w:bookmarkStart w:id="13" w:name="_Toc29899556"/>
            <w:bookmarkStart w:id="14" w:name="_Toc29917293"/>
            <w:bookmarkStart w:id="15" w:name="_Toc36498167"/>
            <w:bookmarkStart w:id="16" w:name="_Toc45699193"/>
            <w:bookmarkStart w:id="17" w:name="_Toc66974071"/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>9.1.2</w:t>
            </w:r>
            <w:r w:rsidRPr="00CE6A27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Type-1 HARQ-ACK codebook determination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4803988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</w:rPr>
            </w:pPr>
            <w:r w:rsidRPr="00CE6A27">
              <w:rPr>
                <w:rFonts w:eastAsia="SimSun"/>
                <w:sz w:val="20"/>
                <w:szCs w:val="20"/>
              </w:rPr>
              <w:t xml:space="preserve">This Clause applies if the UE is configured with </w:t>
            </w:r>
            <w:r w:rsidRPr="00CE6A27">
              <w:rPr>
                <w:rFonts w:eastAsia="SimSun"/>
                <w:i/>
                <w:sz w:val="20"/>
                <w:szCs w:val="20"/>
              </w:rPr>
              <w:t>pdsch-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HARQ-ACK-Codebook</w:t>
            </w:r>
            <w:r w:rsidRPr="00CE6A27" w:rsidDel="00011FE0">
              <w:rPr>
                <w:rFonts w:eastAsia="SimSun" w:cs="Arial"/>
                <w:i/>
                <w:sz w:val="20"/>
                <w:szCs w:val="20"/>
                <w:lang w:val="en-GB"/>
              </w:rPr>
              <w:t xml:space="preserve"> </w:t>
            </w:r>
            <w:r w:rsidRPr="00CE6A27">
              <w:rPr>
                <w:rFonts w:eastAsia="SimSun" w:cs="Arial"/>
                <w:i/>
                <w:sz w:val="20"/>
                <w:szCs w:val="20"/>
                <w:lang w:val="en-GB"/>
              </w:rPr>
              <w:t>= semi-static</w:t>
            </w:r>
            <w:r w:rsidRPr="00CE6A27">
              <w:rPr>
                <w:rFonts w:eastAsia="SimSun" w:cs="Arial"/>
                <w:sz w:val="20"/>
                <w:szCs w:val="20"/>
                <w:lang w:val="en-GB"/>
              </w:rPr>
              <w:t>.</w:t>
            </w:r>
          </w:p>
          <w:p w14:paraId="4CFE3074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A UE reports HARQ-ACK information for a corresponding PDSCH reception or SPS PDSCH release only in a HARQ-ACK codebook that the UE transmits in a slot indicated by a value of a PDSCH-to-HARQ_feedback timing indicator field in a corresponding DCI format. The UE reports NACK value(s) for HARQ-ACK information bit(s) in a HARQ-ACK codebook that the UE transmits in a slot not indicated by a value of a PDSCH-to-HARQ_feedback timing indicator field in a corresponding DCI format. </w:t>
            </w:r>
          </w:p>
          <w:p w14:paraId="4E95B6B2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If a UE is not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pdsch-HARQ-ACK-OneShotFeedback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does not expect to receive a PDSCH scheduled by a DCI format that the UE detects in any PDCCH monitoring occasion and includes a PDSCH-to-HARQ_feedback timing indicator field providing an inapplicable value from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dl-DataToUL-ACK-r16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608E9B5C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/>
              </w:rPr>
              <w:t xml:space="preserve">If the UE is provided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CE6A27">
              <w:rPr>
                <w:rFonts w:eastAsia="SimSun" w:hint="eastAsia"/>
                <w:sz w:val="20"/>
                <w:szCs w:val="20"/>
                <w:lang w:val="en-GB"/>
              </w:rPr>
              <w:t>and no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entry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pdsch-TimeDomainAllocationList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and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pdsch-TimeDomainAllocationListDCI-1-2</w:t>
            </w:r>
            <w:r w:rsidRPr="00CE6A27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 includes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/>
              </w:rPr>
              <w:t>repetitionNumber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PDSCH-TimeDomainResourceAllocation-r16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maximum value of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pdsch-AggregationFactor-r16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SPS-Config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pdsch-AggregationFactor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in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en-GB" w:eastAsia="en-US"/>
              </w:rPr>
              <w:t>PDSCH-Config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; otherwise 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repeat,max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=1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. The UE reports HARQ-ACK information for a PDSCH reception</w:t>
            </w:r>
          </w:p>
          <w:p w14:paraId="59EB0A5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sz w:val="20"/>
                          <w:szCs w:val="20"/>
                          <w:lang w:val="x-none" w:eastAsia="en-US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sz w:val="20"/>
                          <w:szCs w:val="20"/>
                          <w:lang w:val="x-none" w:eastAsia="en-US"/>
                        </w:rPr>
                        <m:t>D</m:t>
                      </m:r>
                    </m:sub>
                  </m:s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-N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+1+1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>if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PDSCH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repeat</m:t>
                  </m:r>
                </m:sup>
              </m:sSubSup>
            </m:oMath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is 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>provided by</w:t>
            </w:r>
            <w:r w:rsidRPr="00CE6A27">
              <w:rPr>
                <w:rFonts w:eastAsia="SimSun" w:cs="Times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 w:cs="Times"/>
                <w:i/>
                <w:iCs/>
                <w:sz w:val="20"/>
                <w:szCs w:val="20"/>
                <w:lang w:val="x-none" w:eastAsia="en-US"/>
              </w:rPr>
              <w:t>pdsch-AggregationFactor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or 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en-US"/>
              </w:rPr>
              <w:t>pdsch-AggregationFactor-r16</w:t>
            </w:r>
            <w:r w:rsidRPr="00CE6A27">
              <w:rPr>
                <w:rFonts w:eastAsia="SimSun" w:cs="Times"/>
                <w:sz w:val="20"/>
                <w:szCs w:val="20"/>
                <w:lang w:eastAsia="en-US"/>
              </w:rPr>
              <w:t xml:space="preserve"> [6, TS 38.214]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, or </w:t>
            </w:r>
          </w:p>
          <w:p w14:paraId="28F77C80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ko-KR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  <w:t xml:space="preserve">from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  <m:r>
                <w:rPr>
                  <w:rFonts w:ascii="Cambria Math" w:eastAsia="SimSun" w:hAnsi="Cambria Math"/>
                  <w:sz w:val="20"/>
                  <w:szCs w:val="20"/>
                  <w:lang w:val="x-none" w:eastAsia="en-US"/>
                </w:rPr>
                <m:t>-repetitionNumber+1</m:t>
              </m:r>
            </m:oMath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to </w:t>
            </w:r>
            <w:r w:rsidRPr="00CE6A27">
              <w:rPr>
                <w:rFonts w:eastAsia="SimSun"/>
                <w:sz w:val="20"/>
                <w:szCs w:val="20"/>
                <w:lang w:eastAsia="en-US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if the </w:t>
            </w:r>
            <w:r w:rsidRPr="00CE6A27">
              <w:rPr>
                <w:rFonts w:eastAsia="SimSun"/>
                <w:iCs/>
                <w:sz w:val="20"/>
                <w:szCs w:val="20"/>
                <w:lang w:eastAsia="ko-KR"/>
              </w:rPr>
              <w:t>t</w:t>
            </w:r>
            <w:r w:rsidRPr="00CE6A27">
              <w:rPr>
                <w:rFonts w:eastAsia="SimSun"/>
                <w:iCs/>
                <w:sz w:val="20"/>
                <w:szCs w:val="20"/>
                <w:lang w:val="x-none" w:eastAsia="ko-KR"/>
              </w:rPr>
              <w:t>ime domain resource assignment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field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the DCI format scheduling the PDSCH reception indicates an entry containing </w:t>
            </w:r>
            <w:r w:rsidRPr="00CE6A27">
              <w:rPr>
                <w:rFonts w:eastAsia="SimSun"/>
                <w:i/>
                <w:iCs/>
                <w:sz w:val="20"/>
                <w:szCs w:val="20"/>
              </w:rPr>
              <w:t>repetitionNumber</w:t>
            </w:r>
            <w:r w:rsidRPr="00CE6A27">
              <w:rPr>
                <w:rFonts w:eastAsia="SimSun"/>
                <w:i/>
                <w:iCs/>
                <w:sz w:val="20"/>
                <w:szCs w:val="20"/>
                <w:lang w:val="x-none" w:eastAsia="ko-KR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or </w:t>
            </w:r>
          </w:p>
          <w:p w14:paraId="39700162" w14:textId="77777777" w:rsidR="0035238B" w:rsidRPr="00CE6A27" w:rsidRDefault="0035238B" w:rsidP="00314FB7">
            <w:pPr>
              <w:spacing w:after="180"/>
              <w:ind w:left="568" w:hanging="284"/>
              <w:rPr>
                <w:rFonts w:eastAsia="SimSun"/>
                <w:sz w:val="20"/>
                <w:szCs w:val="20"/>
                <w:lang w:val="x-none" w:eastAsia="en-US"/>
              </w:rPr>
            </w:pP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>-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ab/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in </w:t>
            </w:r>
            <w:r w:rsidRPr="00CE6A27">
              <w:rPr>
                <w:rFonts w:eastAsia="SimSun"/>
                <w:sz w:val="20"/>
                <w:szCs w:val="20"/>
                <w:lang w:eastAsia="ko-KR"/>
              </w:rPr>
              <w:t xml:space="preserve">DL 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x-none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x-none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eastAsia="en-US"/>
              </w:rPr>
              <w:t>,</w:t>
            </w:r>
            <w:r w:rsidRPr="00CE6A27">
              <w:rPr>
                <w:rFonts w:eastAsia="SimSun"/>
                <w:sz w:val="20"/>
                <w:szCs w:val="20"/>
                <w:lang w:val="x-none" w:eastAsia="ko-KR"/>
              </w:rPr>
              <w:t xml:space="preserve"> otherwise</w:t>
            </w:r>
            <w:r w:rsidRPr="00CE6A27">
              <w:rPr>
                <w:rFonts w:eastAsia="SimSun"/>
                <w:sz w:val="20"/>
                <w:szCs w:val="20"/>
                <w:lang w:val="x-none" w:eastAsia="en-US"/>
              </w:rPr>
              <w:t xml:space="preserve"> </w:t>
            </w:r>
          </w:p>
          <w:p w14:paraId="18F1E000" w14:textId="77777777" w:rsidR="0035238B" w:rsidRPr="00CE6A27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only in a HARQ-ACK codebook that the UE includes in a PUCCH or PUSCH transmission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</w:t>
            </w:r>
            <w:del w:id="18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>a</w:delText>
              </w:r>
            </w:del>
            <w:ins w:id="19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>the last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del w:id="20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UL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>slot</w:t>
            </w:r>
            <w:ins w:id="21" w:author="Sigen Ye" w:date="2021-05-09T23:38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 based on the UL SCS</w:t>
              </w:r>
            </w:ins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overlapping with </w:t>
            </w:r>
            <w:del w:id="22" w:author="Sigen Ye" w:date="2021-05-09T23:38:00Z">
              <w:r w:rsidRPr="00CE6A27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the end of the PDSCH reception in </w:delText>
              </w:r>
            </w:del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DL slot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i/>
                      <w:sz w:val="20"/>
                      <w:szCs w:val="20"/>
                      <w:lang w:val="en-GB" w:eastAsia="en-US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n</m:t>
                  </m:r>
                </m:e>
                <m:sub>
                  <m:r>
                    <w:rPr>
                      <w:rFonts w:ascii="Cambria Math" w:eastAsia="SimSun" w:hAnsi="Cambria Math"/>
                      <w:sz w:val="20"/>
                      <w:szCs w:val="20"/>
                      <w:lang w:val="en-GB" w:eastAsia="en-US"/>
                    </w:rPr>
                    <m:t>D</m:t>
                  </m:r>
                </m:sub>
              </m:sSub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and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indicated by the PDSCH-to-HARQ_feedback timing indicator field in a corresponding DCI format or provided by </w:t>
            </w:r>
            <w:r w:rsidRPr="00CE6A27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CE6A27">
              <w:rPr>
                <w:rFonts w:eastAsia="SimSun" w:hint="eastAsia"/>
                <w:sz w:val="20"/>
                <w:szCs w:val="20"/>
              </w:rPr>
              <w:t xml:space="preserve"> </w:t>
            </w:r>
            <w:r w:rsidRPr="00CE6A27">
              <w:rPr>
                <w:rFonts w:eastAsia="SimSun"/>
                <w:sz w:val="20"/>
                <w:szCs w:val="20"/>
              </w:rPr>
              <w:t>if the PDSCH-to-HARQ_feedback timing indicator field is not present in the DCI format</w:t>
            </w:r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. If the UE reports HARQ-ACK information for the PDSCH reception in a slot other than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CE6A27">
              <w:rPr>
                <w:rFonts w:eastAsia="SimSun"/>
                <w:sz w:val="20"/>
                <w:szCs w:val="20"/>
                <w:lang w:val="en-GB" w:eastAsia="en-US"/>
              </w:rPr>
              <w:t xml:space="preserve">, the UE sets a value for each corresponding HARQ-ACK information bit to NACK. </w:t>
            </w:r>
            <w:r w:rsidRPr="00A042B3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122B19D9" w14:textId="77777777" w:rsidR="0035238B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1A8B5601" w14:textId="77777777" w:rsidR="0035238B" w:rsidRPr="00DD38C9" w:rsidRDefault="0035238B" w:rsidP="00314FB7">
            <w:pPr>
              <w:keepNext/>
              <w:keepLines/>
              <w:spacing w:before="120" w:after="180"/>
              <w:outlineLvl w:val="2"/>
              <w:rPr>
                <w:rFonts w:ascii="Arial" w:eastAsia="SimSun" w:hAnsi="Arial"/>
                <w:sz w:val="28"/>
                <w:szCs w:val="20"/>
                <w:lang w:val="en-GB" w:eastAsia="en-US"/>
              </w:rPr>
            </w:pPr>
            <w:bookmarkStart w:id="23" w:name="_Toc29894850"/>
            <w:bookmarkStart w:id="24" w:name="_Toc29899149"/>
            <w:bookmarkStart w:id="25" w:name="_Toc29899567"/>
            <w:bookmarkStart w:id="26" w:name="_Toc29917304"/>
            <w:bookmarkStart w:id="27" w:name="_Toc36498178"/>
            <w:bookmarkStart w:id="28" w:name="_Toc45699204"/>
            <w:bookmarkStart w:id="29" w:name="_Toc66974082"/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lastRenderedPageBreak/>
              <w:t>9.2.3</w:t>
            </w:r>
            <w:r w:rsidRPr="00DD38C9">
              <w:rPr>
                <w:rFonts w:ascii="Arial" w:eastAsia="SimSun" w:hAnsi="Arial"/>
                <w:sz w:val="28"/>
                <w:szCs w:val="20"/>
                <w:lang w:val="en-GB" w:eastAsia="en-US"/>
              </w:rPr>
              <w:tab/>
              <w:t>UE procedure for reporting HARQ-ACK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  <w:p w14:paraId="6E6F125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A UE does not expect to transmit more than one PUCCH with HARQ-ACK information in a slot </w:t>
            </w:r>
            <w:r w:rsidRPr="00DD38C9">
              <w:rPr>
                <w:rFonts w:eastAsia="SimSun" w:hint="eastAsia"/>
                <w:sz w:val="20"/>
                <w:szCs w:val="20"/>
                <w:lang w:val="en-GB"/>
              </w:rPr>
              <w:t>per priority index</w:t>
            </w:r>
            <w:r w:rsidRPr="00DD38C9">
              <w:rPr>
                <w:rFonts w:eastAsia="DengXian" w:hint="eastAsia"/>
                <w:sz w:val="20"/>
                <w:szCs w:val="20"/>
                <w:lang w:val="en-GB" w:eastAsia="en-US"/>
              </w:rPr>
              <w:t xml:space="preserve">, if the UE is not provided </w:t>
            </w:r>
            <w:r w:rsidRPr="00DD38C9">
              <w:rPr>
                <w:rFonts w:eastAsia="DengXian" w:hint="eastAsia"/>
                <w:i/>
                <w:sz w:val="20"/>
                <w:szCs w:val="20"/>
                <w:lang w:val="en-GB" w:eastAsia="en-US"/>
              </w:rPr>
              <w:t>ackNackFeedbackMode = separate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36208E38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DCI format 1_0, the PDSCH-to-HARQ_feedback timing indicator field values map to {1, 2, 3, 4, 5, 6, 7, 8}. For a DCI format, other than DCI format 1_0, scheduling a PDSCH reception or a SPS PDSCH release, the PDSCH-to-HARQ_feedback timing indicator field values, if present, map to values for a set of number of slots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defined in Table 9.2.3-1. </w:t>
            </w:r>
          </w:p>
          <w:p w14:paraId="19FCCDBE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For a SPS PDSCH reception ending in slot </w:t>
            </w:r>
            <w:r w:rsidRPr="00DD38C9">
              <w:rPr>
                <w:rFonts w:eastAsia="SimSun"/>
                <w:noProof/>
                <w:position w:val="-6"/>
                <w:sz w:val="20"/>
                <w:szCs w:val="20"/>
              </w:rPr>
              <w:drawing>
                <wp:inline distT="0" distB="0" distL="0" distR="0" wp14:anchorId="6863FEF2" wp14:editId="5F388B50">
                  <wp:extent cx="109220" cy="139065"/>
                  <wp:effectExtent l="0" t="0" r="5080" b="635"/>
                  <wp:docPr id="943" name="Picture 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transmits the PUCCH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 xml:space="preserve"> is provided by the PDSCH-to-HARQ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_feedback </w:t>
            </w:r>
            <w:r w:rsidRPr="00DD38C9">
              <w:rPr>
                <w:rFonts w:ascii="Times" w:eastAsia="SimSun" w:hAnsi="Times" w:cs="Times"/>
                <w:sz w:val="20"/>
                <w:szCs w:val="20"/>
                <w:lang w:val="en-GB" w:eastAsia="en-US"/>
              </w:rPr>
              <w:t>timing indicator field, if present, in a DCI format activating the SPS PDSCH reception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126DABDF" w14:textId="77777777" w:rsidR="0035238B" w:rsidRPr="00DD38C9" w:rsidRDefault="0035238B" w:rsidP="00314FB7">
            <w:pPr>
              <w:spacing w:after="180"/>
              <w:rPr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If the UE detects a DCI format that does not include a PDSCH-to-HARQ_feedback timing indicator field and schedules a PDSCH reception or activates a SPS PDSCH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>.</w:t>
            </w:r>
          </w:p>
          <w:p w14:paraId="1467462F" w14:textId="77777777" w:rsidR="0035238B" w:rsidRDefault="0035238B" w:rsidP="00314FB7">
            <w:pPr>
              <w:spacing w:after="180"/>
              <w:rPr>
                <w:ins w:id="30" w:author="Author"/>
                <w:rFonts w:eastAsia="SimSun"/>
                <w:sz w:val="20"/>
                <w:szCs w:val="20"/>
                <w:lang w:val="en-GB" w:eastAsia="en-US"/>
              </w:rPr>
            </w:pP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With reference to slots for PUCCH transmissions, if the UE detects a DCI format scheduling a PDSCH reception ending in slot </w:t>
            </w:r>
            <w:bookmarkStart w:id="31" w:name="_Hlk39321600"/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bookmarkEnd w:id="31"/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or if the UE detects a DCI format indicating a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indicating SCell dormancy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or if the UE detects a DCI format that requests Type-3 HARQ-ACK codebook report and does not schedule a PDSCH reception through a PDCCH reception ending 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as described in Clause 9.1.4, the UE provides corresponding HARQ-ACK information in a PUCCH transmission within slot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n+k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where </w:t>
            </w: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is a number of slots and is indicated by the PDSCH-to-HARQ_feedback timing indicator field in the DCI format, if present, or provided by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dl-DataToUL-ACK-r16</w:t>
            </w:r>
            <w:r w:rsidRPr="00DD38C9">
              <w:rPr>
                <w:rFonts w:eastAsia="SimSun"/>
                <w:iCs/>
                <w:sz w:val="20"/>
                <w:szCs w:val="20"/>
                <w:lang w:val="en-GB" w:eastAsia="en-US"/>
              </w:rPr>
              <w:t xml:space="preserve">,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</w:t>
            </w:r>
            <w:r w:rsidRPr="00DD38C9">
              <w:rPr>
                <w:rFonts w:eastAsia="SimSun"/>
                <w:i/>
                <w:sz w:val="20"/>
                <w:szCs w:val="20"/>
                <w:lang w:val="en-GB" w:eastAsia="en-US"/>
              </w:rPr>
              <w:t>dl-DataToUL-ACKForDCIFormat1_2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. </w:t>
            </w:r>
          </w:p>
          <w:p w14:paraId="58FC2714" w14:textId="77777777" w:rsidR="0035238B" w:rsidRPr="00FF3225" w:rsidRDefault="0035238B" w:rsidP="00314FB7">
            <w:pPr>
              <w:spacing w:after="180"/>
              <w:rPr>
                <w:sz w:val="20"/>
                <w:szCs w:val="20"/>
                <w:lang w:val="en-GB" w:eastAsia="en-US"/>
              </w:rPr>
            </w:pPr>
            <m:oMath>
              <m:r>
                <w:rPr>
                  <w:rFonts w:ascii="Cambria Math" w:eastAsia="SimSun" w:hAnsi="Cambria Math"/>
                  <w:sz w:val="20"/>
                  <w:szCs w:val="20"/>
                  <w:lang w:val="en-GB" w:eastAsia="en-US"/>
                </w:rPr>
                <m:t>k=0</m:t>
              </m:r>
            </m:oMath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 corresponds to the last slot </w:t>
            </w:r>
            <w:del w:id="32" w:author="Sigen Ye" w:date="2021-05-09T23:39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of the PUCCH transmission </w:delText>
              </w:r>
            </w:del>
            <w:ins w:id="33" w:author="Sigen Ye" w:date="2021-05-09T23:39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based on the UL SCS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that overlaps with the </w:t>
            </w:r>
            <w:ins w:id="34" w:author="Sigen Ye" w:date="2021-05-09T23:40:00Z">
              <w:r>
                <w:rPr>
                  <w:rFonts w:eastAsia="SimSun"/>
                  <w:sz w:val="20"/>
                  <w:szCs w:val="20"/>
                  <w:lang w:val="en-GB" w:eastAsia="en-US"/>
                </w:rPr>
                <w:t xml:space="preserve">DL slot for </w:t>
              </w:r>
            </w:ins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PDSCH reception or </w:t>
            </w:r>
            <w:del w:id="35" w:author="Sigen Ye" w:date="2021-05-09T23:40:00Z">
              <w:r w:rsidRPr="00DD38C9" w:rsidDel="005619DF">
                <w:rPr>
                  <w:rFonts w:eastAsia="SimSun"/>
                  <w:sz w:val="20"/>
                  <w:szCs w:val="20"/>
                  <w:lang w:val="en-GB" w:eastAsia="en-US"/>
                </w:rPr>
                <w:delText xml:space="preserve">with </w:delText>
              </w:r>
            </w:del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the PDCCH reception in case of SPS PDSCH release </w:t>
            </w:r>
            <w:r w:rsidRPr="00DD38C9">
              <w:rPr>
                <w:rFonts w:eastAsia="SimSun" w:hint="eastAsia"/>
                <w:sz w:val="20"/>
                <w:szCs w:val="20"/>
              </w:rPr>
              <w:t xml:space="preserve">or in case of </w:t>
            </w:r>
            <w:r w:rsidRPr="00DD38C9">
              <w:rPr>
                <w:rFonts w:eastAsia="SimSun" w:cs="Arial"/>
                <w:sz w:val="20"/>
                <w:szCs w:val="20"/>
                <w:lang w:eastAsia="en-US"/>
              </w:rPr>
              <w:t>SCell dormancy</w:t>
            </w:r>
            <w:r w:rsidRPr="00DD38C9">
              <w:rPr>
                <w:rFonts w:eastAsia="SimSun" w:cs="Arial" w:hint="eastAsia"/>
                <w:sz w:val="20"/>
                <w:szCs w:val="20"/>
              </w:rPr>
              <w:t xml:space="preserve"> indication </w:t>
            </w:r>
            <w:r w:rsidRPr="00DD38C9">
              <w:rPr>
                <w:rFonts w:eastAsia="SimSun"/>
                <w:sz w:val="20"/>
                <w:szCs w:val="20"/>
                <w:lang w:val="en-GB" w:eastAsia="en-US"/>
              </w:rPr>
              <w:t xml:space="preserve">or in case of the DCI format that requests Type-3 HARQ-ACK codebook report and does not schedule a PDSCH reception. </w:t>
            </w:r>
            <w:r w:rsidRPr="00FF3225">
              <w:rPr>
                <w:sz w:val="20"/>
                <w:szCs w:val="20"/>
                <w:lang w:val="en-GB" w:eastAsia="en-US"/>
              </w:rPr>
              <w:t xml:space="preserve"> </w:t>
            </w:r>
          </w:p>
          <w:p w14:paraId="5C741855" w14:textId="77777777" w:rsidR="0035238B" w:rsidRPr="00FF3225" w:rsidRDefault="0035238B" w:rsidP="00314FB7">
            <w:pPr>
              <w:jc w:val="center"/>
              <w:rPr>
                <w:rFonts w:eastAsia="Batang"/>
                <w:iCs/>
                <w:color w:val="000000"/>
                <w:kern w:val="2"/>
                <w:sz w:val="22"/>
                <w:szCs w:val="22"/>
                <w:lang w:val="en-GB"/>
              </w:rPr>
            </w:pP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&lt; </w:t>
            </w:r>
            <w:r w:rsidRPr="00F7577F">
              <w:rPr>
                <w:rFonts w:eastAsia="SimSun"/>
                <w:color w:val="FF0000"/>
                <w:sz w:val="20"/>
                <w:szCs w:val="20"/>
                <w:lang w:val="en-GB" w:eastAsia="en-US"/>
              </w:rPr>
              <w:t>Unchanged parts are omitted</w:t>
            </w:r>
            <w:r w:rsidRPr="00F7577F">
              <w:rPr>
                <w:rFonts w:eastAsia="SimSun" w:hint="eastAsia"/>
                <w:color w:val="FF0000"/>
                <w:sz w:val="20"/>
                <w:szCs w:val="20"/>
                <w:lang w:val="en-GB"/>
              </w:rPr>
              <w:t xml:space="preserve"> &gt;</w:t>
            </w:r>
          </w:p>
          <w:p w14:paraId="6CD66E8F" w14:textId="77777777" w:rsidR="0035238B" w:rsidRDefault="0035238B" w:rsidP="00314FB7">
            <w:pPr>
              <w:jc w:val="both"/>
              <w:rPr>
                <w:rFonts w:eastAsia="Batang"/>
                <w:iCs/>
                <w:color w:val="000000"/>
                <w:kern w:val="2"/>
                <w:sz w:val="22"/>
                <w:szCs w:val="22"/>
              </w:rPr>
            </w:pPr>
          </w:p>
        </w:tc>
      </w:tr>
    </w:tbl>
    <w:p w14:paraId="538124DA" w14:textId="3C208359" w:rsidR="0035238B" w:rsidRDefault="0035238B">
      <w:pPr>
        <w:jc w:val="both"/>
        <w:rPr>
          <w:sz w:val="20"/>
          <w:szCs w:val="21"/>
        </w:rPr>
      </w:pPr>
    </w:p>
    <w:p w14:paraId="48064AE6" w14:textId="320B0AA1" w:rsidR="00961353" w:rsidRDefault="00961353" w:rsidP="0096135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comments on Proposal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61353" w14:paraId="25D3EA28" w14:textId="77777777" w:rsidTr="00314FB7">
        <w:trPr>
          <w:trHeight w:val="309"/>
        </w:trPr>
        <w:tc>
          <w:tcPr>
            <w:tcW w:w="1255" w:type="dxa"/>
          </w:tcPr>
          <w:p w14:paraId="3474453A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6B909C95" w14:textId="77777777" w:rsidR="00961353" w:rsidRDefault="00961353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61353" w14:paraId="13AC5323" w14:textId="77777777" w:rsidTr="00314FB7">
        <w:tc>
          <w:tcPr>
            <w:tcW w:w="1255" w:type="dxa"/>
          </w:tcPr>
          <w:p w14:paraId="68840F27" w14:textId="3F2B686C" w:rsidR="00961353" w:rsidRPr="00AA2EC0" w:rsidRDefault="00AA2EC0" w:rsidP="00314FB7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  <w:p w14:paraId="791351D1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9225C7E" w14:textId="77777777" w:rsid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  <w:p w14:paraId="4DCAB4E8" w14:textId="0F765187" w:rsidR="00AA2EC0" w:rsidRPr="00AA2EC0" w:rsidRDefault="00AA2EC0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748B00D8" w14:textId="792F48CA" w:rsidR="00961353" w:rsidRPr="00AA2EC0" w:rsidRDefault="00AA2EC0" w:rsidP="002507F2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We </w:t>
            </w:r>
            <w:r w:rsidRPr="00AA2EC0">
              <w:rPr>
                <w:rFonts w:eastAsia="Malgun Gothic"/>
                <w:sz w:val="20"/>
                <w:szCs w:val="21"/>
                <w:lang w:eastAsia="ko-KR"/>
              </w:rPr>
              <w:t>generally</w:t>
            </w:r>
            <w:r>
              <w:rPr>
                <w:rFonts w:eastAsia="Malgun Gothic"/>
                <w:sz w:val="20"/>
                <w:szCs w:val="21"/>
                <w:lang w:eastAsia="ko-KR"/>
              </w:rPr>
              <w:t xml:space="preserve"> ok with the TP. </w:t>
            </w:r>
            <w:r w:rsidR="002507F2">
              <w:rPr>
                <w:rFonts w:eastAsia="Malgun Gothic"/>
                <w:sz w:val="20"/>
                <w:szCs w:val="21"/>
                <w:lang w:eastAsia="ko-KR"/>
              </w:rPr>
              <w:t xml:space="preserve">But the meaning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‘based on the</w:t>
            </w:r>
            <w:r w:rsidR="002507F2">
              <w:rPr>
                <w:rFonts w:eastAsia="Malgun Gothic"/>
                <w:sz w:val="20"/>
                <w:szCs w:val="21"/>
                <w:lang w:eastAsia="ko-KR"/>
              </w:rPr>
              <w:t xml:space="preserve"> UL SCS’ needs to be clarified, because it seems interpretation 2 is adopted only for the case when </w:t>
            </w:r>
            <w:r w:rsidR="002507F2">
              <w:rPr>
                <w:sz w:val="20"/>
                <w:szCs w:val="20"/>
              </w:rPr>
              <w:t>UL SCS is larger than DL SCS. So we suggest to remove ‘based on the UL SCS’.</w:t>
            </w:r>
          </w:p>
        </w:tc>
      </w:tr>
      <w:tr w:rsidR="00932CBB" w14:paraId="0B33FEE5" w14:textId="77777777" w:rsidTr="00314FB7">
        <w:tc>
          <w:tcPr>
            <w:tcW w:w="1255" w:type="dxa"/>
          </w:tcPr>
          <w:p w14:paraId="0FC9E61E" w14:textId="2983ED41" w:rsidR="00932CBB" w:rsidRPr="00932CBB" w:rsidRDefault="00932CBB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245681B9" w14:textId="77992F0B" w:rsid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With this TP, when sub-slot is configured, interpretation 2 applies. As commented for proposal 1, more discussion is needed for sub-slot based HARQ-ACK transmission. </w:t>
            </w:r>
          </w:p>
          <w:p w14:paraId="4F8DBA61" w14:textId="6C690C85" w:rsidR="00932CBB" w:rsidRPr="00932CBB" w:rsidRDefault="00932CBB" w:rsidP="00932CBB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 xml:space="preserve">In addition, we think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based on the UL SCS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is equivalent to </w:t>
            </w:r>
            <w:r>
              <w:rPr>
                <w:rFonts w:eastAsiaTheme="minorEastAsia"/>
                <w:sz w:val="20"/>
                <w:szCs w:val="21"/>
              </w:rPr>
              <w:t>“</w:t>
            </w:r>
            <w:r>
              <w:rPr>
                <w:rFonts w:eastAsiaTheme="minorEastAsia" w:hint="eastAsia"/>
                <w:sz w:val="20"/>
                <w:szCs w:val="21"/>
              </w:rPr>
              <w:t>of the PUCCH transmission</w:t>
            </w:r>
            <w:r>
              <w:rPr>
                <w:rFonts w:eastAsiaTheme="minorEastAsia"/>
                <w:sz w:val="20"/>
                <w:szCs w:val="21"/>
              </w:rPr>
              <w:t>”</w:t>
            </w:r>
            <w:r>
              <w:rPr>
                <w:rFonts w:eastAsiaTheme="minorEastAsia" w:hint="eastAsia"/>
                <w:sz w:val="20"/>
                <w:szCs w:val="21"/>
              </w:rPr>
              <w:t>. As discussed in Rel-15, the intention is to follow the SCS of PUCCH. So there is no need to change this part.</w:t>
            </w:r>
          </w:p>
        </w:tc>
      </w:tr>
    </w:tbl>
    <w:p w14:paraId="465BBA49" w14:textId="3FAE9AEB" w:rsidR="00961353" w:rsidRDefault="00961353">
      <w:pPr>
        <w:jc w:val="both"/>
        <w:rPr>
          <w:sz w:val="20"/>
          <w:szCs w:val="21"/>
        </w:rPr>
      </w:pPr>
    </w:p>
    <w:p w14:paraId="6E2465E7" w14:textId="7ACAD476" w:rsidR="00942841" w:rsidRPr="00EA72DC" w:rsidRDefault="00A74CDB" w:rsidP="00942841">
      <w:pPr>
        <w:pStyle w:val="Heading3"/>
        <w:rPr>
          <w:b w:val="0"/>
          <w:bCs w:val="0"/>
          <w:sz w:val="24"/>
          <w:szCs w:val="24"/>
          <w:u w:val="single"/>
        </w:rPr>
      </w:pPr>
      <w:r w:rsidRPr="00EA72DC">
        <w:rPr>
          <w:b w:val="0"/>
          <w:bCs w:val="0"/>
          <w:sz w:val="24"/>
          <w:szCs w:val="24"/>
          <w:u w:val="single"/>
        </w:rPr>
        <w:lastRenderedPageBreak/>
        <w:t>Sub-slot-based HARQ-ACK feedback</w:t>
      </w:r>
    </w:p>
    <w:p w14:paraId="05074F23" w14:textId="77777777" w:rsidR="00942841" w:rsidRDefault="00942841" w:rsidP="00942841">
      <w:pPr>
        <w:jc w:val="both"/>
        <w:rPr>
          <w:b/>
          <w:bCs/>
          <w:sz w:val="20"/>
          <w:szCs w:val="20"/>
        </w:rPr>
      </w:pPr>
      <w:r w:rsidRPr="00D03059">
        <w:rPr>
          <w:b/>
          <w:bCs/>
          <w:sz w:val="20"/>
          <w:szCs w:val="20"/>
        </w:rPr>
        <w:t>For HARQ-ACK timing in Rel-16</w:t>
      </w:r>
      <w:r w:rsidRPr="00DB4A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with</w:t>
      </w:r>
      <w:r w:rsidRPr="00D0305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feedback,</w:t>
      </w:r>
    </w:p>
    <w:p w14:paraId="75B649CF" w14:textId="79246B70" w:rsidR="00A74CDB" w:rsidRPr="00942841" w:rsidRDefault="00A74CDB" w:rsidP="00A74CDB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Option </w:t>
      </w:r>
      <w:r>
        <w:rPr>
          <w:b/>
          <w:bCs/>
        </w:rPr>
        <w:t>1</w:t>
      </w:r>
      <w:r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>
        <w:rPr>
          <w:b/>
          <w:bCs/>
        </w:rPr>
        <w:t>sub-</w:t>
      </w:r>
      <w:r w:rsidRPr="00942841">
        <w:rPr>
          <w:b/>
          <w:bCs/>
        </w:rPr>
        <w:t>slot that overlaps with the PDSCH.</w:t>
      </w:r>
    </w:p>
    <w:p w14:paraId="056651F9" w14:textId="368CA479" w:rsidR="00942841" w:rsidRDefault="00942841" w:rsidP="00942841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942841">
        <w:rPr>
          <w:b/>
          <w:bCs/>
        </w:rPr>
        <w:t xml:space="preserve">Option </w:t>
      </w:r>
      <w:r w:rsidR="00A74CDB">
        <w:rPr>
          <w:b/>
          <w:bCs/>
        </w:rPr>
        <w:t>2</w:t>
      </w:r>
      <w:r w:rsidRPr="00942841">
        <w:rPr>
          <w:b/>
          <w:bCs/>
        </w:rPr>
        <w:t>:</w:t>
      </w:r>
      <w:r>
        <w:rPr>
          <w:b/>
          <w:bCs/>
          <w:i/>
          <w:iCs/>
        </w:rPr>
        <w:t xml:space="preserve"> </w:t>
      </w:r>
      <w:r w:rsidRPr="00942841">
        <w:rPr>
          <w:b/>
          <w:bCs/>
          <w:i/>
          <w:iCs/>
        </w:rPr>
        <w:t>k</w:t>
      </w:r>
      <w:r w:rsidRPr="00942841">
        <w:rPr>
          <w:b/>
          <w:bCs/>
        </w:rPr>
        <w:t xml:space="preserve"> = 0 corresponds to the last UL </w:t>
      </w:r>
      <w:r w:rsidR="00A74CDB">
        <w:rPr>
          <w:b/>
          <w:bCs/>
        </w:rPr>
        <w:t>sub-</w:t>
      </w:r>
      <w:r w:rsidRPr="00942841">
        <w:rPr>
          <w:b/>
          <w:bCs/>
        </w:rPr>
        <w:t>slot that overlaps with the DL slot for the PDSCH.</w:t>
      </w:r>
    </w:p>
    <w:p w14:paraId="41636518" w14:textId="54216287" w:rsidR="00942841" w:rsidRDefault="00942841" w:rsidP="00942841">
      <w:pPr>
        <w:jc w:val="both"/>
        <w:rPr>
          <w:b/>
          <w:bCs/>
          <w:sz w:val="20"/>
          <w:szCs w:val="20"/>
          <w:lang w:val="en-GB"/>
        </w:rPr>
      </w:pPr>
    </w:p>
    <w:p w14:paraId="2F8FF33A" w14:textId="25F6515C" w:rsidR="00EA72DC" w:rsidRDefault="00EA72DC" w:rsidP="00EA72DC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indicate which </w:t>
      </w:r>
      <w:r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you support for </w:t>
      </w:r>
      <w:r>
        <w:rPr>
          <w:b/>
          <w:bCs/>
          <w:sz w:val="20"/>
          <w:szCs w:val="20"/>
        </w:rPr>
        <w:t>sub-</w:t>
      </w:r>
      <w:r w:rsidRPr="00D03059">
        <w:rPr>
          <w:b/>
          <w:bCs/>
          <w:sz w:val="20"/>
          <w:szCs w:val="20"/>
        </w:rPr>
        <w:t>slot-based HARQ-ACK feedback</w:t>
      </w:r>
      <w:r>
        <w:rPr>
          <w:b/>
          <w:bCs/>
          <w:sz w:val="20"/>
          <w:szCs w:val="21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EA72DC" w14:paraId="248584D5" w14:textId="77777777" w:rsidTr="00EA72DC">
        <w:tc>
          <w:tcPr>
            <w:tcW w:w="1278" w:type="dxa"/>
          </w:tcPr>
          <w:p w14:paraId="4072B1B1" w14:textId="6514D949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0B17A0EE" w14:textId="77777777" w:rsidR="00EA72DC" w:rsidRDefault="00EA72DC" w:rsidP="000D05FD">
            <w:pPr>
              <w:spacing w:after="0"/>
              <w:jc w:val="both"/>
              <w:rPr>
                <w:sz w:val="20"/>
                <w:szCs w:val="21"/>
              </w:rPr>
            </w:pPr>
          </w:p>
        </w:tc>
      </w:tr>
      <w:tr w:rsidR="00EA72DC" w14:paraId="136903F2" w14:textId="77777777" w:rsidTr="00EA72DC">
        <w:tc>
          <w:tcPr>
            <w:tcW w:w="1278" w:type="dxa"/>
          </w:tcPr>
          <w:p w14:paraId="3145A5F6" w14:textId="2D543947" w:rsidR="00EA72DC" w:rsidRDefault="00EA72DC" w:rsidP="000D05FD">
            <w:pPr>
              <w:spacing w:after="0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57FCAC40" w14:textId="13261B2F" w:rsidR="00EA72DC" w:rsidRPr="00706EA6" w:rsidRDefault="00EA72DC" w:rsidP="000D05FD">
            <w:pPr>
              <w:spacing w:after="0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1FCDA717" w14:textId="77777777" w:rsidR="00EA72DC" w:rsidRPr="00EA72DC" w:rsidRDefault="00EA72DC" w:rsidP="00942841">
      <w:pPr>
        <w:jc w:val="both"/>
        <w:rPr>
          <w:b/>
          <w:bCs/>
          <w:sz w:val="20"/>
          <w:szCs w:val="20"/>
        </w:rPr>
      </w:pPr>
    </w:p>
    <w:p w14:paraId="1D2A26EF" w14:textId="10AA92B5" w:rsidR="00942841" w:rsidRDefault="00942841" w:rsidP="00942841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</w:t>
      </w:r>
      <w:r w:rsidR="00EA72DC">
        <w:rPr>
          <w:b/>
          <w:bCs/>
          <w:sz w:val="20"/>
          <w:szCs w:val="21"/>
        </w:rPr>
        <w:t xml:space="preserve">detailed </w:t>
      </w:r>
      <w:r>
        <w:rPr>
          <w:b/>
          <w:bCs/>
          <w:sz w:val="20"/>
          <w:szCs w:val="21"/>
        </w:rPr>
        <w:t>comments.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942841" w14:paraId="6B0EBEAA" w14:textId="77777777" w:rsidTr="00314FB7">
        <w:trPr>
          <w:trHeight w:val="309"/>
        </w:trPr>
        <w:tc>
          <w:tcPr>
            <w:tcW w:w="1255" w:type="dxa"/>
          </w:tcPr>
          <w:p w14:paraId="752450C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0D3CA83C" w14:textId="77777777" w:rsidR="00942841" w:rsidRDefault="00942841" w:rsidP="00314FB7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942841" w14:paraId="5863D84F" w14:textId="77777777" w:rsidTr="00314FB7">
        <w:tc>
          <w:tcPr>
            <w:tcW w:w="1255" w:type="dxa"/>
          </w:tcPr>
          <w:p w14:paraId="2FB57ACB" w14:textId="77777777" w:rsidR="00942841" w:rsidRPr="005646DB" w:rsidRDefault="00942841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60347B1C" w14:textId="77777777" w:rsidR="00942841" w:rsidRPr="005646DB" w:rsidRDefault="00942841" w:rsidP="00314FB7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</w:tbl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36" w:name="_Toc503902285"/>
      <w:bookmarkStart w:id="37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36"/>
    <w:bookmarkEnd w:id="37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6"/>
      <w:footerReference w:type="defaul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3AFE0" w14:textId="77777777" w:rsidR="00C17D79" w:rsidRDefault="00C17D79">
      <w:pPr>
        <w:spacing w:after="0" w:line="240" w:lineRule="auto"/>
      </w:pPr>
      <w:r>
        <w:separator/>
      </w:r>
    </w:p>
  </w:endnote>
  <w:endnote w:type="continuationSeparator" w:id="0">
    <w:p w14:paraId="0BEDE4A8" w14:textId="77777777" w:rsidR="00C17D79" w:rsidRDefault="00C1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panose1 w:val="020B0604020202020204"/>
    <w:charset w:val="02"/>
    <w:family w:val="modern"/>
    <w:pitch w:val="default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⸳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184AF62C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BB" w:rsidRPr="00932CBB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AC90E" w14:textId="77777777" w:rsidR="00C17D79" w:rsidRDefault="00C17D79">
      <w:pPr>
        <w:spacing w:after="0" w:line="240" w:lineRule="auto"/>
      </w:pPr>
      <w:r>
        <w:separator/>
      </w:r>
    </w:p>
  </w:footnote>
  <w:footnote w:type="continuationSeparator" w:id="0">
    <w:p w14:paraId="4B061803" w14:textId="77777777" w:rsidR="00C17D79" w:rsidRDefault="00C1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307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557AE168-117F-9949-B262-427109A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2546</Words>
  <Characters>14517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Sigen Ye</cp:lastModifiedBy>
  <cp:revision>4</cp:revision>
  <cp:lastPrinted>1900-12-31T16:00:00Z</cp:lastPrinted>
  <dcterms:created xsi:type="dcterms:W3CDTF">2021-05-21T11:30:00Z</dcterms:created>
  <dcterms:modified xsi:type="dcterms:W3CDTF">2021-05-21T13:24:00Z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