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A118" w14:textId="77777777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#105-e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>
        <w:rPr>
          <w:b/>
          <w:sz w:val="28"/>
          <w:highlight w:val="yellow"/>
        </w:rPr>
        <w:t>210xxxx</w:t>
      </w:r>
    </w:p>
    <w:p w14:paraId="12440810" w14:textId="77777777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proofErr w:type="gramStart"/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proofErr w:type="gramEnd"/>
      <w:r>
        <w:rPr>
          <w:rFonts w:ascii="Arial" w:eastAsia="MS Mincho" w:hAnsi="Arial" w:cs="Arial"/>
          <w:b/>
          <w:bCs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May 10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27</w:t>
      </w:r>
      <w:r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th</w:t>
      </w:r>
      <w:r>
        <w:rPr>
          <w:rFonts w:ascii="Arial" w:eastAsia="MS Mincho" w:hAnsi="Arial" w:cs="Arial"/>
          <w:b/>
          <w:bCs/>
          <w:szCs w:val="22"/>
          <w:lang w:val="en-GB"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77777777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>
        <w:rPr>
          <w:rFonts w:cs="Arial"/>
          <w:b/>
          <w:bCs/>
          <w:sz w:val="24"/>
          <w:lang w:val="en-US"/>
        </w:rPr>
        <w:t>1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7777777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 xml:space="preserve">[105-e-NR-7.1CRs-13] </w:t>
      </w:r>
      <w:r>
        <w:rPr>
          <w:rFonts w:ascii="Arial" w:hAnsi="Arial" w:cs="Arial"/>
          <w:b/>
          <w:bCs/>
        </w:rPr>
        <w:t>on the correction for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RAN1#105-e:</w:t>
      </w:r>
    </w:p>
    <w:p w14:paraId="638C0723" w14:textId="77777777" w:rsidR="00221E7A" w:rsidRDefault="00E97A77">
      <w:pPr>
        <w:ind w:left="568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Issue#28</w:t>
      </w:r>
    </w:p>
    <w:p w14:paraId="0DFAB52A" w14:textId="77777777" w:rsidR="00221E7A" w:rsidRDefault="00563229">
      <w:pPr>
        <w:ind w:left="568"/>
        <w:jc w:val="both"/>
        <w:rPr>
          <w:sz w:val="20"/>
          <w:szCs w:val="20"/>
          <w:lang w:val="en-GB"/>
        </w:rPr>
      </w:pPr>
      <w:hyperlink r:id="rId9" w:history="1">
        <w:r w:rsidR="00E97A77">
          <w:rPr>
            <w:rStyle w:val="af0"/>
            <w:sz w:val="20"/>
            <w:szCs w:val="20"/>
            <w:lang w:val="en-GB"/>
          </w:rPr>
          <w:t>R1-2105075</w:t>
        </w:r>
      </w:hyperlink>
      <w:r w:rsidR="00E97A77">
        <w:rPr>
          <w:sz w:val="20"/>
          <w:szCs w:val="20"/>
          <w:lang w:val="en-GB"/>
        </w:rPr>
        <w:tab/>
        <w:t>Correction for HARQ-ACK timing in Rel-16</w:t>
      </w:r>
      <w:r w:rsidR="00E97A77">
        <w:rPr>
          <w:sz w:val="20"/>
          <w:szCs w:val="20"/>
          <w:lang w:val="en-GB"/>
        </w:rPr>
        <w:tab/>
        <w:t>Apple, Ericsson</w:t>
      </w:r>
    </w:p>
    <w:p w14:paraId="6604D1DD" w14:textId="77777777" w:rsidR="00221E7A" w:rsidRDefault="00E97A77">
      <w:pPr>
        <w:ind w:left="56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 xml:space="preserve">[105-e-NR-7.1CRs-13] Issue#28: Correction for HARQ-ACK timing in Rel-16 – </w:t>
      </w:r>
      <w:proofErr w:type="spellStart"/>
      <w:r>
        <w:rPr>
          <w:sz w:val="20"/>
          <w:szCs w:val="20"/>
          <w:highlight w:val="cyan"/>
          <w:lang w:val="en-GB"/>
        </w:rPr>
        <w:t>Sigen</w:t>
      </w:r>
      <w:proofErr w:type="spellEnd"/>
      <w:r>
        <w:rPr>
          <w:sz w:val="20"/>
          <w:szCs w:val="20"/>
          <w:highlight w:val="cyan"/>
          <w:lang w:val="en-GB"/>
        </w:rPr>
        <w:t xml:space="preserve"> (Apple) by May 25</w:t>
      </w:r>
    </w:p>
    <w:p w14:paraId="61F401AC" w14:textId="77777777" w:rsidR="00221E7A" w:rsidRDefault="00E97A77">
      <w:pPr>
        <w:numPr>
          <w:ilvl w:val="0"/>
          <w:numId w:val="3"/>
        </w:numPr>
        <w:ind w:left="1288"/>
        <w:jc w:val="both"/>
        <w:rPr>
          <w:sz w:val="20"/>
          <w:szCs w:val="20"/>
          <w:highlight w:val="cyan"/>
          <w:lang w:val="en-GB"/>
        </w:rPr>
      </w:pPr>
      <w:r>
        <w:rPr>
          <w:sz w:val="20"/>
          <w:szCs w:val="20"/>
          <w:highlight w:val="cyan"/>
          <w:lang w:val="en-GB"/>
        </w:rPr>
        <w:t>For Rel-16 only</w:t>
      </w:r>
    </w:p>
    <w:p w14:paraId="68F0FD06" w14:textId="77777777" w:rsidR="00221E7A" w:rsidRDefault="00221E7A">
      <w:pPr>
        <w:jc w:val="both"/>
        <w:rPr>
          <w:sz w:val="20"/>
          <w:szCs w:val="20"/>
          <w:highlight w:val="cyan"/>
        </w:rPr>
      </w:pPr>
    </w:p>
    <w:p w14:paraId="0027AB59" w14:textId="77777777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77777777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The issue was further discussed in RAN1#104b-e [1], and it was concluded that two different interpretations can exist in Rel-15, but it is important to achieve a common understanding for Rel-16.</w:t>
      </w:r>
    </w:p>
    <w:p w14:paraId="445C355C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Conclusion:</w:t>
      </w:r>
    </w:p>
    <w:p w14:paraId="2077EE61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3400BE8E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1: k = 0 corresponds to the last UL slot that overlaps with the PDSCH</w:t>
      </w:r>
    </w:p>
    <w:p w14:paraId="1B9B13B9" w14:textId="77777777" w:rsidR="00221E7A" w:rsidRDefault="00E97A77">
      <w:pPr>
        <w:wordWrap w:val="0"/>
        <w:ind w:left="1004" w:hanging="360"/>
        <w:rPr>
          <w:rFonts w:eastAsia="굴림"/>
          <w:i/>
          <w:iCs/>
          <w:sz w:val="21"/>
          <w:szCs w:val="21"/>
        </w:rPr>
      </w:pPr>
      <w:r>
        <w:rPr>
          <w:rFonts w:eastAsia="굴림"/>
          <w:i/>
          <w:iCs/>
          <w:sz w:val="20"/>
          <w:szCs w:val="20"/>
        </w:rPr>
        <w:t>-</w:t>
      </w:r>
      <w:r>
        <w:rPr>
          <w:rFonts w:eastAsia="굴림"/>
          <w:i/>
          <w:iCs/>
          <w:sz w:val="11"/>
          <w:szCs w:val="11"/>
        </w:rPr>
        <w:t>       </w:t>
      </w:r>
      <w:r>
        <w:rPr>
          <w:rFonts w:eastAsia="굴림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27505449" w14:textId="77777777" w:rsidR="00221E7A" w:rsidRDefault="00E97A77">
      <w:pPr>
        <w:wordWrap w:val="0"/>
        <w:ind w:left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Further discuss this issue for Rel-16 in future meetings.</w:t>
      </w:r>
    </w:p>
    <w:p w14:paraId="4FBE3136" w14:textId="77777777" w:rsidR="00221E7A" w:rsidRDefault="00221E7A">
      <w:pPr>
        <w:spacing w:after="120"/>
        <w:rPr>
          <w:rFonts w:eastAsia="바탕"/>
          <w:sz w:val="22"/>
          <w:szCs w:val="32"/>
        </w:rPr>
      </w:pPr>
    </w:p>
    <w:p w14:paraId="4E72C36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 xml:space="preserve">Assuming an example as shown in Fig. 1 where DL uses 15 kHz SCS and UL uses 30 kHz SCS, with interpretation 1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 xml:space="preserve">=0 would correspond to UL slot 6, while with interpretation 2 </w:t>
      </w:r>
      <w:r>
        <w:rPr>
          <w:rFonts w:eastAsia="바탕"/>
          <w:i/>
          <w:iCs/>
          <w:sz w:val="20"/>
        </w:rPr>
        <w:t>k</w:t>
      </w:r>
      <w:r>
        <w:rPr>
          <w:rFonts w:eastAsia="바탕"/>
          <w:sz w:val="20"/>
        </w:rPr>
        <w:t>=0 would correspond to UL slot 7.</w:t>
      </w:r>
    </w:p>
    <w:p w14:paraId="23BF17A4" w14:textId="77777777" w:rsidR="00221E7A" w:rsidRDefault="00E97A77">
      <w:pPr>
        <w:keepNext/>
        <w:spacing w:after="120"/>
        <w:jc w:val="center"/>
        <w:rPr>
          <w:rFonts w:eastAsia="바탕"/>
          <w:sz w:val="22"/>
          <w:szCs w:val="32"/>
        </w:rPr>
      </w:pPr>
      <w:r>
        <w:rPr>
          <w:rFonts w:eastAsia="바탕"/>
          <w:noProof/>
          <w:sz w:val="22"/>
          <w:szCs w:val="32"/>
          <w:lang w:eastAsia="ko-KR"/>
        </w:rPr>
        <w:lastRenderedPageBreak/>
        <w:drawing>
          <wp:inline distT="0" distB="0" distL="0" distR="0" wp14:anchorId="6121F9D3" wp14:editId="6F79FDD3">
            <wp:extent cx="4307205" cy="1002030"/>
            <wp:effectExtent l="0" t="0" r="0" b="1270"/>
            <wp:docPr id="902" name="Picture 90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 descr="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0292" cy="10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C485" w14:textId="77777777" w:rsidR="00221E7A" w:rsidRDefault="00E97A77">
      <w:pPr>
        <w:pStyle w:val="a5"/>
        <w:jc w:val="center"/>
        <w:rPr>
          <w:rFonts w:eastAsia="바탕"/>
          <w:sz w:val="20"/>
          <w:szCs w:val="24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Example of HARQ-ACK timing</w:t>
      </w:r>
    </w:p>
    <w:p w14:paraId="53520944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The following point was raised in [2]:</w:t>
      </w:r>
    </w:p>
    <w:p w14:paraId="0D3A65B9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“Purely from HARQ-ACK timing perspective, adopting either interpretation seems to be fine, except that interpretation 2 is aligned with the original agreement.</w:t>
      </w:r>
    </w:p>
    <w:p w14:paraId="145D32E4" w14:textId="77777777" w:rsidR="00221E7A" w:rsidRDefault="00E97A77">
      <w:pPr>
        <w:spacing w:after="120"/>
        <w:ind w:left="284"/>
        <w:jc w:val="both"/>
        <w:rPr>
          <w:rFonts w:eastAsia="바탕"/>
          <w:iCs/>
          <w:color w:val="000000"/>
          <w:kern w:val="2"/>
          <w:sz w:val="20"/>
          <w:szCs w:val="20"/>
        </w:rPr>
      </w:pPr>
      <w:r>
        <w:rPr>
          <w:rFonts w:eastAsia="바탕"/>
          <w:iCs/>
          <w:color w:val="000000"/>
          <w:kern w:val="2"/>
          <w:sz w:val="20"/>
          <w:szCs w:val="20"/>
        </w:rPr>
        <w:t>However, for the pseudo-code for the Type-1 HARQ-ACK codebook construction to work properly, interpretation 2 should be adopted. Basically, the highlighted part below only makes sense if the end of DL slot for PDSCH is used as the reference.”</w:t>
      </w:r>
    </w:p>
    <w:tbl>
      <w:tblPr>
        <w:tblStyle w:val="af6"/>
        <w:tblW w:w="0" w:type="auto"/>
        <w:tblInd w:w="284" w:type="dxa"/>
        <w:tblLook w:val="04A0" w:firstRow="1" w:lastRow="0" w:firstColumn="1" w:lastColumn="0" w:noHBand="0" w:noVBand="1"/>
      </w:tblPr>
      <w:tblGrid>
        <w:gridCol w:w="9010"/>
      </w:tblGrid>
      <w:tr w:rsidR="00221E7A" w14:paraId="00790900" w14:textId="77777777">
        <w:tc>
          <w:tcPr>
            <w:tcW w:w="9010" w:type="dxa"/>
          </w:tcPr>
          <w:p w14:paraId="56760FA5" w14:textId="77777777" w:rsidR="00221E7A" w:rsidRDefault="00E97A77">
            <w:pPr>
              <w:jc w:val="both"/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</w:pPr>
            <w:r>
              <w:rPr>
                <w:rFonts w:eastAsia="바탕"/>
                <w:b/>
                <w:bCs/>
                <w:iCs/>
                <w:color w:val="000000"/>
                <w:kern w:val="2"/>
                <w:sz w:val="20"/>
                <w:szCs w:val="20"/>
                <w:u w:val="single"/>
              </w:rPr>
              <w:t>Excerpt from TS 38.213 Clause 9.1.2.1</w:t>
            </w:r>
          </w:p>
          <w:p w14:paraId="0A431D56" w14:textId="77777777" w:rsidR="00221E7A" w:rsidRDefault="00221E7A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</w:p>
          <w:p w14:paraId="4BC93167" w14:textId="77777777" w:rsidR="00221E7A" w:rsidRDefault="00E97A77">
            <w:pPr>
              <w:jc w:val="both"/>
              <w:rPr>
                <w:rFonts w:eastAsia="바탕"/>
                <w:iCs/>
                <w:color w:val="000000"/>
                <w:kern w:val="2"/>
                <w:sz w:val="20"/>
                <w:szCs w:val="20"/>
              </w:rPr>
            </w:pPr>
            <w:r>
              <w:rPr>
                <w:rFonts w:eastAsia="바탕"/>
                <w:iCs/>
                <w:noProof/>
                <w:color w:val="000000"/>
                <w:kern w:val="2"/>
                <w:sz w:val="20"/>
                <w:szCs w:val="20"/>
                <w:lang w:eastAsia="ko-KR"/>
              </w:rPr>
              <w:drawing>
                <wp:inline distT="0" distB="0" distL="0" distR="0" wp14:anchorId="360B7041" wp14:editId="6FDE36F7">
                  <wp:extent cx="5543550" cy="1353820"/>
                  <wp:effectExtent l="0" t="0" r="0" b="5080"/>
                  <wp:docPr id="46" name="Picture 4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869" cy="135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AEA8A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Due to the above reason, it was proposed in [2] to adopt interpretation 2 and a corresponding TP was provided.</w:t>
      </w:r>
    </w:p>
    <w:p w14:paraId="40E48A0C" w14:textId="77777777" w:rsidR="00221E7A" w:rsidRDefault="00221E7A">
      <w:pPr>
        <w:spacing w:after="120"/>
        <w:rPr>
          <w:rFonts w:eastAsia="바탕"/>
          <w:sz w:val="20"/>
        </w:rPr>
      </w:pPr>
    </w:p>
    <w:p w14:paraId="1A90D277" w14:textId="77777777" w:rsidR="00221E7A" w:rsidRDefault="00E97A77">
      <w:pPr>
        <w:spacing w:after="120"/>
        <w:rPr>
          <w:rFonts w:eastAsia="바탕"/>
          <w:sz w:val="20"/>
        </w:rPr>
      </w:pPr>
      <w:r>
        <w:rPr>
          <w:rFonts w:eastAsia="바탕"/>
          <w:sz w:val="20"/>
        </w:rPr>
        <w:t>To better understand the issue for Type 1 HARQ-ACK codebook with interpretation 1, a very simple example is provided in Figure 2.</w:t>
      </w:r>
    </w:p>
    <w:p w14:paraId="40E6EC7B" w14:textId="77777777" w:rsidR="00221E7A" w:rsidRDefault="00E97A77">
      <w:pPr>
        <w:spacing w:after="120"/>
        <w:jc w:val="center"/>
        <w:rPr>
          <w:rFonts w:eastAsia="바탕"/>
          <w:sz w:val="20"/>
        </w:rPr>
      </w:pPr>
      <w:r>
        <w:rPr>
          <w:rFonts w:eastAsia="바탕"/>
          <w:noProof/>
          <w:sz w:val="20"/>
          <w:lang w:eastAsia="ko-KR"/>
        </w:rPr>
        <w:drawing>
          <wp:inline distT="0" distB="0" distL="0" distR="0" wp14:anchorId="3AEF9B44" wp14:editId="15244B29">
            <wp:extent cx="5260340" cy="826770"/>
            <wp:effectExtent l="0" t="0" r="0" b="0"/>
            <wp:docPr id="1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447" cy="83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B0EEF" w14:textId="77777777" w:rsidR="00221E7A" w:rsidRDefault="00E97A77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Figure \* ARABIC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An</w:t>
      </w:r>
      <w:proofErr w:type="gramEnd"/>
      <w:r>
        <w:rPr>
          <w:sz w:val="20"/>
          <w:szCs w:val="20"/>
        </w:rPr>
        <w:t xml:space="preserve"> example of Type-1 HARQ-ACK codebook construction for K1 set = {1}</w:t>
      </w:r>
    </w:p>
    <w:p w14:paraId="2148E861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In this example, it is assumed that the set of K1 values is {1} (i.e. consisting of a single value). </w:t>
      </w:r>
    </w:p>
    <w:p w14:paraId="050786F7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According to interpretation 1, </w:t>
      </w:r>
    </w:p>
    <w:p w14:paraId="0CD16E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proofErr w:type="gramStart"/>
      <w:r>
        <w:rPr>
          <w:lang w:eastAsia="fr-FR"/>
        </w:rPr>
        <w:t>for</w:t>
      </w:r>
      <w:proofErr w:type="gramEnd"/>
      <w:r>
        <w:rPr>
          <w:lang w:eastAsia="fr-FR"/>
        </w:rPr>
        <w:t xml:space="preserve"> PDSCH1, K1=1 means that the HARQ-ACK should be provided in UL slot 7 (e.g. PUCCH1). For PDSCH2, K1=1 means that the HARQ-ACK should be provided in UL slot 8 (e.g. PUCCH2).</w:t>
      </w:r>
    </w:p>
    <w:p w14:paraId="59804447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t xml:space="preserve">However, if we follow the pseudo code for Type-1 HARQ-ACK codebook construction, for the HARQ-ACK codebook constructed in UL slot 7, as the highlighted condition is not satisfied (i.e., mod(7-1+1, 2) is not 0), there is not any DL slot that would have HARQ-ACK mapped to UL slot 7. </w:t>
      </w:r>
    </w:p>
    <w:p w14:paraId="28C83142" w14:textId="77777777" w:rsidR="00221E7A" w:rsidRDefault="00E97A77">
      <w:pPr>
        <w:pStyle w:val="af8"/>
        <w:numPr>
          <w:ilvl w:val="0"/>
          <w:numId w:val="3"/>
        </w:numPr>
        <w:rPr>
          <w:lang w:val="en-US" w:eastAsia="fr-FR"/>
        </w:rPr>
      </w:pPr>
      <w:r>
        <w:rPr>
          <w:lang w:eastAsia="fr-FR"/>
        </w:rPr>
        <w:lastRenderedPageBreak/>
        <w:t>On the other hand, for HARQ-ACK codebook constructed in UL slot 8, as the highlighted condition is satisfied, the TDRA entries in DL slot 3 would have HARQ-ACK mapped to UL slot 8, even though PDSCH1 cannot indicate HARQ-ACK in slot 8 with K1=1.</w:t>
      </w:r>
    </w:p>
    <w:p w14:paraId="2316862C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 xml:space="preserve">This means that the HARQ-ACK for PDSCH1 is lost in the codebook construction, and the UE would never transmit it to the </w:t>
      </w:r>
      <w:proofErr w:type="spellStart"/>
      <w:r>
        <w:rPr>
          <w:sz w:val="20"/>
          <w:szCs w:val="20"/>
          <w:lang w:eastAsia="fr-FR"/>
        </w:rPr>
        <w:t>gNB</w:t>
      </w:r>
      <w:proofErr w:type="spellEnd"/>
      <w:r>
        <w:rPr>
          <w:sz w:val="20"/>
          <w:szCs w:val="20"/>
          <w:lang w:eastAsia="fr-FR"/>
        </w:rPr>
        <w:t>.</w:t>
      </w:r>
    </w:p>
    <w:p w14:paraId="32260D9E" w14:textId="77777777" w:rsidR="00221E7A" w:rsidRDefault="00E97A77">
      <w:pPr>
        <w:rPr>
          <w:sz w:val="20"/>
          <w:szCs w:val="20"/>
          <w:lang w:eastAsia="fr-FR"/>
        </w:rPr>
      </w:pPr>
      <w:r>
        <w:rPr>
          <w:sz w:val="20"/>
          <w:szCs w:val="20"/>
          <w:lang w:eastAsia="fr-FR"/>
        </w:rPr>
        <w:t>With interpretation 2, such an issue does not exist.</w:t>
      </w: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1741919A" w14:textId="77777777" w:rsidR="00221E7A" w:rsidRDefault="00E97A77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It is very important for RAN1 to conclude on a single interpretation for the HARQ-ACK timing in Rel-16, in order to support the case when UL SCS is larger than DL SCS. Companies are invited to provide their views on which interpretation should be adopted for Rel-16 and the reasoning behind it (taking into account the issue of Type-1 HARQ-ACK codebook discussed in Section 2).</w:t>
      </w:r>
    </w:p>
    <w:p w14:paraId="497B8009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interpretation you support for Rel-16.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705"/>
        <w:gridCol w:w="7924"/>
      </w:tblGrid>
      <w:tr w:rsidR="00221E7A" w14:paraId="3CC37124" w14:textId="77777777">
        <w:tc>
          <w:tcPr>
            <w:tcW w:w="1705" w:type="dxa"/>
          </w:tcPr>
          <w:p w14:paraId="21EBB0DD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1</w:t>
            </w:r>
          </w:p>
        </w:tc>
        <w:tc>
          <w:tcPr>
            <w:tcW w:w="7924" w:type="dxa"/>
          </w:tcPr>
          <w:p w14:paraId="69ECCEB9" w14:textId="77777777" w:rsidR="00221E7A" w:rsidRDefault="00221E7A">
            <w:pPr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>
        <w:tc>
          <w:tcPr>
            <w:tcW w:w="1705" w:type="dxa"/>
          </w:tcPr>
          <w:p w14:paraId="30D83511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Interpretation 2</w:t>
            </w:r>
          </w:p>
        </w:tc>
        <w:tc>
          <w:tcPr>
            <w:tcW w:w="7924" w:type="dxa"/>
          </w:tcPr>
          <w:p w14:paraId="71788F7C" w14:textId="58D1E0CC" w:rsidR="00221E7A" w:rsidRPr="00706EA6" w:rsidRDefault="00E97A77">
            <w:pPr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  <w:r>
              <w:rPr>
                <w:rFonts w:eastAsia="MS Mincho"/>
                <w:sz w:val="20"/>
                <w:szCs w:val="21"/>
                <w:lang w:val="en" w:eastAsia="ja-JP"/>
              </w:rPr>
              <w:t>, OPPO, Nokia, NSB</w:t>
            </w:r>
            <w:r w:rsidR="004E4E42">
              <w:rPr>
                <w:rFonts w:eastAsiaTheme="minorEastAsia" w:hint="eastAsia"/>
                <w:sz w:val="20"/>
                <w:szCs w:val="21"/>
                <w:lang w:val="en"/>
              </w:rPr>
              <w:t>,</w:t>
            </w:r>
            <w:r w:rsidR="004E4E42">
              <w:rPr>
                <w:rFonts w:eastAsiaTheme="minorEastAsia"/>
                <w:sz w:val="20"/>
                <w:szCs w:val="21"/>
                <w:lang w:val="en"/>
              </w:rPr>
              <w:t xml:space="preserve"> Huawei, </w:t>
            </w:r>
            <w:proofErr w:type="spellStart"/>
            <w:r w:rsidR="004E4E42">
              <w:rPr>
                <w:rFonts w:eastAsiaTheme="minorEastAsia"/>
                <w:sz w:val="20"/>
                <w:szCs w:val="21"/>
                <w:lang w:val="en"/>
              </w:rPr>
              <w:t>HiSilicon</w:t>
            </w:r>
            <w:proofErr w:type="spellEnd"/>
            <w:r w:rsidR="00F477F4">
              <w:rPr>
                <w:rFonts w:eastAsiaTheme="minorEastAsia"/>
                <w:sz w:val="20"/>
                <w:szCs w:val="21"/>
                <w:lang w:val="en"/>
              </w:rPr>
              <w:t>, ZTE</w:t>
            </w:r>
            <w:r w:rsidR="005610F4">
              <w:rPr>
                <w:rFonts w:eastAsiaTheme="minorEastAsia"/>
                <w:sz w:val="20"/>
                <w:szCs w:val="21"/>
                <w:lang w:val="en"/>
              </w:rPr>
              <w:t xml:space="preserve">, </w:t>
            </w:r>
            <w:proofErr w:type="spellStart"/>
            <w:r w:rsidR="005610F4">
              <w:rPr>
                <w:rFonts w:eastAsiaTheme="minorEastAsia"/>
                <w:sz w:val="20"/>
                <w:szCs w:val="21"/>
                <w:lang w:val="en"/>
              </w:rPr>
              <w:t>MediaTek</w:t>
            </w:r>
            <w:proofErr w:type="spellEnd"/>
            <w:r w:rsidR="005703B7">
              <w:rPr>
                <w:rFonts w:eastAsiaTheme="minorEastAsia" w:hint="eastAsia"/>
                <w:sz w:val="20"/>
                <w:szCs w:val="21"/>
                <w:lang w:val="en"/>
              </w:rPr>
              <w:t>, CATT (at least for slot based HARQ-ACK feedback)</w:t>
            </w:r>
            <w:r w:rsidR="00705A00">
              <w:rPr>
                <w:rFonts w:eastAsiaTheme="minorEastAsia"/>
                <w:sz w:val="20"/>
                <w:szCs w:val="21"/>
                <w:lang w:val="en"/>
              </w:rPr>
              <w:t>, WILUS</w:t>
            </w:r>
            <w:r w:rsidR="009D212D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706EA6">
              <w:rPr>
                <w:rFonts w:eastAsiaTheme="minorEastAsia"/>
                <w:sz w:val="20"/>
                <w:szCs w:val="21"/>
                <w:lang w:val="en"/>
              </w:rPr>
              <w:t>, LG</w:t>
            </w:r>
            <w:r w:rsidR="00E4289C">
              <w:rPr>
                <w:rFonts w:eastAsiaTheme="minorEastAsia"/>
                <w:sz w:val="20"/>
                <w:szCs w:val="21"/>
                <w:lang w:val="en"/>
              </w:rPr>
              <w:t>, Intel</w:t>
            </w:r>
            <w:r w:rsidR="00FE3727">
              <w:rPr>
                <w:rFonts w:eastAsiaTheme="minorEastAsia"/>
                <w:sz w:val="20"/>
                <w:szCs w:val="21"/>
                <w:lang w:val="en"/>
              </w:rPr>
              <w:t>, Samsung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77777777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provide detailed reasons why you support interpretation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>
            <w:pPr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Q</w:t>
            </w:r>
            <w:r>
              <w:rPr>
                <w:rFonts w:eastAsia="MS Mincho"/>
                <w:sz w:val="20"/>
                <w:szCs w:val="21"/>
                <w:lang w:eastAsia="ja-JP"/>
              </w:rPr>
              <w:t>ualcomm</w:t>
            </w:r>
          </w:p>
        </w:tc>
        <w:tc>
          <w:tcPr>
            <w:tcW w:w="8374" w:type="dxa"/>
          </w:tcPr>
          <w:p w14:paraId="2C17D3F1" w14:textId="77777777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rFonts w:eastAsia="MS Mincho"/>
                <w:sz w:val="20"/>
                <w:szCs w:val="21"/>
                <w:lang w:eastAsia="ja-JP"/>
              </w:rPr>
              <w:t xml:space="preserve">The slot of the PDSCH reception is the reference for k=0, rather than the actual PDSCH symbols due to the reasons we have discussed in the last meeting. At least from Rel-16 spec, we should have a reasonable common interpretation.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OPPO</w:t>
            </w:r>
          </w:p>
        </w:tc>
        <w:tc>
          <w:tcPr>
            <w:tcW w:w="8374" w:type="dxa"/>
          </w:tcPr>
          <w:p w14:paraId="36160EDB" w14:textId="77777777" w:rsidR="00221E7A" w:rsidRDefault="00E97A77">
            <w:pPr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Although we agree in principle with what the draft CR proposed, we are a bit confused by the example given in background section. In this example, because K1</w:t>
            </w:r>
            <w:proofErr w:type="gramStart"/>
            <w:r>
              <w:rPr>
                <w:sz w:val="20"/>
                <w:szCs w:val="21"/>
                <w:lang w:val="en"/>
              </w:rPr>
              <w:t>={</w:t>
            </w:r>
            <w:proofErr w:type="gramEnd"/>
            <w:r>
              <w:rPr>
                <w:sz w:val="20"/>
                <w:szCs w:val="21"/>
                <w:lang w:val="en"/>
              </w:rPr>
              <w:t xml:space="preserve">1}, then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odd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>=0. This failure seems more related to the setup of K1, because if another assumption is made on K1, such as K1</w:t>
            </w:r>
            <w:proofErr w:type="gramStart"/>
            <w:r>
              <w:rPr>
                <w:sz w:val="20"/>
                <w:szCs w:val="20"/>
                <w:lang w:val="en" w:eastAsia="fr-FR"/>
              </w:rPr>
              <w:t>={</w:t>
            </w:r>
            <w:proofErr w:type="gramEnd"/>
            <w:r>
              <w:rPr>
                <w:sz w:val="20"/>
                <w:szCs w:val="20"/>
                <w:lang w:val="en" w:eastAsia="fr-FR"/>
              </w:rPr>
              <w:t xml:space="preserve">only even number(s)}, any 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1"/>
                <w:lang w:val="en"/>
              </w:rPr>
              <w:t xml:space="preserve"> that is even number would not meet the condition of </w:t>
            </w:r>
            <w:r>
              <w:rPr>
                <w:sz w:val="20"/>
                <w:szCs w:val="20"/>
                <w:lang w:eastAsia="fr-FR"/>
              </w:rPr>
              <w:t>mod(</w:t>
            </w:r>
            <w:proofErr w:type="spellStart"/>
            <w:r>
              <w:rPr>
                <w:sz w:val="20"/>
                <w:szCs w:val="21"/>
                <w:lang w:val="en"/>
              </w:rPr>
              <w:t>n</w:t>
            </w:r>
            <w:r>
              <w:rPr>
                <w:sz w:val="20"/>
                <w:szCs w:val="21"/>
                <w:vertAlign w:val="subscript"/>
                <w:lang w:val="en"/>
              </w:rPr>
              <w:t>U</w:t>
            </w:r>
            <w:proofErr w:type="spellEnd"/>
            <w:r>
              <w:rPr>
                <w:sz w:val="20"/>
                <w:szCs w:val="20"/>
                <w:lang w:eastAsia="fr-FR"/>
              </w:rPr>
              <w:t>-</w:t>
            </w:r>
            <w:r>
              <w:rPr>
                <w:sz w:val="20"/>
                <w:szCs w:val="20"/>
                <w:lang w:val="en" w:eastAsia="fr-FR"/>
              </w:rPr>
              <w:t>K</w:t>
            </w:r>
            <w:r>
              <w:rPr>
                <w:sz w:val="20"/>
                <w:szCs w:val="20"/>
                <w:lang w:eastAsia="fr-FR"/>
              </w:rPr>
              <w:t>1+1, 2)</w:t>
            </w:r>
            <w:r>
              <w:rPr>
                <w:sz w:val="20"/>
                <w:szCs w:val="20"/>
                <w:lang w:val="en" w:eastAsia="fr-FR"/>
              </w:rPr>
              <w:t xml:space="preserve">=0, which means the situation flips between UL slot 7 and UL slot 8. The given example does not seem quite relevant to the justification of either interpretation.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6D251263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2E20F643" w14:textId="26CA0EC4" w:rsidR="00221E7A" w:rsidRDefault="00E97A77">
            <w:pPr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Agree with Qualcomm.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2362898D" w:rsidR="00221E7A" w:rsidRPr="004E4E42" w:rsidRDefault="004E4E42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H</w:t>
            </w:r>
            <w:r>
              <w:rPr>
                <w:rFonts w:eastAsiaTheme="minorEastAsia"/>
                <w:sz w:val="20"/>
                <w:szCs w:val="21"/>
              </w:rPr>
              <w:t xml:space="preserve">uawei, 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HiSilicon</w:t>
            </w:r>
            <w:proofErr w:type="spellEnd"/>
          </w:p>
        </w:tc>
        <w:tc>
          <w:tcPr>
            <w:tcW w:w="8374" w:type="dxa"/>
          </w:tcPr>
          <w:p w14:paraId="321BDF6D" w14:textId="7FBB807F" w:rsidR="00221E7A" w:rsidRPr="004E4E42" w:rsidRDefault="004E4E42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T</w:t>
            </w:r>
            <w:r>
              <w:rPr>
                <w:rFonts w:eastAsiaTheme="minorEastAsia"/>
                <w:sz w:val="20"/>
                <w:szCs w:val="21"/>
              </w:rPr>
              <w:t xml:space="preserve">his issue has been discussed extensively at </w:t>
            </w:r>
            <w:r w:rsidR="0017429C">
              <w:rPr>
                <w:rFonts w:eastAsiaTheme="minorEastAsia"/>
                <w:sz w:val="20"/>
                <w:szCs w:val="21"/>
              </w:rPr>
              <w:t xml:space="preserve">the </w:t>
            </w:r>
            <w:r>
              <w:rPr>
                <w:rFonts w:eastAsiaTheme="minorEastAsia"/>
                <w:sz w:val="20"/>
                <w:szCs w:val="21"/>
              </w:rPr>
              <w:t xml:space="preserve">last meeting. Even though there are different views for Rel-15, the </w:t>
            </w:r>
            <w:r w:rsidR="00AB1A67">
              <w:rPr>
                <w:rFonts w:eastAsiaTheme="minorEastAsia"/>
                <w:sz w:val="20"/>
                <w:szCs w:val="21"/>
              </w:rPr>
              <w:t xml:space="preserve">original </w:t>
            </w:r>
            <w:r>
              <w:rPr>
                <w:rFonts w:eastAsiaTheme="minorEastAsia"/>
                <w:sz w:val="20"/>
                <w:szCs w:val="21"/>
              </w:rPr>
              <w:t>intention is clear enough and should be clarified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0DEA7033" w:rsidR="00F477F4" w:rsidRDefault="00F477F4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61F70FB9" w14:textId="4CAC7638" w:rsidR="00F477F4" w:rsidRDefault="00F477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hare the view with Qualcomm.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4F509385" w:rsidR="005610F4" w:rsidRDefault="005610F4">
            <w:pPr>
              <w:jc w:val="both"/>
              <w:rPr>
                <w:rFonts w:eastAsiaTheme="minorEastAsia"/>
                <w:sz w:val="20"/>
                <w:szCs w:val="21"/>
              </w:rPr>
            </w:pPr>
            <w:proofErr w:type="spellStart"/>
            <w:r>
              <w:rPr>
                <w:rFonts w:eastAsiaTheme="minorEastAsia"/>
                <w:sz w:val="20"/>
                <w:szCs w:val="21"/>
              </w:rPr>
              <w:t>MediaTek</w:t>
            </w:r>
            <w:proofErr w:type="spellEnd"/>
          </w:p>
        </w:tc>
        <w:tc>
          <w:tcPr>
            <w:tcW w:w="8374" w:type="dxa"/>
          </w:tcPr>
          <w:p w14:paraId="09C74257" w14:textId="61383F57" w:rsidR="005610F4" w:rsidRDefault="005610F4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Agree with Qualcomm.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4665E331" w:rsidR="005703B7" w:rsidRDefault="005703B7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37283128" w14:textId="6E40CD09" w:rsidR="005703B7" w:rsidRDefault="005703B7" w:rsidP="0088528B">
            <w:pPr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 would like to clarify how to understand interpretation 2 for sub-slot based HARQ-ACK feedback.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556400D4" w:rsidR="00705A00" w:rsidRPr="00705A00" w:rsidRDefault="00705A00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lastRenderedPageBreak/>
              <w:t>W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ILUS</w:t>
            </w:r>
          </w:p>
        </w:tc>
        <w:tc>
          <w:tcPr>
            <w:tcW w:w="8374" w:type="dxa"/>
          </w:tcPr>
          <w:p w14:paraId="03D60270" w14:textId="3877590D" w:rsidR="0089677E" w:rsidRPr="0089677E" w:rsidRDefault="00705A00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A</w:t>
            </w:r>
            <w:r>
              <w:rPr>
                <w:rFonts w:eastAsia="맑은 고딕"/>
                <w:sz w:val="20"/>
                <w:szCs w:val="21"/>
                <w:lang w:eastAsia="ko-KR"/>
              </w:rPr>
              <w:t xml:space="preserve">s we discussed in the last RAN1 meeting, interpretation 2 is more aligned to the original intention of the agreements. </w:t>
            </w:r>
            <w:r w:rsidR="0089677E">
              <w:rPr>
                <w:rFonts w:eastAsia="맑은 고딕"/>
                <w:sz w:val="20"/>
                <w:szCs w:val="21"/>
                <w:lang w:eastAsia="ko-KR"/>
              </w:rPr>
              <w:t xml:space="preserve">For the sub-slot based HARQ-ACK feedback, our understanding is that the UL slot is replaced by the UL sub-slot in interpretation 2, </w:t>
            </w:r>
            <w:proofErr w:type="spellStart"/>
            <w:r w:rsidR="0089677E">
              <w:rPr>
                <w:rFonts w:eastAsia="맑은 고딕"/>
                <w:sz w:val="20"/>
                <w:szCs w:val="21"/>
                <w:lang w:eastAsia="ko-KR"/>
              </w:rPr>
              <w:t>i.e</w:t>
            </w:r>
            <w:proofErr w:type="spellEnd"/>
            <w:r w:rsidR="0089677E">
              <w:rPr>
                <w:rFonts w:eastAsia="맑은 고딕"/>
                <w:sz w:val="20"/>
                <w:szCs w:val="21"/>
                <w:lang w:eastAsia="ko-KR"/>
              </w:rPr>
              <w:t xml:space="preserve">, 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k = 0 corresponds to the last UL </w:t>
            </w:r>
            <w:r w:rsidR="001D331F">
              <w:rPr>
                <w:rFonts w:eastAsia="굴림"/>
                <w:i/>
                <w:iCs/>
                <w:sz w:val="20"/>
                <w:szCs w:val="20"/>
              </w:rPr>
              <w:t>(</w:t>
            </w:r>
            <w:r w:rsidR="0089677E" w:rsidRPr="0089677E">
              <w:rPr>
                <w:rFonts w:eastAsia="굴림"/>
                <w:i/>
                <w:iCs/>
                <w:color w:val="FF0000"/>
                <w:sz w:val="20"/>
                <w:szCs w:val="20"/>
              </w:rPr>
              <w:t>sub-</w:t>
            </w:r>
            <w:r w:rsidR="001D331F" w:rsidRPr="001D331F">
              <w:rPr>
                <w:rFonts w:eastAsia="굴림"/>
                <w:i/>
                <w:iCs/>
                <w:sz w:val="20"/>
                <w:szCs w:val="20"/>
              </w:rPr>
              <w:t>)</w:t>
            </w:r>
            <w:r w:rsidR="0089677E">
              <w:rPr>
                <w:rFonts w:eastAsia="굴림"/>
                <w:i/>
                <w:iCs/>
                <w:sz w:val="20"/>
                <w:szCs w:val="20"/>
              </w:rPr>
              <w:t xml:space="preserve">slot that overlaps with the DL slot for the PDSCH. </w:t>
            </w:r>
          </w:p>
        </w:tc>
      </w:tr>
      <w:tr w:rsidR="009D212D" w14:paraId="14C9D763" w14:textId="77777777">
        <w:tc>
          <w:tcPr>
            <w:tcW w:w="1255" w:type="dxa"/>
          </w:tcPr>
          <w:p w14:paraId="111A041D" w14:textId="1FC899AF" w:rsidR="009D212D" w:rsidRDefault="009D212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7098CDA3" w14:textId="77777777" w:rsidR="009D212D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share the same reasoning as Qualcomm.</w:t>
            </w:r>
          </w:p>
          <w:p w14:paraId="5AD419B9" w14:textId="5BADBDE3" w:rsidR="000E5E9E" w:rsidRDefault="009D212D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 xml:space="preserve">With respect to </w:t>
            </w:r>
            <w:r w:rsidR="000E5E9E">
              <w:rPr>
                <w:rFonts w:eastAsia="맑은 고딕"/>
                <w:sz w:val="20"/>
                <w:szCs w:val="21"/>
                <w:lang w:eastAsia="ko-KR"/>
              </w:rPr>
              <w:t>comments from CATT and WILUS, we share the same view and addition by WILUS clarifies the interpretation 2 more precisely.</w:t>
            </w:r>
          </w:p>
          <w:p w14:paraId="2E1C7539" w14:textId="29EC6EC4" w:rsidR="000E5E9E" w:rsidRDefault="000E5E9E" w:rsidP="008973E2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However, in our view the change is more related on the DL side. The same principle as before for UL is applied in case of slot/sub-slot for UL.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C16E2B4" w:rsidR="00706EA6" w:rsidRDefault="00706EA6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LG</w:t>
            </w:r>
          </w:p>
        </w:tc>
        <w:tc>
          <w:tcPr>
            <w:tcW w:w="8374" w:type="dxa"/>
          </w:tcPr>
          <w:p w14:paraId="16507CC1" w14:textId="41445AA9" w:rsidR="00706EA6" w:rsidRDefault="00706EA6" w:rsidP="00706EA6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We also agree with QC and other companies, and are also fine with the clarification from WILUS.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5B06EEF8" w:rsidR="00E2209E" w:rsidRDefault="00E2209E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2DB6A697" w14:textId="15ABBFE0" w:rsidR="00E2209E" w:rsidRDefault="00E2209E" w:rsidP="00706EA6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/>
                <w:sz w:val="20"/>
                <w:szCs w:val="21"/>
                <w:lang w:eastAsia="ko-KR"/>
              </w:rPr>
              <w:t>Suppor</w:t>
            </w:r>
            <w:r w:rsidR="00E4289C">
              <w:rPr>
                <w:rFonts w:eastAsia="맑은 고딕"/>
                <w:sz w:val="20"/>
                <w:szCs w:val="21"/>
                <w:lang w:eastAsia="ko-KR"/>
              </w:rPr>
              <w:t>t Interpretation 2 for the reasons mentioned above.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29056EB4" w:rsidR="00FE3727" w:rsidRDefault="00FE3727" w:rsidP="001575FD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2A764DFA" w14:textId="7C77E505" w:rsidR="00FE3727" w:rsidRDefault="00FE3727" w:rsidP="00FE3727">
            <w:pPr>
              <w:jc w:val="both"/>
              <w:rPr>
                <w:rFonts w:eastAsia="맑은 고딕"/>
                <w:sz w:val="20"/>
                <w:szCs w:val="21"/>
                <w:lang w:eastAsia="ko-KR"/>
              </w:rPr>
            </w:pPr>
            <w:r>
              <w:rPr>
                <w:rFonts w:eastAsia="맑은 고딕" w:hint="eastAsia"/>
                <w:sz w:val="20"/>
                <w:szCs w:val="21"/>
                <w:lang w:eastAsia="ko-KR"/>
              </w:rPr>
              <w:t xml:space="preserve">We support </w:t>
            </w:r>
            <w:r>
              <w:rPr>
                <w:rFonts w:eastAsia="맑은 고딕"/>
                <w:sz w:val="20"/>
                <w:szCs w:val="21"/>
                <w:lang w:eastAsia="ko-KR"/>
              </w:rPr>
              <w:t>Interpretation 2, and have the same concern from CATT</w:t>
            </w:r>
            <w:bookmarkStart w:id="1" w:name="_GoBack"/>
            <w:bookmarkEnd w:id="1"/>
          </w:p>
        </w:tc>
      </w:tr>
    </w:tbl>
    <w:p w14:paraId="12D2AB6B" w14:textId="77777777" w:rsidR="00221E7A" w:rsidRDefault="00221E7A">
      <w:pPr>
        <w:pStyle w:val="Proposal"/>
        <w:numPr>
          <w:ilvl w:val="0"/>
          <w:numId w:val="0"/>
        </w:numPr>
        <w:tabs>
          <w:tab w:val="clear" w:pos="1304"/>
        </w:tabs>
        <w:spacing w:line="259" w:lineRule="auto"/>
        <w:rPr>
          <w:rFonts w:ascii="Times New Roman" w:hAnsi="Times New Roman"/>
          <w:b w:val="0"/>
          <w:bCs w:val="0"/>
          <w:sz w:val="20"/>
          <w:szCs w:val="20"/>
        </w:rPr>
      </w:pPr>
    </w:p>
    <w:p w14:paraId="3706EBD5" w14:textId="77777777" w:rsidR="00221E7A" w:rsidRDefault="00221E7A">
      <w:pPr>
        <w:jc w:val="both"/>
        <w:rPr>
          <w:sz w:val="22"/>
        </w:rPr>
      </w:pPr>
    </w:p>
    <w:p w14:paraId="1F921A8E" w14:textId="77777777" w:rsidR="00221E7A" w:rsidRPr="0088528B" w:rsidRDefault="00221E7A">
      <w:pPr>
        <w:jc w:val="both"/>
        <w:rPr>
          <w:sz w:val="22"/>
        </w:rPr>
      </w:pPr>
    </w:p>
    <w:p w14:paraId="43117AB3" w14:textId="77777777" w:rsidR="00221E7A" w:rsidRDefault="00221E7A">
      <w:pPr>
        <w:jc w:val="both"/>
        <w:rPr>
          <w:sz w:val="20"/>
          <w:szCs w:val="21"/>
        </w:rPr>
      </w:pP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71074689" w14:textId="77777777" w:rsidR="00221E7A" w:rsidRDefault="00221E7A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2" w:name="_Toc503902285"/>
      <w:bookmarkStart w:id="3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44C8E611" w14:textId="77777777" w:rsidR="00221E7A" w:rsidRDefault="00221E7A">
      <w:pPr>
        <w:rPr>
          <w:sz w:val="22"/>
        </w:rPr>
      </w:pPr>
    </w:p>
    <w:bookmarkEnd w:id="2"/>
    <w:bookmarkEnd w:id="3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27C11EB4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val="en-US"/>
        </w:rPr>
        <w:t>R1-</w:t>
      </w:r>
      <w:r>
        <w:rPr>
          <w:bCs/>
          <w:lang w:val="en-US"/>
        </w:rPr>
        <w:t xml:space="preserve">2104105, </w:t>
      </w:r>
      <w:r>
        <w:rPr>
          <w:lang w:val="en-US"/>
        </w:rPr>
        <w:t>Summary of email discussion [104b-e-NR-7.1CRs-04] on the correction for HARQ-ACK timing, Moderator (Apple Inc.), RAN1#104b-e, April 2021.</w:t>
      </w:r>
    </w:p>
    <w:p w14:paraId="36C3A021" w14:textId="77777777" w:rsidR="00221E7A" w:rsidRDefault="00E97A77">
      <w:pPr>
        <w:pStyle w:val="af8"/>
        <w:numPr>
          <w:ilvl w:val="0"/>
          <w:numId w:val="4"/>
        </w:numPr>
        <w:rPr>
          <w:lang w:val="en-US"/>
        </w:rPr>
      </w:pPr>
      <w:r>
        <w:rPr>
          <w:lang w:eastAsia="zh-CN"/>
        </w:rPr>
        <w:t>R1-2105075, Correction for HARQ-ACK timing in Rel-15 and Rel-16, Apple, Ericsson, RAN1#105-e, May 2021.</w:t>
      </w:r>
    </w:p>
    <w:p w14:paraId="09E2E96F" w14:textId="77777777" w:rsidR="00221E7A" w:rsidRDefault="00221E7A"/>
    <w:sectPr w:rsidR="00221E7A">
      <w:headerReference w:type="default" r:id="rId13"/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F2EA" w14:textId="77777777" w:rsidR="00563229" w:rsidRDefault="00563229">
      <w:pPr>
        <w:spacing w:after="0" w:line="240" w:lineRule="auto"/>
      </w:pPr>
      <w:r>
        <w:separator/>
      </w:r>
    </w:p>
  </w:endnote>
  <w:endnote w:type="continuationSeparator" w:id="0">
    <w:p w14:paraId="7B913E82" w14:textId="77777777" w:rsidR="00563229" w:rsidRDefault="0056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default"/>
  </w:font>
  <w:font w:name="Times-Roman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Gubbi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341477"/>
    </w:sdtPr>
    <w:sdtEndPr/>
    <w:sdtContent>
      <w:p w14:paraId="0DA33853" w14:textId="32052434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727" w:rsidRPr="00FE3727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CD4F3" w14:textId="77777777" w:rsidR="00563229" w:rsidRDefault="00563229">
      <w:pPr>
        <w:spacing w:after="0" w:line="240" w:lineRule="auto"/>
      </w:pPr>
      <w:r>
        <w:separator/>
      </w:r>
    </w:p>
  </w:footnote>
  <w:footnote w:type="continuationSeparator" w:id="0">
    <w:p w14:paraId="5CAAF7FF" w14:textId="77777777" w:rsidR="00563229" w:rsidRDefault="0056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987"/>
    <w:rsid w:val="001B4E7D"/>
    <w:rsid w:val="001B52F0"/>
    <w:rsid w:val="001B5693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C10"/>
    <w:rsid w:val="00492C2B"/>
    <w:rsid w:val="00492C4D"/>
    <w:rsid w:val="00493229"/>
    <w:rsid w:val="004937CB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F68"/>
    <w:rsid w:val="009335D1"/>
    <w:rsid w:val="009339A8"/>
    <w:rsid w:val="00933A72"/>
    <w:rsid w:val="00933BFF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9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545F"/>
    <w:rsid w:val="00A75D96"/>
    <w:rsid w:val="00A75F34"/>
    <w:rsid w:val="00A764D3"/>
    <w:rsid w:val="00A7671C"/>
    <w:rsid w:val="00A7686D"/>
    <w:rsid w:val="00A76F76"/>
    <w:rsid w:val="00A77917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A0038"/>
    <w:rsid w:val="00AA0E5C"/>
    <w:rsid w:val="00AA1826"/>
    <w:rsid w:val="00AA2514"/>
    <w:rsid w:val="00AA28CC"/>
    <w:rsid w:val="00AA2CBC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51C2"/>
    <w:rsid w:val="00BB5DFC"/>
    <w:rsid w:val="00BB5F6C"/>
    <w:rsid w:val="00BB6434"/>
    <w:rsid w:val="00BB66D6"/>
    <w:rsid w:val="00BB6B0C"/>
    <w:rsid w:val="00BC0CA2"/>
    <w:rsid w:val="00BC0D4E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A00"/>
    <w:rsid w:val="00C94B33"/>
    <w:rsid w:val="00C94FAB"/>
    <w:rsid w:val="00C951C5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4CF"/>
    <w:rsid w:val="00DE36E5"/>
    <w:rsid w:val="00DE3704"/>
    <w:rsid w:val="00DE4213"/>
    <w:rsid w:val="00DE4C93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FC44"/>
  <w15:docId w15:val="{DDCA2244-D59F-431A-8771-E6303DC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4Char">
    <w:name w:val="제목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basedOn w:val="a"/>
    <w:link w:val="Char3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메모 텍스트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캡션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본문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목록 단락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바닥글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바탕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맑은 고딕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5\Docs\R1-2105075.z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이경규/표준연구팀(SR)/Engineer/삼성전자</cp:lastModifiedBy>
  <cp:revision>3</cp:revision>
  <cp:lastPrinted>1900-12-31T16:00:00Z</cp:lastPrinted>
  <dcterms:created xsi:type="dcterms:W3CDTF">2021-05-20T22:24:00Z</dcterms:created>
  <dcterms:modified xsi:type="dcterms:W3CDTF">2021-05-20T22:32:00Z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NSCPROP_SA">
    <vt:lpwstr>C:\Users\feifei.sun\Desktop\102e\R1-200xxxx_Summary #2 of 7.2.5.3_eURLLC PUSCH enh_v09_Intel_DCM.docx</vt:lpwstr>
  </property>
  <property fmtid="{D5CDD505-2E9C-101B-9397-08002B2CF9AE}" pid="24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5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6" name="_2015_ms_pID_7253432">
    <vt:lpwstr>Ng==</vt:lpwstr>
  </property>
</Properties>
</file>