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9B7C6E8"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F10B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3GPP TSG RAN WG1 #10</w:t>
      </w:r>
      <w:r w:rsidR="00E33F04" w:rsidRPr="0053647E">
        <w:rPr>
          <w:rFonts w:ascii="Arial" w:hAnsi="Arial" w:cs="Arial"/>
          <w:b/>
          <w:kern w:val="2"/>
          <w:lang w:eastAsia="zh-CN"/>
        </w:rPr>
        <w:t>5</w:t>
      </w:r>
      <w:r w:rsidR="00A259AC" w:rsidRPr="0053647E">
        <w:rPr>
          <w:rFonts w:ascii="Arial" w:hAnsi="Arial" w:cs="Arial"/>
          <w:b/>
          <w:kern w:val="2"/>
          <w:lang w:eastAsia="zh-CN"/>
        </w:rPr>
        <w:t>-e</w:t>
      </w:r>
      <w:r w:rsidR="00972929" w:rsidRPr="0053647E">
        <w:rPr>
          <w:rFonts w:ascii="Arial" w:hAnsi="Arial" w:cs="Arial"/>
          <w:b/>
          <w:kern w:val="2"/>
          <w:lang w:eastAsia="zh-CN"/>
        </w:rPr>
        <w:tab/>
      </w:r>
      <w:r w:rsidR="00E33F04" w:rsidRPr="0053647E">
        <w:rPr>
          <w:rFonts w:ascii="Arial" w:hAnsi="Arial" w:cs="Arial"/>
          <w:b/>
          <w:kern w:val="2"/>
          <w:lang w:eastAsia="zh-CN"/>
        </w:rPr>
        <w:t>R1-21041</w:t>
      </w:r>
      <w:r w:rsidR="00AF54B9" w:rsidRPr="0053647E">
        <w:rPr>
          <w:rFonts w:ascii="Arial" w:hAnsi="Arial" w:cs="Arial"/>
          <w:b/>
          <w:kern w:val="2"/>
          <w:lang w:eastAsia="zh-CN"/>
        </w:rPr>
        <w:t>8</w:t>
      </w:r>
      <w:r w:rsidR="004C4B1E" w:rsidRPr="0053647E">
        <w:rPr>
          <w:rFonts w:ascii="Arial" w:hAnsi="Arial" w:cs="Arial"/>
          <w:b/>
          <w:kern w:val="2"/>
          <w:lang w:eastAsia="zh-CN"/>
        </w:rPr>
        <w:t>8</w:t>
      </w:r>
    </w:p>
    <w:p w14:paraId="2A9D85E6" w14:textId="142868F5"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E33F04" w:rsidRPr="0053647E">
        <w:rPr>
          <w:rFonts w:ascii="Arial" w:hAnsi="Arial" w:cs="Arial"/>
          <w:b/>
          <w:kern w:val="2"/>
          <w:lang w:eastAsia="zh-CN"/>
        </w:rPr>
        <w:t>May</w:t>
      </w:r>
      <w:r w:rsidRPr="0053647E">
        <w:rPr>
          <w:rFonts w:ascii="Arial" w:hAnsi="Arial" w:cs="Arial"/>
          <w:b/>
          <w:kern w:val="2"/>
          <w:lang w:eastAsia="zh-CN"/>
        </w:rPr>
        <w:t xml:space="preserve"> </w:t>
      </w:r>
      <w:r w:rsidR="00AD6141" w:rsidRPr="0053647E">
        <w:rPr>
          <w:rFonts w:ascii="Arial" w:hAnsi="Arial" w:cs="Arial"/>
          <w:b/>
          <w:kern w:val="2"/>
          <w:lang w:eastAsia="zh-CN"/>
        </w:rPr>
        <w:t>1</w:t>
      </w:r>
      <w:r w:rsidR="00A51C95" w:rsidRPr="0053647E">
        <w:rPr>
          <w:rFonts w:ascii="Arial" w:hAnsi="Arial" w:cs="Arial"/>
          <w:b/>
          <w:kern w:val="2"/>
          <w:lang w:eastAsia="zh-CN"/>
        </w:rPr>
        <w:t>9</w:t>
      </w:r>
      <w:r w:rsidRPr="0053647E">
        <w:rPr>
          <w:rFonts w:ascii="Arial" w:hAnsi="Arial" w:cs="Arial"/>
          <w:b/>
          <w:kern w:val="2"/>
          <w:lang w:eastAsia="zh-CN"/>
        </w:rPr>
        <w:t xml:space="preserve"> – </w:t>
      </w:r>
      <w:r w:rsidR="00AD6141" w:rsidRPr="0053647E">
        <w:rPr>
          <w:rFonts w:ascii="Arial" w:hAnsi="Arial" w:cs="Arial"/>
          <w:b/>
          <w:kern w:val="2"/>
          <w:lang w:eastAsia="zh-CN"/>
        </w:rPr>
        <w:t>2</w:t>
      </w:r>
      <w:r w:rsidR="00E33F04" w:rsidRPr="0053647E">
        <w:rPr>
          <w:rFonts w:ascii="Arial" w:hAnsi="Arial" w:cs="Arial"/>
          <w:b/>
          <w:kern w:val="2"/>
          <w:lang w:eastAsia="zh-CN"/>
        </w:rPr>
        <w:t>7</w:t>
      </w:r>
      <w:r w:rsidRPr="0053647E">
        <w:rPr>
          <w:rFonts w:ascii="Arial" w:hAnsi="Arial" w:cs="Arial"/>
          <w:b/>
          <w:kern w:val="2"/>
          <w:lang w:eastAsia="zh-CN"/>
        </w:rPr>
        <w:t>, 202</w:t>
      </w:r>
      <w:r w:rsidR="00C90627" w:rsidRPr="0053647E">
        <w:rPr>
          <w:rFonts w:ascii="Arial" w:hAnsi="Arial" w:cs="Arial"/>
          <w:b/>
          <w:kern w:val="2"/>
          <w:lang w:eastAsia="zh-CN"/>
        </w:rPr>
        <w:t>1</w:t>
      </w:r>
    </w:p>
    <w:p w14:paraId="7826937B" w14:textId="3BE2BB46"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B64AEF" w:rsidRPr="0053647E">
        <w:rPr>
          <w:rFonts w:ascii="Arial" w:hAnsi="Arial" w:cs="Arial"/>
          <w:b/>
          <w:lang w:eastAsia="zh-CN"/>
        </w:rPr>
        <w:t>8.</w:t>
      </w:r>
      <w:r w:rsidR="000526D4" w:rsidRPr="0053647E">
        <w:rPr>
          <w:rFonts w:ascii="Arial" w:hAnsi="Arial" w:cs="Arial"/>
          <w:b/>
          <w:lang w:eastAsia="zh-CN"/>
        </w:rPr>
        <w:t>6</w:t>
      </w:r>
      <w:r w:rsidR="00B64AEF" w:rsidRPr="0053647E">
        <w:rPr>
          <w:rFonts w:ascii="Arial" w:hAnsi="Arial" w:cs="Arial"/>
          <w:b/>
          <w:lang w:eastAsia="zh-CN"/>
        </w:rPr>
        <w:t>.1</w:t>
      </w:r>
      <w:r w:rsidR="006D75A1"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53647E">
        <w:rPr>
          <w:rFonts w:ascii="Arial" w:hAnsi="Arial" w:cs="Arial"/>
          <w:b/>
          <w:bCs/>
          <w:caps/>
          <w:szCs w:val="24"/>
          <w:shd w:val="clear" w:color="auto" w:fill="FFFFFF"/>
        </w:rPr>
        <w:t>Futurewei</w:t>
      </w:r>
    </w:p>
    <w:p w14:paraId="592199C5" w14:textId="2DE0E3A9"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4C4B1E" w:rsidRPr="0053647E">
        <w:rPr>
          <w:rFonts w:ascii="Arial" w:hAnsi="Arial" w:cs="Arial"/>
          <w:b/>
          <w:lang w:eastAsia="zh-CN"/>
        </w:rPr>
        <w:t>Discussion on Bandwidth Reduction for RedCap UEs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A110A0C" w14:textId="04373B09" w:rsidR="004D6BA8" w:rsidRPr="0053647E" w:rsidRDefault="00D619D4" w:rsidP="002F718C">
      <w:pPr>
        <w:rPr>
          <w:rFonts w:eastAsia="Yu Mincho"/>
          <w:bCs/>
          <w:iCs/>
          <w:lang w:eastAsia="ja-JP"/>
        </w:rPr>
      </w:pPr>
      <w:r w:rsidRPr="0053647E">
        <w:t xml:space="preserve">The </w:t>
      </w:r>
      <w:r w:rsidR="007B44D9" w:rsidRPr="0053647E">
        <w:t xml:space="preserve">3GPP </w:t>
      </w:r>
      <w:r w:rsidR="004D6BA8" w:rsidRPr="0053647E">
        <w:t xml:space="preserve">Rel-17 work item for </w:t>
      </w:r>
      <w:r w:rsidR="00276D8B" w:rsidRPr="0053647E">
        <w:t>reduced capability (</w:t>
      </w:r>
      <w:r w:rsidR="009B262F" w:rsidRPr="0053647E">
        <w:t>RedCap</w:t>
      </w:r>
      <w:r w:rsidR="00276D8B" w:rsidRPr="0053647E">
        <w:t>) devices</w:t>
      </w:r>
      <w:r w:rsidR="004D6BA8" w:rsidRPr="0053647E">
        <w:t xml:space="preserve"> was </w:t>
      </w:r>
      <w:r w:rsidR="006D75A1" w:rsidRPr="0053647E">
        <w:t xml:space="preserve">updated </w:t>
      </w:r>
      <w:r w:rsidR="004D6BA8" w:rsidRPr="0053647E">
        <w:t xml:space="preserve">in </w:t>
      </w:r>
      <w:r w:rsidR="00C90627" w:rsidRPr="0053647E">
        <w:fldChar w:fldCharType="begin"/>
      </w:r>
      <w:r w:rsidR="00C90627" w:rsidRPr="0053647E">
        <w:instrText xml:space="preserve"> REF _Ref60902124 \r \h </w:instrText>
      </w:r>
      <w:r w:rsidR="00C90627" w:rsidRPr="0053647E">
        <w:fldChar w:fldCharType="separate"/>
      </w:r>
      <w:r w:rsidR="00ED07AA" w:rsidRPr="0053647E">
        <w:t>[1]</w:t>
      </w:r>
      <w:r w:rsidR="00C90627" w:rsidRPr="0053647E">
        <w:fldChar w:fldCharType="end"/>
      </w:r>
      <w:r w:rsidR="00087F03" w:rsidRPr="0053647E">
        <w:rPr>
          <w:rFonts w:eastAsia="Yu Mincho"/>
          <w:bCs/>
          <w:iCs/>
          <w:lang w:eastAsia="ja-JP"/>
        </w:rPr>
        <w:t>.</w:t>
      </w:r>
      <w:r w:rsidR="004D6BA8" w:rsidRPr="0053647E">
        <w:rPr>
          <w:rFonts w:eastAsia="Yu Mincho"/>
          <w:bCs/>
          <w:iCs/>
          <w:lang w:eastAsia="ja-JP"/>
        </w:rPr>
        <w:t xml:space="preserve"> Among the objectives, the scope of this WI </w:t>
      </w:r>
      <w:r w:rsidR="00122B25" w:rsidRPr="0053647E">
        <w:rPr>
          <w:rFonts w:eastAsia="Yu Mincho"/>
          <w:bCs/>
          <w:iCs/>
          <w:lang w:eastAsia="ja-JP"/>
        </w:rPr>
        <w:t>includes</w:t>
      </w:r>
      <w:r w:rsidR="004D6BA8" w:rsidRPr="0053647E">
        <w:rPr>
          <w:rFonts w:eastAsia="Yu Mincho"/>
          <w:bCs/>
          <w:iCs/>
          <w:lang w:eastAsia="ja-JP"/>
        </w:rPr>
        <w:t xml:space="preserve"> </w:t>
      </w:r>
      <w:r w:rsidR="0048094D" w:rsidRPr="0053647E">
        <w:rPr>
          <w:rFonts w:eastAsia="Yu Mincho"/>
          <w:bCs/>
          <w:iCs/>
          <w:lang w:eastAsia="ja-JP"/>
        </w:rPr>
        <w:t>specifying</w:t>
      </w:r>
      <w:r w:rsidR="00276D8B" w:rsidRPr="0053647E">
        <w:t xml:space="preserve"> </w:t>
      </w:r>
      <w:r w:rsidR="00276D8B" w:rsidRPr="0053647E">
        <w:rPr>
          <w:rFonts w:eastAsia="Yu Mincho"/>
          <w:bCs/>
          <w:iCs/>
          <w:lang w:eastAsia="ja-JP"/>
        </w:rPr>
        <w:t xml:space="preserve">support for </w:t>
      </w:r>
      <w:r w:rsidR="007C015D" w:rsidRPr="0053647E">
        <w:rPr>
          <w:rFonts w:eastAsia="Yu Mincho"/>
          <w:bCs/>
          <w:iCs/>
          <w:lang w:eastAsia="ja-JP"/>
        </w:rPr>
        <w:t xml:space="preserve">five </w:t>
      </w:r>
      <w:r w:rsidR="00276D8B" w:rsidRPr="0053647E">
        <w:rPr>
          <w:rFonts w:eastAsia="Yu Mincho"/>
          <w:bCs/>
          <w:iCs/>
          <w:lang w:eastAsia="ja-JP"/>
        </w:rPr>
        <w:t xml:space="preserve">UE complexity reduction features (reduced maximum bandwidth, reduced minimum number of Rx branches, maximum number of DL MIMO layers, relaxed maximum modulation order, and </w:t>
      </w:r>
      <w:r w:rsidR="007C015D" w:rsidRPr="0053647E">
        <w:rPr>
          <w:rFonts w:eastAsia="Yu Mincho"/>
          <w:bCs/>
          <w:iCs/>
          <w:lang w:eastAsia="ja-JP"/>
        </w:rPr>
        <w:t xml:space="preserve">half </w:t>
      </w:r>
      <w:r w:rsidR="00276D8B" w:rsidRPr="0053647E">
        <w:rPr>
          <w:rFonts w:eastAsia="Yu Mincho"/>
          <w:bCs/>
          <w:iCs/>
          <w:lang w:eastAsia="ja-JP"/>
        </w:rPr>
        <w:t>duplex operation</w:t>
      </w:r>
      <w:r w:rsidR="00FE6BF8" w:rsidRPr="0053647E">
        <w:rPr>
          <w:rFonts w:eastAsia="Yu Mincho"/>
          <w:bCs/>
          <w:iCs/>
          <w:lang w:eastAsia="ja-JP"/>
        </w:rPr>
        <w:t>)</w:t>
      </w:r>
      <w:r w:rsidR="004D6BA8" w:rsidRPr="0053647E">
        <w:rPr>
          <w:rFonts w:eastAsia="Yu Mincho"/>
          <w:bCs/>
          <w:iCs/>
          <w:lang w:eastAsia="ja-JP"/>
        </w:rPr>
        <w:t>.</w:t>
      </w:r>
      <w:r w:rsidR="0021634C" w:rsidRPr="0053647E">
        <w:rPr>
          <w:rFonts w:eastAsia="Yu Mincho"/>
          <w:bCs/>
          <w:iCs/>
          <w:lang w:eastAsia="ja-JP"/>
        </w:rPr>
        <w:t xml:space="preserve"> </w:t>
      </w:r>
    </w:p>
    <w:p w14:paraId="524F8488" w14:textId="43A99261" w:rsidR="008824D9" w:rsidRPr="00FA21D4" w:rsidRDefault="0081219B" w:rsidP="002F718C">
      <w:pPr>
        <w:rPr>
          <w:rFonts w:eastAsia="Yu Mincho"/>
          <w:bCs/>
          <w:iCs/>
          <w:lang w:eastAsia="ja-JP"/>
        </w:rPr>
      </w:pPr>
      <w:r w:rsidRPr="0053647E">
        <w:rPr>
          <w:rFonts w:eastAsia="Yu Mincho"/>
          <w:bCs/>
          <w:iCs/>
          <w:lang w:eastAsia="ja-JP"/>
        </w:rPr>
        <w:t xml:space="preserve">In RAN1#104b, the discussions ranged from </w:t>
      </w:r>
      <w:r w:rsidR="00246CE1" w:rsidRPr="0053647E">
        <w:rPr>
          <w:rFonts w:eastAsia="Yu Mincho"/>
          <w:bCs/>
          <w:iCs/>
          <w:lang w:eastAsia="ja-JP"/>
        </w:rPr>
        <w:t xml:space="preserve">BWP scenarios for RedCap UEs, </w:t>
      </w:r>
      <w:r w:rsidRPr="0053647E">
        <w:rPr>
          <w:rFonts w:eastAsia="Yu Mincho"/>
          <w:bCs/>
          <w:iCs/>
          <w:lang w:eastAsia="ja-JP"/>
        </w:rPr>
        <w:t>LS discussions on fast BWP switching, and options of RACH occasions agreements in RAN1#104.</w:t>
      </w:r>
      <w:r w:rsidR="00832F5B" w:rsidRPr="0053647E">
        <w:rPr>
          <w:rFonts w:eastAsia="Yu Mincho"/>
          <w:bCs/>
          <w:iCs/>
          <w:lang w:eastAsia="ja-JP"/>
        </w:rPr>
        <w:t xml:space="preserve"> The </w:t>
      </w:r>
      <w:r w:rsidR="00832F5B" w:rsidRPr="00FA21D4">
        <w:rPr>
          <w:rFonts w:eastAsia="Yu Mincho"/>
          <w:bCs/>
          <w:iCs/>
          <w:lang w:eastAsia="ja-JP"/>
        </w:rPr>
        <w:t xml:space="preserve">contribution follows up those discussions, FFS, </w:t>
      </w:r>
      <w:r w:rsidR="004D5052">
        <w:rPr>
          <w:rFonts w:eastAsia="Yu Mincho"/>
          <w:bCs/>
          <w:iCs/>
          <w:lang w:eastAsia="ja-JP"/>
        </w:rPr>
        <w:t xml:space="preserve">and </w:t>
      </w:r>
      <w:r w:rsidR="00832F5B" w:rsidRPr="00FA21D4">
        <w:rPr>
          <w:rFonts w:eastAsia="Yu Mincho"/>
          <w:bCs/>
          <w:iCs/>
          <w:lang w:eastAsia="ja-JP"/>
        </w:rPr>
        <w:t xml:space="preserve">working </w:t>
      </w:r>
      <w:r w:rsidR="004D5052">
        <w:rPr>
          <w:rFonts w:eastAsia="Yu Mincho"/>
          <w:bCs/>
          <w:iCs/>
          <w:lang w:eastAsia="ja-JP"/>
        </w:rPr>
        <w:t>assumptions</w:t>
      </w:r>
      <w:r w:rsidR="00832F5B" w:rsidRPr="00FA21D4">
        <w:rPr>
          <w:rFonts w:eastAsia="Yu Mincho"/>
          <w:bCs/>
          <w:iCs/>
          <w:lang w:eastAsia="ja-JP"/>
        </w:rPr>
        <w:t>.</w:t>
      </w:r>
    </w:p>
    <w:p w14:paraId="381D7AEB" w14:textId="77777777" w:rsidR="008824D9" w:rsidRPr="00FA21D4" w:rsidRDefault="008824D9" w:rsidP="002F718C">
      <w:pPr>
        <w:rPr>
          <w:rFonts w:eastAsia="Yu Mincho"/>
          <w:bCs/>
          <w:iCs/>
          <w:lang w:eastAsia="ja-JP"/>
        </w:rPr>
      </w:pPr>
    </w:p>
    <w:p w14:paraId="38A7F13E" w14:textId="44371566" w:rsidR="00D05F0A" w:rsidRPr="00FA21D4" w:rsidRDefault="00AF54B9" w:rsidP="00260236">
      <w:pPr>
        <w:pStyle w:val="Heading1"/>
      </w:pPr>
      <w:r w:rsidRPr="00FA21D4">
        <w:t>Discussion</w:t>
      </w:r>
    </w:p>
    <w:p w14:paraId="02ABE4FD" w14:textId="3A3FFE11" w:rsidR="00B32EAB" w:rsidRPr="00FA21D4" w:rsidRDefault="00246CE1" w:rsidP="00B32EAB">
      <w:pPr>
        <w:pStyle w:val="Heading2"/>
      </w:pPr>
      <w:r w:rsidRPr="00FA21D4">
        <w:t>BWPs</w:t>
      </w:r>
    </w:p>
    <w:p w14:paraId="05979557" w14:textId="32D69561" w:rsidR="00F24D46" w:rsidRPr="00FA21D4" w:rsidRDefault="00246CE1" w:rsidP="004D25D9">
      <w:r w:rsidRPr="00FA21D4">
        <w:t xml:space="preserve">Much in the discussions for the reduced bandwidth feature centers around allowable BWPs. </w:t>
      </w:r>
      <w:r w:rsidR="00886E7E" w:rsidRPr="00FA21D4">
        <w:t xml:space="preserve">As </w:t>
      </w:r>
      <w:r w:rsidRPr="00FA21D4">
        <w:t>presented</w:t>
      </w:r>
      <w:r w:rsidR="00886E7E" w:rsidRPr="00FA21D4">
        <w:t xml:space="preserve"> in our contribution </w:t>
      </w:r>
      <w:r w:rsidR="00886E7E" w:rsidRPr="0053647E">
        <w:fldChar w:fldCharType="begin"/>
      </w:r>
      <w:r w:rsidR="00886E7E" w:rsidRPr="00FA21D4">
        <w:instrText xml:space="preserve"> REF _Ref70408467 \r \h </w:instrText>
      </w:r>
      <w:r w:rsidR="00886E7E" w:rsidRPr="0053647E">
        <w:fldChar w:fldCharType="separate"/>
      </w:r>
      <w:r w:rsidR="00886E7E" w:rsidRPr="0053647E">
        <w:t>[7]</w:t>
      </w:r>
      <w:r w:rsidR="00886E7E" w:rsidRPr="0053647E">
        <w:fldChar w:fldCharType="end"/>
      </w:r>
      <w:r w:rsidR="00886E7E" w:rsidRPr="0053647E">
        <w:t xml:space="preserve">, the bandwidth of operation is governed by </w:t>
      </w:r>
      <w:proofErr w:type="gramStart"/>
      <w:r w:rsidR="00F24D46" w:rsidRPr="0053647E">
        <w:t>several</w:t>
      </w:r>
      <w:proofErr w:type="gramEnd"/>
      <w:r w:rsidR="00F24D46" w:rsidRPr="0053647E">
        <w:t xml:space="preserve"> factors</w:t>
      </w:r>
      <w:r w:rsidR="00967E37" w:rsidRPr="0053647E">
        <w:t>. For the downlink</w:t>
      </w:r>
    </w:p>
    <w:p w14:paraId="25820A9D" w14:textId="5CD5F7AD" w:rsidR="00F24D46" w:rsidRPr="00FA21D4" w:rsidRDefault="00967E37" w:rsidP="00087FD5">
      <w:pPr>
        <w:pStyle w:val="ListParagraph"/>
        <w:numPr>
          <w:ilvl w:val="0"/>
          <w:numId w:val="44"/>
        </w:numPr>
        <w:ind w:left="360"/>
      </w:pPr>
      <w:r w:rsidRPr="00FA21D4">
        <w:t>T</w:t>
      </w:r>
      <w:r w:rsidR="00F24D46" w:rsidRPr="00FA21D4">
        <w:t xml:space="preserve">he bandwidth </w:t>
      </w:r>
      <w:r w:rsidR="00F950FE" w:rsidRPr="00FA21D4">
        <w:t xml:space="preserve">and location of </w:t>
      </w:r>
      <w:r w:rsidR="00941BEB" w:rsidRPr="00FA21D4">
        <w:t xml:space="preserve">initial </w:t>
      </w:r>
      <w:r w:rsidR="00D9676A" w:rsidRPr="00FA21D4">
        <w:t xml:space="preserve">DL </w:t>
      </w:r>
      <w:r w:rsidR="00941BEB" w:rsidRPr="00FA21D4">
        <w:t xml:space="preserve">BWP </w:t>
      </w:r>
      <w:r w:rsidR="00F950FE" w:rsidRPr="00FA21D4">
        <w:t>are</w:t>
      </w:r>
      <w:r w:rsidR="00F24D46" w:rsidRPr="00FA21D4">
        <w:t xml:space="preserve"> obtained </w:t>
      </w:r>
      <w:r w:rsidR="00F950FE" w:rsidRPr="00FA21D4">
        <w:t xml:space="preserve">from tables in 38.213 </w:t>
      </w:r>
      <w:r w:rsidR="00F24D46" w:rsidRPr="00FA21D4">
        <w:t xml:space="preserve">by </w:t>
      </w:r>
      <w:r w:rsidR="00F950FE" w:rsidRPr="00FA21D4">
        <w:t xml:space="preserve">considering the SCS of the SSB and the MIB parameters </w:t>
      </w:r>
      <w:r w:rsidR="00F24D46" w:rsidRPr="00FA21D4">
        <w:rPr>
          <w:i/>
          <w:iCs/>
        </w:rPr>
        <w:t>pdcch-ConfigSIB1</w:t>
      </w:r>
      <w:r w:rsidR="00F24D46" w:rsidRPr="00FA21D4">
        <w:t xml:space="preserve"> </w:t>
      </w:r>
      <w:r w:rsidR="00F950FE" w:rsidRPr="00FA21D4">
        <w:t xml:space="preserve">and </w:t>
      </w:r>
      <w:r w:rsidR="00F950FE" w:rsidRPr="00FA21D4">
        <w:rPr>
          <w:i/>
          <w:iCs/>
        </w:rPr>
        <w:t>subCarrierSpacingCommon</w:t>
      </w:r>
      <w:r w:rsidR="00F950FE" w:rsidRPr="00FA21D4">
        <w:t xml:space="preserve">. </w:t>
      </w:r>
      <w:r w:rsidR="00D9676A" w:rsidRPr="00FA21D4">
        <w:t>This provides configuration information about CORESET#0.</w:t>
      </w:r>
    </w:p>
    <w:p w14:paraId="7875BFD5" w14:textId="2245BF99" w:rsidR="00087FD5" w:rsidRPr="0053647E" w:rsidRDefault="00967E37" w:rsidP="00087FD5">
      <w:pPr>
        <w:pStyle w:val="ListParagraph"/>
        <w:numPr>
          <w:ilvl w:val="0"/>
          <w:numId w:val="44"/>
        </w:numPr>
        <w:ind w:left="360"/>
      </w:pPr>
      <w:r w:rsidRPr="00FA21D4">
        <w:t>T</w:t>
      </w:r>
      <w:r w:rsidR="0052371E" w:rsidRPr="00FA21D4">
        <w:t xml:space="preserve">he gNB may provide the UE an update for </w:t>
      </w:r>
      <w:r w:rsidR="00D9676A" w:rsidRPr="00FA21D4">
        <w:t>the initial DL BWP</w:t>
      </w:r>
      <w:r w:rsidR="0052371E" w:rsidRPr="00FA21D4">
        <w:t xml:space="preserve"> using SIB1 signaling </w:t>
      </w:r>
      <w:r w:rsidR="00087FD5" w:rsidRPr="0053647E">
        <w:fldChar w:fldCharType="begin"/>
      </w:r>
      <w:r w:rsidR="00087FD5" w:rsidRPr="00FA21D4">
        <w:instrText xml:space="preserve"> REF _Ref70591093 \r \h </w:instrText>
      </w:r>
      <w:r w:rsidR="00087FD5" w:rsidRPr="0053647E">
        <w:fldChar w:fldCharType="separate"/>
      </w:r>
      <w:r w:rsidR="00087FD5" w:rsidRPr="0053647E">
        <w:t>[9]</w:t>
      </w:r>
      <w:r w:rsidR="00087FD5" w:rsidRPr="0053647E">
        <w:fldChar w:fldCharType="end"/>
      </w:r>
      <w:r w:rsidR="00087FD5" w:rsidRPr="0053647E">
        <w:t xml:space="preserve"> </w:t>
      </w:r>
      <w:r w:rsidR="00D9676A" w:rsidRPr="0053647E">
        <w:t>(</w:t>
      </w:r>
      <w:proofErr w:type="spellStart"/>
      <w:r w:rsidR="0052371E" w:rsidRPr="0053647E">
        <w:rPr>
          <w:i/>
          <w:iCs/>
        </w:rPr>
        <w:t>ServingCellConfigCommonSIB</w:t>
      </w:r>
      <w:proofErr w:type="spellEnd"/>
      <w:r w:rsidR="0052371E" w:rsidRPr="0053647E">
        <w:t xml:space="preserve"> </w:t>
      </w:r>
      <w:r w:rsidR="0052371E" w:rsidRPr="0053647E">
        <w:sym w:font="Symbol" w:char="F0AE"/>
      </w:r>
      <w:r w:rsidR="0052371E" w:rsidRPr="0053647E">
        <w:t xml:space="preserve"> </w:t>
      </w:r>
      <w:proofErr w:type="spellStart"/>
      <w:r w:rsidR="0052371E" w:rsidRPr="0053647E">
        <w:rPr>
          <w:i/>
          <w:iCs/>
        </w:rPr>
        <w:t>downlinkConfigCommon</w:t>
      </w:r>
      <w:proofErr w:type="spellEnd"/>
      <w:r w:rsidR="0052371E" w:rsidRPr="0053647E">
        <w:t xml:space="preserve"> </w:t>
      </w:r>
      <w:r w:rsidR="0052371E" w:rsidRPr="0053647E">
        <w:sym w:font="Symbol" w:char="F0AE"/>
      </w:r>
      <w:r w:rsidR="0052371E" w:rsidRPr="0053647E">
        <w:t xml:space="preserve"> </w:t>
      </w:r>
      <w:proofErr w:type="spellStart"/>
      <w:r w:rsidR="0052371E" w:rsidRPr="0053647E">
        <w:rPr>
          <w:i/>
          <w:iCs/>
        </w:rPr>
        <w:t>initialDownlinkBWP</w:t>
      </w:r>
      <w:proofErr w:type="spellEnd"/>
      <w:r w:rsidR="00D9676A" w:rsidRPr="0053647E">
        <w:t>).</w:t>
      </w:r>
    </w:p>
    <w:p w14:paraId="213ABB33" w14:textId="2939FFE5" w:rsidR="00D9676A" w:rsidRPr="00FA21D4" w:rsidRDefault="00087FD5" w:rsidP="00087FD5">
      <w:pPr>
        <w:pStyle w:val="ListParagraph"/>
        <w:numPr>
          <w:ilvl w:val="1"/>
          <w:numId w:val="44"/>
        </w:numPr>
        <w:ind w:left="720"/>
      </w:pPr>
      <w:r w:rsidRPr="00FA21D4">
        <w:t>Note about</w:t>
      </w:r>
      <w:r w:rsidR="00D9676A" w:rsidRPr="00FA21D4">
        <w:t xml:space="preserve"> the field description</w:t>
      </w:r>
      <w:r w:rsidRPr="00FA21D4">
        <w:t xml:space="preserve"> </w:t>
      </w:r>
      <w:r w:rsidRPr="0053647E">
        <w:fldChar w:fldCharType="begin"/>
      </w:r>
      <w:r w:rsidRPr="00FA21D4">
        <w:instrText xml:space="preserve"> REF _Ref70591093 \r \h </w:instrText>
      </w:r>
      <w:r w:rsidRPr="0053647E">
        <w:fldChar w:fldCharType="separate"/>
      </w:r>
      <w:r w:rsidRPr="0053647E">
        <w:t>[9]</w:t>
      </w:r>
      <w:r w:rsidRPr="0053647E">
        <w:fldChar w:fldCharType="end"/>
      </w:r>
      <w:r w:rsidRPr="0053647E">
        <w:t>:</w:t>
      </w:r>
      <w:r w:rsidR="00D9676A" w:rsidRPr="0053647E">
        <w:t xml:space="preserve"> “The initial downlink BWP configuration for a serving cell. </w:t>
      </w:r>
      <w:r w:rsidR="00D9676A" w:rsidRPr="00FA21D4">
        <w:t xml:space="preserve">The network configures the </w:t>
      </w:r>
      <w:r w:rsidR="00D9676A" w:rsidRPr="00FA21D4">
        <w:rPr>
          <w:i/>
          <w:iCs/>
        </w:rPr>
        <w:t>locationAndBandwidth</w:t>
      </w:r>
      <w:r w:rsidR="00D9676A" w:rsidRPr="00FA21D4">
        <w:t xml:space="preserve"> so that the </w:t>
      </w:r>
      <w:bookmarkStart w:id="2" w:name="_Hlk71301305"/>
      <w:r w:rsidR="00D9676A" w:rsidRPr="00FA21D4">
        <w:t>initial downlink BWP contains the entire CORESET#0</w:t>
      </w:r>
      <w:bookmarkEnd w:id="2"/>
      <w:r w:rsidR="00D9676A" w:rsidRPr="00FA21D4">
        <w:t xml:space="preserve"> of this serving cell in the frequency domain.”</w:t>
      </w:r>
    </w:p>
    <w:p w14:paraId="583C37F4" w14:textId="2FB2B0EC" w:rsidR="004D25D9" w:rsidRPr="00FA21D4" w:rsidRDefault="003777AA" w:rsidP="004D25D9">
      <w:r w:rsidRPr="00FA21D4">
        <w:t>For the uplink:</w:t>
      </w:r>
    </w:p>
    <w:p w14:paraId="6ABAFB75" w14:textId="719BCC62" w:rsidR="003777AA" w:rsidRPr="0053647E" w:rsidRDefault="003777AA" w:rsidP="003777AA">
      <w:pPr>
        <w:pStyle w:val="ListParagraph"/>
        <w:numPr>
          <w:ilvl w:val="0"/>
          <w:numId w:val="44"/>
        </w:numPr>
        <w:ind w:left="360"/>
      </w:pPr>
      <w:r w:rsidRPr="00FA21D4">
        <w:t>The gNB provides the UE the initial UL BWP using SIB1 signaling (</w:t>
      </w:r>
      <w:proofErr w:type="spellStart"/>
      <w:r w:rsidRPr="00FA21D4">
        <w:rPr>
          <w:i/>
          <w:iCs/>
        </w:rPr>
        <w:t>ServingCellConfigCommonSIB</w:t>
      </w:r>
      <w:proofErr w:type="spellEnd"/>
      <w:r w:rsidRPr="00FA21D4">
        <w:t xml:space="preserve"> </w:t>
      </w:r>
      <w:r w:rsidRPr="0053647E">
        <w:rPr>
          <w:szCs w:val="28"/>
        </w:rPr>
        <w:sym w:font="Symbol" w:char="F0AE"/>
      </w:r>
      <w:r w:rsidRPr="0053647E">
        <w:rPr>
          <w:szCs w:val="28"/>
        </w:rPr>
        <w:t xml:space="preserve"> </w:t>
      </w:r>
      <w:proofErr w:type="spellStart"/>
      <w:r w:rsidRPr="0053647E">
        <w:rPr>
          <w:i/>
          <w:iCs/>
          <w:szCs w:val="28"/>
        </w:rPr>
        <w:t>UplinkConfigCommonSIB</w:t>
      </w:r>
      <w:proofErr w:type="spellEnd"/>
      <w:r w:rsidRPr="0053647E">
        <w:t xml:space="preserve"> </w:t>
      </w:r>
      <w:r w:rsidRPr="0053647E">
        <w:rPr>
          <w:szCs w:val="28"/>
        </w:rPr>
        <w:sym w:font="Symbol" w:char="F0AE"/>
      </w:r>
      <w:r w:rsidRPr="0053647E">
        <w:rPr>
          <w:szCs w:val="28"/>
        </w:rPr>
        <w:t xml:space="preserve"> </w:t>
      </w:r>
      <w:proofErr w:type="spellStart"/>
      <w:r w:rsidR="00BC1F2A" w:rsidRPr="0053647E">
        <w:rPr>
          <w:i/>
          <w:iCs/>
        </w:rPr>
        <w:t>initialUplinkBWP</w:t>
      </w:r>
      <w:proofErr w:type="spellEnd"/>
      <w:r w:rsidR="00BC1F2A" w:rsidRPr="0053647E">
        <w:t xml:space="preserve"> </w:t>
      </w:r>
      <w:r w:rsidR="00BC1F2A" w:rsidRPr="0053647E">
        <w:rPr>
          <w:szCs w:val="28"/>
        </w:rPr>
        <w:sym w:font="Symbol" w:char="F0AE"/>
      </w:r>
      <w:r w:rsidR="00BC1F2A" w:rsidRPr="0053647E">
        <w:rPr>
          <w:szCs w:val="28"/>
        </w:rPr>
        <w:t xml:space="preserve"> </w:t>
      </w:r>
      <w:proofErr w:type="spellStart"/>
      <w:r w:rsidRPr="0053647E">
        <w:rPr>
          <w:i/>
          <w:iCs/>
        </w:rPr>
        <w:t>genericParameters</w:t>
      </w:r>
      <w:proofErr w:type="spellEnd"/>
      <w:r w:rsidRPr="0053647E">
        <w:t>)</w:t>
      </w:r>
      <w:r w:rsidR="00BC1F2A" w:rsidRPr="0053647E">
        <w:t xml:space="preserve"> </w:t>
      </w:r>
      <w:r w:rsidR="00BC1F2A" w:rsidRPr="0053647E">
        <w:fldChar w:fldCharType="begin"/>
      </w:r>
      <w:r w:rsidR="00BC1F2A" w:rsidRPr="00FA21D4">
        <w:instrText xml:space="preserve"> REF _Ref70591093 \r \h </w:instrText>
      </w:r>
      <w:r w:rsidR="00BC1F2A" w:rsidRPr="0053647E">
        <w:fldChar w:fldCharType="separate"/>
      </w:r>
      <w:r w:rsidR="00BC1F2A" w:rsidRPr="0053647E">
        <w:t>[9]</w:t>
      </w:r>
      <w:r w:rsidR="00BC1F2A" w:rsidRPr="0053647E">
        <w:fldChar w:fldCharType="end"/>
      </w:r>
      <w:r w:rsidR="00BC1F2A" w:rsidRPr="0053647E">
        <w:t>.</w:t>
      </w:r>
    </w:p>
    <w:p w14:paraId="224D94A4" w14:textId="60D9FA9F" w:rsidR="003777AA" w:rsidRPr="00FA21D4" w:rsidRDefault="003777AA" w:rsidP="003777AA">
      <w:pPr>
        <w:pStyle w:val="ListParagraph"/>
        <w:numPr>
          <w:ilvl w:val="1"/>
          <w:numId w:val="44"/>
        </w:numPr>
        <w:ind w:left="720"/>
      </w:pPr>
      <w:r w:rsidRPr="0053647E">
        <w:t xml:space="preserve">Note about the field description </w:t>
      </w:r>
      <w:r w:rsidRPr="0053647E">
        <w:fldChar w:fldCharType="begin"/>
      </w:r>
      <w:r w:rsidRPr="00FA21D4">
        <w:instrText xml:space="preserve"> REF _Ref70591093 \r \h </w:instrText>
      </w:r>
      <w:r w:rsidRPr="0053647E">
        <w:fldChar w:fldCharType="separate"/>
      </w:r>
      <w:r w:rsidRPr="0053647E">
        <w:t>[9]</w:t>
      </w:r>
      <w:r w:rsidRPr="0053647E">
        <w:fldChar w:fldCharType="end"/>
      </w:r>
      <w:r w:rsidRPr="0053647E">
        <w:t xml:space="preserve">: </w:t>
      </w:r>
      <w:r w:rsidRPr="00FA21D4">
        <w:t>“I</w:t>
      </w:r>
      <w:r w:rsidRPr="00FA21D4">
        <w:rPr>
          <w:lang w:eastAsia="sv-SE"/>
        </w:rPr>
        <w:t xml:space="preserve">n case of TDD, a BWP-pair (UL BWP and DL BWP with the same </w:t>
      </w:r>
      <w:r w:rsidRPr="00FA21D4">
        <w:rPr>
          <w:i/>
          <w:lang w:eastAsia="sv-SE"/>
        </w:rPr>
        <w:t>bwp-Id</w:t>
      </w:r>
      <w:r w:rsidRPr="00FA21D4">
        <w:rPr>
          <w:lang w:eastAsia="sv-SE"/>
        </w:rPr>
        <w:t>) must have the same center frequency (see TS 38.213 [13], clause 12)</w:t>
      </w:r>
      <w:r w:rsidRPr="00FA21D4">
        <w:t>”</w:t>
      </w:r>
    </w:p>
    <w:p w14:paraId="25CBD629" w14:textId="650AB1CA" w:rsidR="003777AA" w:rsidRPr="0053647E" w:rsidRDefault="00BC1F2A" w:rsidP="004D25D9">
      <w:pPr>
        <w:pStyle w:val="ListParagraph"/>
        <w:numPr>
          <w:ilvl w:val="0"/>
          <w:numId w:val="44"/>
        </w:numPr>
        <w:ind w:left="360"/>
      </w:pPr>
      <w:r w:rsidRPr="00FA21D4">
        <w:t xml:space="preserve">Prior to entering the connected state, the gNB provides UL BWP configuration </w:t>
      </w:r>
      <w:r w:rsidR="00E30350" w:rsidRPr="0053647E">
        <w:fldChar w:fldCharType="begin"/>
      </w:r>
      <w:r w:rsidR="00E30350" w:rsidRPr="00FA21D4">
        <w:instrText xml:space="preserve"> REF _Ref70591093 \r \h </w:instrText>
      </w:r>
      <w:r w:rsidR="00E30350" w:rsidRPr="0053647E">
        <w:fldChar w:fldCharType="separate"/>
      </w:r>
      <w:r w:rsidR="00E30350" w:rsidRPr="0053647E">
        <w:t>[9]</w:t>
      </w:r>
      <w:r w:rsidR="00E30350" w:rsidRPr="0053647E">
        <w:fldChar w:fldCharType="end"/>
      </w:r>
      <w:r w:rsidR="00E30350" w:rsidRPr="0053647E">
        <w:t xml:space="preserve"> </w:t>
      </w:r>
      <w:r w:rsidRPr="0053647E">
        <w:t>(</w:t>
      </w:r>
      <w:proofErr w:type="spellStart"/>
      <w:r w:rsidR="00A13540" w:rsidRPr="0053647E">
        <w:rPr>
          <w:i/>
          <w:iCs/>
        </w:rPr>
        <w:t>ServingCellConfigCommon</w:t>
      </w:r>
      <w:proofErr w:type="spellEnd"/>
      <w:r w:rsidRPr="00FA21D4">
        <w:t xml:space="preserve"> </w:t>
      </w:r>
      <w:r w:rsidRPr="0053647E">
        <w:rPr>
          <w:szCs w:val="28"/>
        </w:rPr>
        <w:sym w:font="Symbol" w:char="F0AE"/>
      </w:r>
      <w:r w:rsidRPr="0053647E">
        <w:rPr>
          <w:szCs w:val="28"/>
        </w:rPr>
        <w:t xml:space="preserve"> </w:t>
      </w:r>
      <w:proofErr w:type="spellStart"/>
      <w:r w:rsidR="00E30350" w:rsidRPr="0053647E">
        <w:rPr>
          <w:i/>
          <w:iCs/>
          <w:szCs w:val="28"/>
        </w:rPr>
        <w:t>uplinkConfigCommon</w:t>
      </w:r>
      <w:proofErr w:type="spellEnd"/>
      <w:r w:rsidRPr="0053647E">
        <w:t xml:space="preserve"> </w:t>
      </w:r>
      <w:r w:rsidRPr="0053647E">
        <w:rPr>
          <w:szCs w:val="28"/>
        </w:rPr>
        <w:sym w:font="Symbol" w:char="F0AE"/>
      </w:r>
      <w:r w:rsidRPr="0053647E">
        <w:rPr>
          <w:szCs w:val="28"/>
        </w:rPr>
        <w:t xml:space="preserve"> </w:t>
      </w:r>
      <w:proofErr w:type="spellStart"/>
      <w:r w:rsidRPr="0053647E">
        <w:rPr>
          <w:i/>
          <w:iCs/>
        </w:rPr>
        <w:t>initialUplinkBWP</w:t>
      </w:r>
      <w:proofErr w:type="spellEnd"/>
      <w:r w:rsidRPr="0053647E">
        <w:t xml:space="preserve"> </w:t>
      </w:r>
      <w:r w:rsidRPr="0053647E">
        <w:rPr>
          <w:szCs w:val="28"/>
        </w:rPr>
        <w:sym w:font="Symbol" w:char="F0AE"/>
      </w:r>
      <w:r w:rsidRPr="0053647E">
        <w:rPr>
          <w:szCs w:val="28"/>
        </w:rPr>
        <w:t xml:space="preserve"> </w:t>
      </w:r>
      <w:r w:rsidRPr="0053647E">
        <w:rPr>
          <w:i/>
          <w:iCs/>
        </w:rPr>
        <w:t>genericParameters</w:t>
      </w:r>
      <w:r w:rsidRPr="0053647E">
        <w:t>).</w:t>
      </w:r>
    </w:p>
    <w:p w14:paraId="2B9B19A8" w14:textId="710C20E9" w:rsidR="00F50B2C" w:rsidRPr="0053647E" w:rsidRDefault="00282A9D" w:rsidP="004D25D9">
      <w:pPr>
        <w:rPr>
          <w:lang w:eastAsia="zh-CN"/>
        </w:rPr>
      </w:pPr>
      <w:r w:rsidRPr="0053647E">
        <w:rPr>
          <w:lang w:eastAsia="zh-CN"/>
        </w:rPr>
        <w:t xml:space="preserve">Consider the </w:t>
      </w:r>
      <w:r w:rsidR="00D4404D" w:rsidRPr="0053647E">
        <w:rPr>
          <w:lang w:eastAsia="zh-CN"/>
        </w:rPr>
        <w:t xml:space="preserve">initial </w:t>
      </w:r>
      <w:r w:rsidR="00F50B2C" w:rsidRPr="0053647E">
        <w:rPr>
          <w:lang w:eastAsia="zh-CN"/>
        </w:rPr>
        <w:t>U</w:t>
      </w:r>
      <w:r w:rsidRPr="0053647E">
        <w:rPr>
          <w:lang w:eastAsia="zh-CN"/>
        </w:rPr>
        <w:t xml:space="preserve">L </w:t>
      </w:r>
      <w:r w:rsidR="00F50B2C" w:rsidRPr="0053647E">
        <w:rPr>
          <w:lang w:eastAsia="zh-CN"/>
        </w:rPr>
        <w:t xml:space="preserve">BWP </w:t>
      </w:r>
      <w:r w:rsidR="00F96440" w:rsidRPr="0053647E">
        <w:rPr>
          <w:lang w:eastAsia="zh-CN"/>
        </w:rPr>
        <w:t>signaled</w:t>
      </w:r>
      <w:r w:rsidR="00F50B2C" w:rsidRPr="0053647E">
        <w:rPr>
          <w:lang w:eastAsia="zh-CN"/>
        </w:rPr>
        <w:t xml:space="preserve"> using SIB1. </w:t>
      </w:r>
      <w:r w:rsidR="00D4404D" w:rsidRPr="0053647E">
        <w:rPr>
          <w:lang w:eastAsia="zh-CN"/>
        </w:rPr>
        <w:t>In general</w:t>
      </w:r>
      <w:r w:rsidR="00F50B2C" w:rsidRPr="0053647E">
        <w:rPr>
          <w:lang w:eastAsia="zh-CN"/>
        </w:rPr>
        <w:t xml:space="preserve">, the network can select the BWP appropriate </w:t>
      </w:r>
      <w:r w:rsidR="003A49C8" w:rsidRPr="0053647E">
        <w:rPr>
          <w:lang w:eastAsia="zh-CN"/>
        </w:rPr>
        <w:t xml:space="preserve">among </w:t>
      </w:r>
      <w:r w:rsidR="00D4404D" w:rsidRPr="0053647E">
        <w:rPr>
          <w:lang w:eastAsia="zh-CN"/>
        </w:rPr>
        <w:t xml:space="preserve">the mandatory channels </w:t>
      </w:r>
      <w:r w:rsidR="0053647E" w:rsidRPr="0053647E">
        <w:rPr>
          <w:lang w:eastAsia="zh-CN"/>
        </w:rPr>
        <w:t xml:space="preserve">for </w:t>
      </w:r>
      <w:r w:rsidR="00F50B2C" w:rsidRPr="0053647E">
        <w:rPr>
          <w:lang w:eastAsia="zh-CN"/>
        </w:rPr>
        <w:t xml:space="preserve">that band and supported SCS. </w:t>
      </w:r>
      <w:r w:rsidR="00D4404D" w:rsidRPr="0053647E">
        <w:rPr>
          <w:lang w:eastAsia="zh-CN"/>
        </w:rPr>
        <w:t xml:space="preserve">Since the maximum possible bandwidth for FR1 is 100 MHz, and the minimum bandwidth of non-RedCap UEs is 100 MHz, the network does not have to consider </w:t>
      </w:r>
      <w:r w:rsidR="00A34C8C" w:rsidRPr="0053647E">
        <w:rPr>
          <w:lang w:eastAsia="zh-CN"/>
        </w:rPr>
        <w:t xml:space="preserve">the </w:t>
      </w:r>
      <w:r w:rsidR="00D4404D" w:rsidRPr="0053647E">
        <w:rPr>
          <w:lang w:eastAsia="zh-CN"/>
        </w:rPr>
        <w:t>UE bandwidth</w:t>
      </w:r>
      <w:r w:rsidR="003A49C8" w:rsidRPr="0053647E">
        <w:rPr>
          <w:lang w:eastAsia="zh-CN"/>
        </w:rPr>
        <w:t xml:space="preserve"> when selecting</w:t>
      </w:r>
      <w:r w:rsidR="00D4404D" w:rsidRPr="0053647E">
        <w:rPr>
          <w:lang w:eastAsia="zh-CN"/>
        </w:rPr>
        <w:t>.</w:t>
      </w:r>
    </w:p>
    <w:p w14:paraId="7A0773C3" w14:textId="79578E41" w:rsidR="00624174" w:rsidRPr="0053647E" w:rsidRDefault="00F50B2C" w:rsidP="004D25D9">
      <w:pPr>
        <w:rPr>
          <w:lang w:eastAsia="zh-CN"/>
        </w:rPr>
      </w:pPr>
      <w:r w:rsidRPr="0053647E">
        <w:rPr>
          <w:lang w:eastAsia="zh-CN"/>
        </w:rPr>
        <w:t xml:space="preserve">If the </w:t>
      </w:r>
      <w:r w:rsidR="00FC1563" w:rsidRPr="0053647E">
        <w:rPr>
          <w:lang w:eastAsia="zh-CN"/>
        </w:rPr>
        <w:t xml:space="preserve">UL </w:t>
      </w:r>
      <w:r w:rsidRPr="0053647E">
        <w:rPr>
          <w:lang w:eastAsia="zh-CN"/>
        </w:rPr>
        <w:t xml:space="preserve">BWP selected by the network is no larger than 20 MHz (FR1), </w:t>
      </w:r>
      <w:r w:rsidR="000D502B" w:rsidRPr="0053647E">
        <w:rPr>
          <w:lang w:eastAsia="zh-CN"/>
        </w:rPr>
        <w:t xml:space="preserve">a RedCap UE can operate without any bandwidth considerations. </w:t>
      </w:r>
      <w:r w:rsidR="00FC1563" w:rsidRPr="0053647E">
        <w:rPr>
          <w:lang w:eastAsia="zh-CN"/>
        </w:rPr>
        <w:t xml:space="preserve">In the agreements </w:t>
      </w:r>
      <w:r w:rsidR="003A49C8" w:rsidRPr="0053647E">
        <w:rPr>
          <w:lang w:eastAsia="zh-CN"/>
        </w:rPr>
        <w:t xml:space="preserve">from </w:t>
      </w:r>
      <w:r w:rsidR="00FC1563" w:rsidRPr="0053647E">
        <w:rPr>
          <w:lang w:eastAsia="zh-CN"/>
        </w:rPr>
        <w:t>RAN1#104</w:t>
      </w:r>
      <w:r w:rsidR="00624174" w:rsidRPr="0053647E">
        <w:rPr>
          <w:lang w:eastAsia="zh-CN"/>
        </w:rPr>
        <w:t>,</w:t>
      </w:r>
      <w:r w:rsidR="00FC1563" w:rsidRPr="0053647E">
        <w:rPr>
          <w:lang w:eastAsia="zh-CN"/>
        </w:rPr>
        <w:t xml:space="preserve"> </w:t>
      </w:r>
      <w:r w:rsidR="00624174" w:rsidRPr="0053647E">
        <w:rPr>
          <w:lang w:eastAsia="zh-CN"/>
        </w:rPr>
        <w:t>the initial DL BWP for</w:t>
      </w:r>
      <w:r w:rsidR="000803D7" w:rsidRPr="0053647E">
        <w:rPr>
          <w:lang w:eastAsia="zh-CN"/>
        </w:rPr>
        <w:t xml:space="preserve"> </w:t>
      </w:r>
      <w:r w:rsidR="00FC1563" w:rsidRPr="0053647E">
        <w:rPr>
          <w:lang w:eastAsia="zh-CN"/>
        </w:rPr>
        <w:t xml:space="preserve">a RedCap UE </w:t>
      </w:r>
      <w:r w:rsidR="00624174" w:rsidRPr="0053647E">
        <w:rPr>
          <w:lang w:eastAsia="zh-CN"/>
        </w:rPr>
        <w:t>can be the</w:t>
      </w:r>
      <w:r w:rsidR="000803D7" w:rsidRPr="0053647E">
        <w:rPr>
          <w:lang w:eastAsia="zh-CN"/>
        </w:rPr>
        <w:t xml:space="preserve"> same </w:t>
      </w:r>
      <w:r w:rsidR="00624174" w:rsidRPr="0053647E">
        <w:rPr>
          <w:lang w:eastAsia="zh-CN"/>
        </w:rPr>
        <w:t xml:space="preserve">as </w:t>
      </w:r>
      <w:r w:rsidR="000803D7" w:rsidRPr="0053647E">
        <w:rPr>
          <w:lang w:eastAsia="zh-CN"/>
        </w:rPr>
        <w:t xml:space="preserve">UL BWP </w:t>
      </w:r>
      <w:r w:rsidR="00624174" w:rsidRPr="0053647E">
        <w:rPr>
          <w:lang w:eastAsia="zh-CN"/>
        </w:rPr>
        <w:t>for non-RedCap UEs for such conditions.</w:t>
      </w:r>
    </w:p>
    <w:p w14:paraId="79E0CB0D" w14:textId="5B617937" w:rsidR="00BD0C0F" w:rsidRPr="0053647E" w:rsidRDefault="00624174" w:rsidP="004D25D9">
      <w:pPr>
        <w:rPr>
          <w:lang w:eastAsia="zh-CN"/>
        </w:rPr>
      </w:pPr>
      <w:r w:rsidRPr="0053647E">
        <w:rPr>
          <w:lang w:eastAsia="zh-CN"/>
        </w:rPr>
        <w:t>The</w:t>
      </w:r>
      <w:r w:rsidR="00FC1563" w:rsidRPr="0053647E">
        <w:rPr>
          <w:lang w:eastAsia="zh-CN"/>
        </w:rPr>
        <w:t xml:space="preserve"> </w:t>
      </w:r>
      <w:r w:rsidRPr="0053647E">
        <w:rPr>
          <w:lang w:eastAsia="zh-CN"/>
        </w:rPr>
        <w:t xml:space="preserve">issue is when </w:t>
      </w:r>
      <w:r w:rsidR="00BD0C0F" w:rsidRPr="0053647E">
        <w:rPr>
          <w:lang w:eastAsia="zh-CN"/>
        </w:rPr>
        <w:t xml:space="preserve">the </w:t>
      </w:r>
      <w:r w:rsidR="00F96440" w:rsidRPr="0053647E">
        <w:rPr>
          <w:lang w:eastAsia="zh-CN"/>
        </w:rPr>
        <w:t>signaled</w:t>
      </w:r>
      <w:r w:rsidR="00BD0C0F" w:rsidRPr="0053647E">
        <w:rPr>
          <w:lang w:eastAsia="zh-CN"/>
        </w:rPr>
        <w:t xml:space="preserve"> initial UL BWP is larger than the maximum bandwidth of a RedCap UE</w:t>
      </w:r>
      <w:r w:rsidR="00A34C8C" w:rsidRPr="0053647E">
        <w:rPr>
          <w:lang w:eastAsia="zh-CN"/>
        </w:rPr>
        <w:t xml:space="preserve"> (option 1 presented below)</w:t>
      </w:r>
      <w:r w:rsidR="00BD0C0F" w:rsidRPr="0053647E">
        <w:rPr>
          <w:lang w:eastAsia="zh-CN"/>
        </w:rPr>
        <w:t xml:space="preserve">. </w:t>
      </w:r>
    </w:p>
    <w:p w14:paraId="4F665C3C" w14:textId="2998B258" w:rsidR="00246CE1" w:rsidRPr="00DD03D0" w:rsidRDefault="00246CE1" w:rsidP="00246CE1">
      <w:pPr>
        <w:pStyle w:val="Heading3"/>
        <w:numPr>
          <w:ilvl w:val="0"/>
          <w:numId w:val="0"/>
        </w:numPr>
        <w:ind w:left="720" w:hanging="720"/>
        <w:rPr>
          <w:u w:val="single"/>
          <w:lang w:eastAsia="zh-CN"/>
        </w:rPr>
      </w:pPr>
      <w:r w:rsidRPr="00DD03D0">
        <w:rPr>
          <w:u w:val="single"/>
          <w:lang w:eastAsia="zh-CN"/>
        </w:rPr>
        <w:lastRenderedPageBreak/>
        <w:t>Down-selection of scenarios</w:t>
      </w:r>
    </w:p>
    <w:p w14:paraId="185B9572" w14:textId="77777777" w:rsidR="00553AE1" w:rsidRPr="0053647E" w:rsidRDefault="00553AE1" w:rsidP="00553AE1">
      <w:r w:rsidRPr="0053647E">
        <w:t xml:space="preserve">In RAN1#104b, the following down-selection agreements were reached for two uplink scenarios </w:t>
      </w:r>
      <w:r w:rsidRPr="0053647E">
        <w:fldChar w:fldCharType="begin"/>
      </w:r>
      <w:r w:rsidRPr="00FA21D4">
        <w:instrText xml:space="preserve"> REF _Ref70486579 \r \h </w:instrText>
      </w:r>
      <w:r w:rsidRPr="0053647E">
        <w:fldChar w:fldCharType="separate"/>
      </w:r>
      <w:r w:rsidRPr="0053647E">
        <w:t>[2]</w:t>
      </w:r>
      <w:r w:rsidRPr="0053647E">
        <w:fldChar w:fldCharType="end"/>
      </w:r>
      <w:r w:rsidRPr="0053647E">
        <w:t xml:space="preserve">. </w:t>
      </w:r>
    </w:p>
    <w:tbl>
      <w:tblPr>
        <w:tblStyle w:val="TableGrid"/>
        <w:tblW w:w="0" w:type="auto"/>
        <w:tblLook w:val="04A0" w:firstRow="1" w:lastRow="0" w:firstColumn="1" w:lastColumn="0" w:noHBand="0" w:noVBand="1"/>
      </w:tblPr>
      <w:tblGrid>
        <w:gridCol w:w="9307"/>
      </w:tblGrid>
      <w:tr w:rsidR="00553AE1" w:rsidRPr="00FA21D4" w14:paraId="2529D0F9" w14:textId="77777777" w:rsidTr="00A34C8C">
        <w:tc>
          <w:tcPr>
            <w:tcW w:w="9307" w:type="dxa"/>
          </w:tcPr>
          <w:p w14:paraId="0C80E6AC" w14:textId="77777777" w:rsidR="00553AE1" w:rsidRPr="00FA21D4" w:rsidRDefault="00553AE1" w:rsidP="00A34C8C">
            <w:pPr>
              <w:numPr>
                <w:ilvl w:val="0"/>
                <w:numId w:val="39"/>
              </w:numPr>
              <w:autoSpaceDE/>
              <w:autoSpaceDN/>
              <w:adjustRightInd/>
              <w:snapToGrid/>
              <w:spacing w:after="0"/>
              <w:jc w:val="left"/>
              <w:rPr>
                <w:i/>
                <w:iCs/>
                <w:sz w:val="20"/>
                <w:szCs w:val="20"/>
              </w:rPr>
            </w:pPr>
            <w:r w:rsidRPr="00FA21D4">
              <w:rPr>
                <w:i/>
                <w:iCs/>
                <w:sz w:val="20"/>
                <w:szCs w:val="20"/>
              </w:rPr>
              <w:t>During initial access, for the scenario where the initial UL BWP for non-RedCap UEs is configured to be wider than the RedCap UE bandwidth, down select among the following options in RAN1#105-e</w:t>
            </w:r>
          </w:p>
          <w:p w14:paraId="481E0710" w14:textId="77777777" w:rsidR="00553AE1" w:rsidRPr="00FA21D4" w:rsidRDefault="00553AE1" w:rsidP="00A34C8C">
            <w:pPr>
              <w:numPr>
                <w:ilvl w:val="1"/>
                <w:numId w:val="39"/>
              </w:numPr>
              <w:autoSpaceDE/>
              <w:autoSpaceDN/>
              <w:adjustRightInd/>
              <w:snapToGrid/>
              <w:spacing w:after="0"/>
              <w:jc w:val="left"/>
              <w:rPr>
                <w:i/>
                <w:iCs/>
                <w:sz w:val="20"/>
                <w:szCs w:val="20"/>
              </w:rPr>
            </w:pPr>
            <w:r w:rsidRPr="00FA21D4">
              <w:rPr>
                <w:i/>
                <w:iCs/>
                <w:sz w:val="20"/>
                <w:szCs w:val="20"/>
              </w:rPr>
              <w:t>Option 1: The scenario is allowed, and a RedCap UE can use the same UL BWP.</w:t>
            </w:r>
          </w:p>
          <w:p w14:paraId="4301BB97" w14:textId="77777777" w:rsidR="00553AE1" w:rsidRPr="00FA21D4" w:rsidRDefault="00553AE1" w:rsidP="00A34C8C">
            <w:pPr>
              <w:numPr>
                <w:ilvl w:val="1"/>
                <w:numId w:val="39"/>
              </w:numPr>
              <w:autoSpaceDE/>
              <w:autoSpaceDN/>
              <w:adjustRightInd/>
              <w:snapToGrid/>
              <w:spacing w:after="0"/>
              <w:jc w:val="left"/>
              <w:rPr>
                <w:i/>
                <w:iCs/>
                <w:sz w:val="20"/>
                <w:szCs w:val="20"/>
              </w:rPr>
            </w:pPr>
            <w:r w:rsidRPr="00FA21D4">
              <w:rPr>
                <w:i/>
                <w:iCs/>
                <w:sz w:val="20"/>
                <w:szCs w:val="20"/>
              </w:rPr>
              <w:t>Option 2: The scenario is allowed, but a separate initial UL BWP no wider than the RedCap UE maximum bandwidth is configured/defined for RedCap UEs.</w:t>
            </w:r>
          </w:p>
          <w:p w14:paraId="34867456" w14:textId="77777777" w:rsidR="00553AE1" w:rsidRPr="00FA21D4" w:rsidRDefault="00553AE1" w:rsidP="00A34C8C">
            <w:pPr>
              <w:numPr>
                <w:ilvl w:val="1"/>
                <w:numId w:val="39"/>
              </w:numPr>
              <w:autoSpaceDE/>
              <w:autoSpaceDN/>
              <w:adjustRightInd/>
              <w:snapToGrid/>
              <w:spacing w:after="0"/>
              <w:jc w:val="left"/>
              <w:rPr>
                <w:i/>
                <w:iCs/>
                <w:sz w:val="20"/>
                <w:szCs w:val="20"/>
              </w:rPr>
            </w:pPr>
            <w:r w:rsidRPr="00FA21D4">
              <w:rPr>
                <w:i/>
                <w:iCs/>
                <w:sz w:val="20"/>
                <w:szCs w:val="20"/>
              </w:rPr>
              <w:t>Option 3: The scenario is not allowed, and a RedCap UE is not expected to operate in an initial UL BWP wider than the RedCap UE maximum bandwidth.</w:t>
            </w:r>
          </w:p>
        </w:tc>
      </w:tr>
    </w:tbl>
    <w:p w14:paraId="5042B01B" w14:textId="77777777" w:rsidR="00553AE1" w:rsidRPr="00FA21D4" w:rsidRDefault="00553AE1" w:rsidP="00553AE1"/>
    <w:tbl>
      <w:tblPr>
        <w:tblStyle w:val="TableGrid"/>
        <w:tblW w:w="0" w:type="auto"/>
        <w:tblLook w:val="04A0" w:firstRow="1" w:lastRow="0" w:firstColumn="1" w:lastColumn="0" w:noHBand="0" w:noVBand="1"/>
      </w:tblPr>
      <w:tblGrid>
        <w:gridCol w:w="9307"/>
      </w:tblGrid>
      <w:tr w:rsidR="00553AE1" w:rsidRPr="00FA21D4" w14:paraId="2146C918" w14:textId="77777777" w:rsidTr="00A34C8C">
        <w:tc>
          <w:tcPr>
            <w:tcW w:w="9307" w:type="dxa"/>
          </w:tcPr>
          <w:p w14:paraId="296AD8DF" w14:textId="77777777" w:rsidR="00553AE1" w:rsidRPr="00FA21D4" w:rsidRDefault="00553AE1" w:rsidP="00A34C8C">
            <w:pPr>
              <w:numPr>
                <w:ilvl w:val="0"/>
                <w:numId w:val="39"/>
              </w:numPr>
              <w:autoSpaceDE/>
              <w:autoSpaceDN/>
              <w:adjustRightInd/>
              <w:snapToGrid/>
              <w:spacing w:after="0"/>
              <w:jc w:val="left"/>
              <w:rPr>
                <w:i/>
                <w:iCs/>
                <w:sz w:val="20"/>
                <w:szCs w:val="20"/>
              </w:rPr>
            </w:pPr>
            <w:r w:rsidRPr="00FA21D4">
              <w:rPr>
                <w:i/>
                <w:iCs/>
                <w:sz w:val="20"/>
                <w:szCs w:val="20"/>
              </w:rPr>
              <w:t>After initial access, for the scenario where the initial UL BWP for non-RedCap UEs is configured to be wider than the RedCap UE bandwidth, down select among the following options in RAN1#105-e:</w:t>
            </w:r>
          </w:p>
          <w:p w14:paraId="030EAD6B" w14:textId="77777777" w:rsidR="00553AE1" w:rsidRPr="00FA21D4" w:rsidRDefault="00553AE1" w:rsidP="00A34C8C">
            <w:pPr>
              <w:numPr>
                <w:ilvl w:val="1"/>
                <w:numId w:val="39"/>
              </w:numPr>
              <w:autoSpaceDE/>
              <w:autoSpaceDN/>
              <w:adjustRightInd/>
              <w:snapToGrid/>
              <w:spacing w:after="0"/>
              <w:jc w:val="left"/>
              <w:rPr>
                <w:i/>
                <w:iCs/>
                <w:sz w:val="20"/>
                <w:szCs w:val="20"/>
              </w:rPr>
            </w:pPr>
            <w:r w:rsidRPr="00FA21D4">
              <w:rPr>
                <w:i/>
                <w:iCs/>
                <w:sz w:val="20"/>
                <w:szCs w:val="20"/>
              </w:rPr>
              <w:t>Option 1: The scenario is allowed, and a RedCap UE can use the same UL BWP.</w:t>
            </w:r>
          </w:p>
          <w:p w14:paraId="651FA382" w14:textId="77777777" w:rsidR="00553AE1" w:rsidRPr="00FA21D4" w:rsidRDefault="00553AE1" w:rsidP="00A34C8C">
            <w:pPr>
              <w:numPr>
                <w:ilvl w:val="1"/>
                <w:numId w:val="39"/>
              </w:numPr>
              <w:autoSpaceDE/>
              <w:autoSpaceDN/>
              <w:adjustRightInd/>
              <w:snapToGrid/>
              <w:spacing w:after="0"/>
              <w:jc w:val="left"/>
              <w:rPr>
                <w:i/>
                <w:iCs/>
                <w:sz w:val="20"/>
                <w:szCs w:val="20"/>
              </w:rPr>
            </w:pPr>
            <w:r w:rsidRPr="00FA21D4">
              <w:rPr>
                <w:i/>
                <w:iCs/>
                <w:sz w:val="20"/>
                <w:szCs w:val="20"/>
              </w:rPr>
              <w:t>Option 2: The scenario is allowed, but a separate initial UL BWP no wider than the RedCap UE maximum bandwidth is configured/defined for RedCap UEs.</w:t>
            </w:r>
          </w:p>
          <w:p w14:paraId="09D09091" w14:textId="77777777" w:rsidR="00553AE1" w:rsidRPr="00FA21D4" w:rsidRDefault="00553AE1" w:rsidP="00A34C8C">
            <w:pPr>
              <w:numPr>
                <w:ilvl w:val="1"/>
                <w:numId w:val="39"/>
              </w:numPr>
              <w:autoSpaceDE/>
              <w:autoSpaceDN/>
              <w:adjustRightInd/>
              <w:snapToGrid/>
              <w:spacing w:after="0"/>
              <w:jc w:val="left"/>
              <w:rPr>
                <w:i/>
                <w:iCs/>
                <w:sz w:val="20"/>
                <w:szCs w:val="20"/>
              </w:rPr>
            </w:pPr>
            <w:r w:rsidRPr="00FA21D4">
              <w:rPr>
                <w:i/>
                <w:iCs/>
                <w:sz w:val="20"/>
                <w:szCs w:val="20"/>
              </w:rPr>
              <w:t xml:space="preserve">Option 3: The scenario is not allowed, and a RedCap UE is not expected to operate in an initial UL BWP wider than the RedCap UE maximum bandwidth. </w:t>
            </w:r>
          </w:p>
        </w:tc>
      </w:tr>
    </w:tbl>
    <w:p w14:paraId="3BA74AE5" w14:textId="77777777" w:rsidR="00246CE1" w:rsidRPr="0053647E" w:rsidRDefault="00246CE1" w:rsidP="004D25D9">
      <w:pPr>
        <w:rPr>
          <w:lang w:eastAsia="zh-CN"/>
        </w:rPr>
      </w:pPr>
    </w:p>
    <w:p w14:paraId="247E644E" w14:textId="28362026" w:rsidR="004D5052" w:rsidRDefault="004D5052" w:rsidP="004D5052">
      <w:r>
        <w:t>One of the key concerns is that option 1 requires re-thinking the existing BWP framework since Rel-15 where a BWP is never bigger than a UE’s RF bandwidth. Specification efforts would be required across multiple WGs, which is not desirable when the other options have smaller specification impact. An example of the potential specification effort is for the transmission of 2 symbol PUCCH. When the frequency difference between the two PUCCH resources is greater than 20 MHz (for FR1), the RedCap UE may not be able to retune in a time for the transmission of the second symbol. There would be a significant specification impact to change the timing between the two symbols used for PUCCH.</w:t>
      </w:r>
    </w:p>
    <w:p w14:paraId="14911E80" w14:textId="7F04DAE9" w:rsidR="00EF66FC" w:rsidRDefault="00EF66FC" w:rsidP="00EF66FC">
      <w:pPr>
        <w:rPr>
          <w:lang w:eastAsia="zh-CN"/>
        </w:rPr>
      </w:pPr>
    </w:p>
    <w:p w14:paraId="1E4BD7B7" w14:textId="58F9D1C5" w:rsidR="00EF66FC" w:rsidRPr="00DD03D0" w:rsidRDefault="00EF66FC" w:rsidP="00EF66FC">
      <w:pPr>
        <w:rPr>
          <w:lang w:eastAsia="zh-CN"/>
        </w:rPr>
      </w:pPr>
      <w:r>
        <w:rPr>
          <w:lang w:eastAsia="zh-CN"/>
        </w:rPr>
        <w:t xml:space="preserve">In contrast, we are okay with Option 3. As we noted in </w:t>
      </w:r>
      <w:r w:rsidRPr="0053647E">
        <w:fldChar w:fldCharType="begin"/>
      </w:r>
      <w:r w:rsidRPr="00804BA9">
        <w:instrText xml:space="preserve"> REF _Ref70408467 \r \h </w:instrText>
      </w:r>
      <w:r w:rsidRPr="0053647E">
        <w:fldChar w:fldCharType="separate"/>
      </w:r>
      <w:r w:rsidRPr="0053647E">
        <w:t>[7]</w:t>
      </w:r>
      <w:r w:rsidRPr="0053647E">
        <w:fldChar w:fldCharType="end"/>
      </w:r>
      <w:r>
        <w:t>, the standardization effort is small</w:t>
      </w:r>
      <w:r w:rsidR="00C9661F">
        <w:t xml:space="preserve">. </w:t>
      </w:r>
    </w:p>
    <w:p w14:paraId="5D2D49FC" w14:textId="02F15673" w:rsidR="00EF66FC" w:rsidRDefault="00EF66FC" w:rsidP="00A34C8C">
      <w:pPr>
        <w:rPr>
          <w:lang w:eastAsia="zh-CN"/>
        </w:rPr>
      </w:pPr>
      <w:r>
        <w:rPr>
          <w:lang w:eastAsia="zh-CN"/>
        </w:rPr>
        <w:t>We are</w:t>
      </w:r>
      <w:r w:rsidRPr="00FA21D4">
        <w:rPr>
          <w:lang w:eastAsia="zh-CN"/>
        </w:rPr>
        <w:t xml:space="preserve"> OK to consider Option 2 further. Our concern is that there may be many ways that Option 2 could be done</w:t>
      </w:r>
      <w:r>
        <w:rPr>
          <w:lang w:eastAsia="zh-CN"/>
        </w:rPr>
        <w:t xml:space="preserve">. For instance, is full flexibility on the location of the </w:t>
      </w:r>
      <w:r w:rsidR="007B41F3">
        <w:rPr>
          <w:lang w:eastAsia="zh-CN"/>
        </w:rPr>
        <w:t xml:space="preserve">UL </w:t>
      </w:r>
      <w:r>
        <w:rPr>
          <w:lang w:eastAsia="zh-CN"/>
        </w:rPr>
        <w:t>BWP allo</w:t>
      </w:r>
      <w:r w:rsidR="007B41F3">
        <w:rPr>
          <w:lang w:eastAsia="zh-CN"/>
        </w:rPr>
        <w:t>wed? Another example is if values are signaled for non-RedCap UEs, how does a RedCap UE determine its effective UL BWP parameters. If we agree to option 2, we would prefer to the simplest way of implementing Option 2.</w:t>
      </w:r>
    </w:p>
    <w:p w14:paraId="358BEE57" w14:textId="2CCE42F9" w:rsidR="00FD3C70" w:rsidRPr="0053647E" w:rsidRDefault="00FD3C70" w:rsidP="004D25D9">
      <w:pPr>
        <w:rPr>
          <w:b/>
          <w:bCs/>
          <w:i/>
          <w:iCs/>
          <w:lang w:eastAsia="zh-CN"/>
        </w:rPr>
      </w:pPr>
      <w:r w:rsidRPr="0053647E">
        <w:rPr>
          <w:b/>
          <w:bCs/>
          <w:i/>
          <w:iCs/>
          <w:lang w:eastAsia="zh-CN"/>
        </w:rPr>
        <w:t>Proposal 1: The choices for down-selection</w:t>
      </w:r>
      <w:r w:rsidR="00246CE1" w:rsidRPr="0053647E">
        <w:rPr>
          <w:b/>
          <w:bCs/>
          <w:i/>
          <w:iCs/>
          <w:lang w:eastAsia="zh-CN"/>
        </w:rPr>
        <w:t xml:space="preserve"> of scenarios</w:t>
      </w:r>
      <w:r w:rsidRPr="0053647E">
        <w:rPr>
          <w:b/>
          <w:bCs/>
          <w:i/>
          <w:iCs/>
          <w:lang w:eastAsia="zh-CN"/>
        </w:rPr>
        <w:t xml:space="preserve"> are options 2 and 3</w:t>
      </w:r>
      <w:r w:rsidR="00C53BE4" w:rsidRPr="0053647E">
        <w:rPr>
          <w:b/>
          <w:bCs/>
          <w:i/>
          <w:iCs/>
          <w:lang w:eastAsia="zh-CN"/>
        </w:rPr>
        <w:t>.</w:t>
      </w:r>
    </w:p>
    <w:p w14:paraId="4E6DBC61" w14:textId="77777777" w:rsidR="00246CE1" w:rsidRPr="0053647E" w:rsidRDefault="00246CE1" w:rsidP="00246CE1"/>
    <w:p w14:paraId="2AE797B9" w14:textId="03AE1DC5" w:rsidR="00246CE1" w:rsidRPr="0053647E" w:rsidRDefault="00246CE1" w:rsidP="00246CE1">
      <w:pPr>
        <w:pStyle w:val="Heading3"/>
        <w:numPr>
          <w:ilvl w:val="0"/>
          <w:numId w:val="0"/>
        </w:numPr>
        <w:ind w:left="720" w:hanging="720"/>
        <w:rPr>
          <w:u w:val="single"/>
          <w:lang w:eastAsia="zh-CN"/>
        </w:rPr>
      </w:pPr>
      <w:r w:rsidRPr="0053647E">
        <w:rPr>
          <w:u w:val="single"/>
          <w:lang w:eastAsia="zh-CN"/>
        </w:rPr>
        <w:t>DL BWP initial access</w:t>
      </w:r>
    </w:p>
    <w:p w14:paraId="37F2AABA" w14:textId="2C50DECA" w:rsidR="00C53BE4" w:rsidRPr="0053647E" w:rsidRDefault="00C53BE4" w:rsidP="004D25D9">
      <w:pPr>
        <w:rPr>
          <w:lang w:eastAsia="zh-CN"/>
        </w:rPr>
      </w:pPr>
      <w:r w:rsidRPr="0053647E">
        <w:rPr>
          <w:lang w:eastAsia="zh-CN"/>
        </w:rPr>
        <w:t>A working assumption from the RAN1#104b meeting was:</w:t>
      </w:r>
    </w:p>
    <w:tbl>
      <w:tblPr>
        <w:tblStyle w:val="TableGrid"/>
        <w:tblW w:w="0" w:type="auto"/>
        <w:tblLook w:val="04A0" w:firstRow="1" w:lastRow="0" w:firstColumn="1" w:lastColumn="0" w:noHBand="0" w:noVBand="1"/>
      </w:tblPr>
      <w:tblGrid>
        <w:gridCol w:w="9307"/>
      </w:tblGrid>
      <w:tr w:rsidR="004D25D9" w:rsidRPr="00FA21D4" w14:paraId="44E3FACC" w14:textId="77777777" w:rsidTr="000D502B">
        <w:tc>
          <w:tcPr>
            <w:tcW w:w="9307" w:type="dxa"/>
          </w:tcPr>
          <w:p w14:paraId="4E81B30B" w14:textId="77777777" w:rsidR="004D25D9" w:rsidRPr="0053647E" w:rsidRDefault="004D25D9" w:rsidP="000D502B">
            <w:pPr>
              <w:rPr>
                <w:b/>
                <w:bCs/>
                <w:sz w:val="20"/>
                <w:szCs w:val="20"/>
              </w:rPr>
            </w:pPr>
            <w:r w:rsidRPr="0053647E">
              <w:rPr>
                <w:b/>
                <w:bCs/>
                <w:sz w:val="20"/>
                <w:szCs w:val="20"/>
                <w:highlight w:val="darkYellow"/>
              </w:rPr>
              <w:t>Working assumption:</w:t>
            </w:r>
          </w:p>
          <w:p w14:paraId="60BE7BBE" w14:textId="77777777" w:rsidR="004D25D9" w:rsidRPr="00FA21D4" w:rsidRDefault="004D25D9" w:rsidP="000D502B">
            <w:pPr>
              <w:numPr>
                <w:ilvl w:val="0"/>
                <w:numId w:val="39"/>
              </w:numPr>
              <w:autoSpaceDE/>
              <w:autoSpaceDN/>
              <w:adjustRightInd/>
              <w:snapToGrid/>
              <w:spacing w:after="0"/>
              <w:jc w:val="left"/>
              <w:rPr>
                <w:i/>
                <w:iCs/>
                <w:sz w:val="20"/>
                <w:szCs w:val="20"/>
              </w:rPr>
            </w:pPr>
            <w:r w:rsidRPr="0053647E">
              <w:rPr>
                <w:i/>
                <w:iCs/>
                <w:sz w:val="20"/>
                <w:szCs w:val="20"/>
              </w:rPr>
              <w:t>During initial access, the bandwidth of the initial DL BWP for RedCap UEs is not expected to exceed the maximum RedCap UE bandwidth.</w:t>
            </w:r>
          </w:p>
          <w:p w14:paraId="069E248F" w14:textId="77777777" w:rsidR="004D25D9" w:rsidRPr="00FA21D4" w:rsidRDefault="004D25D9" w:rsidP="000D502B">
            <w:pPr>
              <w:numPr>
                <w:ilvl w:val="1"/>
                <w:numId w:val="39"/>
              </w:numPr>
              <w:autoSpaceDE/>
              <w:autoSpaceDN/>
              <w:adjustRightInd/>
              <w:snapToGrid/>
              <w:spacing w:after="0"/>
              <w:jc w:val="left"/>
              <w:rPr>
                <w:i/>
                <w:iCs/>
                <w:sz w:val="20"/>
                <w:szCs w:val="20"/>
              </w:rPr>
            </w:pPr>
            <w:r w:rsidRPr="00FA21D4">
              <w:rPr>
                <w:i/>
                <w:iCs/>
                <w:sz w:val="20"/>
                <w:szCs w:val="20"/>
              </w:rPr>
              <w:t>The bandwidth and location of the initial DL BWP for RedCap UEs can be the same as the bandwidth and location of the MIB-configured initial DL BWP for non-RedCap UEs.</w:t>
            </w:r>
          </w:p>
          <w:p w14:paraId="7BED3113" w14:textId="77777777" w:rsidR="004D25D9" w:rsidRPr="00FA21D4" w:rsidRDefault="004D25D9" w:rsidP="000D502B">
            <w:pPr>
              <w:numPr>
                <w:ilvl w:val="1"/>
                <w:numId w:val="39"/>
              </w:numPr>
              <w:autoSpaceDE/>
              <w:autoSpaceDN/>
              <w:adjustRightInd/>
              <w:snapToGrid/>
              <w:spacing w:after="0"/>
              <w:jc w:val="left"/>
              <w:rPr>
                <w:i/>
                <w:iCs/>
                <w:sz w:val="20"/>
                <w:szCs w:val="20"/>
              </w:rPr>
            </w:pPr>
            <w:r w:rsidRPr="00FA21D4">
              <w:rPr>
                <w:i/>
                <w:iCs/>
                <w:sz w:val="20"/>
                <w:szCs w:val="20"/>
              </w:rPr>
              <w:t>This does not preclude a SIB-configured initial DL BWP for non-RedCap UEs only with a wider bandwidth than the maximum RedCap UE bandwidth.</w:t>
            </w:r>
          </w:p>
          <w:p w14:paraId="5580AFC5" w14:textId="77777777" w:rsidR="004D25D9" w:rsidRPr="00FA21D4" w:rsidRDefault="004D25D9" w:rsidP="000D502B">
            <w:pPr>
              <w:numPr>
                <w:ilvl w:val="1"/>
                <w:numId w:val="39"/>
              </w:numPr>
              <w:autoSpaceDE/>
              <w:autoSpaceDN/>
              <w:adjustRightInd/>
              <w:snapToGrid/>
              <w:spacing w:after="0"/>
              <w:jc w:val="left"/>
            </w:pPr>
            <w:r w:rsidRPr="00FA21D4">
              <w:rPr>
                <w:i/>
                <w:iCs/>
                <w:sz w:val="20"/>
                <w:szCs w:val="20"/>
              </w:rPr>
              <w:t xml:space="preserve">This does not preclude separate or additional bandwidth and location for initial DL BWP for RedCap UEs (FFS). </w:t>
            </w:r>
          </w:p>
        </w:tc>
      </w:tr>
    </w:tbl>
    <w:p w14:paraId="791942F7" w14:textId="357FBFFA" w:rsidR="004D25D9" w:rsidRPr="00FA21D4" w:rsidRDefault="004D25D9" w:rsidP="004D25D9"/>
    <w:p w14:paraId="00F4B670" w14:textId="03231998" w:rsidR="00C53BE4" w:rsidRPr="00FA21D4" w:rsidRDefault="00C53BE4" w:rsidP="004D25D9">
      <w:r w:rsidRPr="00FA21D4">
        <w:t xml:space="preserve">Based on the analysis </w:t>
      </w:r>
      <w:r w:rsidR="007B41F3">
        <w:t>regarding the down-selection</w:t>
      </w:r>
      <w:r w:rsidRPr="00FA21D4">
        <w:t>, the working assumption should be an agreement.</w:t>
      </w:r>
    </w:p>
    <w:p w14:paraId="05157E0A" w14:textId="468A60D5" w:rsidR="00C53BE4" w:rsidRPr="00FA21D4" w:rsidRDefault="00C53BE4" w:rsidP="004D25D9">
      <w:pPr>
        <w:rPr>
          <w:b/>
          <w:bCs/>
          <w:i/>
          <w:iCs/>
        </w:rPr>
      </w:pPr>
      <w:r w:rsidRPr="00FA21D4">
        <w:rPr>
          <w:b/>
          <w:bCs/>
          <w:i/>
          <w:iCs/>
        </w:rPr>
        <w:t xml:space="preserve">Proposal 2: Confirm the working assumption regarding </w:t>
      </w:r>
      <w:r w:rsidRPr="00FA21D4">
        <w:rPr>
          <w:b/>
          <w:bCs/>
        </w:rPr>
        <w:t>“During initial access, the bandwidth of the initial DL BWP for RedCap UEs is not expected to exceed the maximum RedCap UE bandwidth.”</w:t>
      </w:r>
    </w:p>
    <w:p w14:paraId="65285116" w14:textId="66A5C152" w:rsidR="00C53BE4" w:rsidRPr="00FA21D4" w:rsidRDefault="00784DC1" w:rsidP="004D25D9">
      <w:r w:rsidRPr="00FA21D4">
        <w:lastRenderedPageBreak/>
        <w:t xml:space="preserve">There is an FFS in the working assumption. The FFS should be kept </w:t>
      </w:r>
      <w:proofErr w:type="gramStart"/>
      <w:r w:rsidRPr="00FA21D4">
        <w:t>in order to</w:t>
      </w:r>
      <w:proofErr w:type="gramEnd"/>
      <w:r w:rsidRPr="00FA21D4">
        <w:t xml:space="preserve"> understand the impact to signaling and standards of separate or additional bandwidth and location parameters</w:t>
      </w:r>
      <w:r w:rsidR="00C9661F" w:rsidRPr="00FA21D4">
        <w:t xml:space="preserve">. </w:t>
      </w:r>
    </w:p>
    <w:p w14:paraId="29F477B7" w14:textId="322FD041" w:rsidR="00246CE1" w:rsidRPr="0053647E" w:rsidRDefault="00246CE1" w:rsidP="00246CE1">
      <w:pPr>
        <w:pStyle w:val="Heading3"/>
        <w:numPr>
          <w:ilvl w:val="0"/>
          <w:numId w:val="0"/>
        </w:numPr>
        <w:ind w:left="720" w:hanging="720"/>
        <w:rPr>
          <w:u w:val="single"/>
          <w:lang w:eastAsia="zh-CN"/>
        </w:rPr>
      </w:pPr>
      <w:r w:rsidRPr="0053647E">
        <w:rPr>
          <w:u w:val="single"/>
          <w:lang w:eastAsia="zh-CN"/>
        </w:rPr>
        <w:t>Connected state</w:t>
      </w:r>
    </w:p>
    <w:p w14:paraId="4C2E391D" w14:textId="367100EF" w:rsidR="00553AE1" w:rsidRPr="0053647E" w:rsidRDefault="00553AE1" w:rsidP="004D25D9">
      <w:pPr>
        <w:rPr>
          <w:lang w:eastAsia="zh-CN"/>
        </w:rPr>
      </w:pPr>
      <w:r w:rsidRPr="0053647E">
        <w:rPr>
          <w:lang w:eastAsia="zh-CN"/>
        </w:rPr>
        <w:t>Another working assumption from the RAN1#104b meeting was:</w:t>
      </w:r>
    </w:p>
    <w:tbl>
      <w:tblPr>
        <w:tblStyle w:val="TableGrid"/>
        <w:tblW w:w="0" w:type="auto"/>
        <w:tblLook w:val="04A0" w:firstRow="1" w:lastRow="0" w:firstColumn="1" w:lastColumn="0" w:noHBand="0" w:noVBand="1"/>
      </w:tblPr>
      <w:tblGrid>
        <w:gridCol w:w="9307"/>
      </w:tblGrid>
      <w:tr w:rsidR="00553AE1" w:rsidRPr="00FA21D4" w14:paraId="3AB643F1" w14:textId="77777777" w:rsidTr="00A34C8C">
        <w:tc>
          <w:tcPr>
            <w:tcW w:w="9307" w:type="dxa"/>
          </w:tcPr>
          <w:p w14:paraId="5A2DA086" w14:textId="77777777" w:rsidR="00553AE1" w:rsidRPr="00FA21D4" w:rsidRDefault="00553AE1" w:rsidP="00A34C8C">
            <w:pPr>
              <w:autoSpaceDE/>
              <w:autoSpaceDN/>
              <w:adjustRightInd/>
              <w:snapToGrid/>
              <w:spacing w:after="0"/>
              <w:jc w:val="left"/>
              <w:rPr>
                <w:i/>
                <w:iCs/>
                <w:sz w:val="20"/>
                <w:szCs w:val="20"/>
              </w:rPr>
            </w:pPr>
            <w:r w:rsidRPr="0053647E">
              <w:rPr>
                <w:b/>
                <w:bCs/>
                <w:sz w:val="20"/>
                <w:szCs w:val="20"/>
                <w:highlight w:val="darkYellow"/>
              </w:rPr>
              <w:t>Working assumption:</w:t>
            </w:r>
            <w:r w:rsidRPr="0053647E">
              <w:rPr>
                <w:i/>
                <w:iCs/>
                <w:sz w:val="18"/>
                <w:szCs w:val="18"/>
              </w:rPr>
              <w:t xml:space="preserve"> </w:t>
            </w:r>
            <w:bookmarkStart w:id="3" w:name="_Hlk71301100"/>
            <w:r w:rsidRPr="0053647E">
              <w:rPr>
                <w:i/>
                <w:iCs/>
                <w:sz w:val="20"/>
                <w:szCs w:val="20"/>
              </w:rPr>
              <w:t>A RedCap UE cannot be configured with a non-initial (DL or UL) BWP (i.e., a BWP with a non-zero index) wide</w:t>
            </w:r>
            <w:r w:rsidRPr="00FA21D4">
              <w:rPr>
                <w:i/>
                <w:iCs/>
                <w:sz w:val="20"/>
                <w:szCs w:val="20"/>
              </w:rPr>
              <w:t>r than the maximum bandwidth of the RedCap UE</w:t>
            </w:r>
            <w:bookmarkEnd w:id="3"/>
            <w:r w:rsidRPr="00FA21D4">
              <w:rPr>
                <w:i/>
                <w:iCs/>
                <w:sz w:val="20"/>
                <w:szCs w:val="20"/>
              </w:rPr>
              <w:t>.</w:t>
            </w:r>
          </w:p>
          <w:p w14:paraId="23742B85" w14:textId="77777777" w:rsidR="00553AE1" w:rsidRPr="00FA21D4" w:rsidRDefault="00553AE1" w:rsidP="00A34C8C">
            <w:pPr>
              <w:numPr>
                <w:ilvl w:val="0"/>
                <w:numId w:val="39"/>
              </w:numPr>
              <w:autoSpaceDE/>
              <w:autoSpaceDN/>
              <w:adjustRightInd/>
              <w:snapToGrid/>
              <w:spacing w:after="0"/>
              <w:jc w:val="left"/>
            </w:pPr>
            <w:r w:rsidRPr="00FA21D4">
              <w:rPr>
                <w:i/>
                <w:iCs/>
                <w:sz w:val="20"/>
                <w:szCs w:val="20"/>
              </w:rPr>
              <w:t xml:space="preserve">At least for FR1, FG 6-1 ("Basic BWP operation with restriction" as described in TR 38.822) is used as a starting point for the RedCap UE type capability. </w:t>
            </w:r>
          </w:p>
        </w:tc>
      </w:tr>
    </w:tbl>
    <w:p w14:paraId="7D5937FC" w14:textId="77777777" w:rsidR="00553AE1" w:rsidRPr="0053647E" w:rsidRDefault="00553AE1" w:rsidP="00553AE1">
      <w:pPr>
        <w:rPr>
          <w:lang w:eastAsia="zh-CN"/>
        </w:rPr>
      </w:pPr>
    </w:p>
    <w:p w14:paraId="26906B87" w14:textId="7FF64831" w:rsidR="00553AE1" w:rsidRPr="0053647E" w:rsidRDefault="00553AE1" w:rsidP="00553AE1">
      <w:r w:rsidRPr="0053647E">
        <w:t xml:space="preserve">Based on the analysis </w:t>
      </w:r>
      <w:r w:rsidR="007B41F3">
        <w:t>regarding the down-selection</w:t>
      </w:r>
      <w:r w:rsidRPr="0053647E">
        <w:t>, the working assumption should be an agreement.</w:t>
      </w:r>
    </w:p>
    <w:p w14:paraId="0D79DBFC" w14:textId="00557AA0" w:rsidR="00553AE1" w:rsidRPr="00FA21D4" w:rsidRDefault="00553AE1" w:rsidP="00553AE1">
      <w:pPr>
        <w:rPr>
          <w:b/>
          <w:bCs/>
          <w:i/>
          <w:iCs/>
        </w:rPr>
      </w:pPr>
      <w:r w:rsidRPr="00FA21D4">
        <w:rPr>
          <w:b/>
          <w:bCs/>
          <w:i/>
          <w:iCs/>
        </w:rPr>
        <w:t xml:space="preserve">Proposal 3: Confirm the working assumption regarding </w:t>
      </w:r>
      <w:r w:rsidRPr="00FA21D4">
        <w:rPr>
          <w:b/>
          <w:bCs/>
        </w:rPr>
        <w:t>“A RedCap UE cannot be configured with a non-initial (DL or UL) BWP (i.e., a BWP with a non-zero index) wider than the maximum bandwidth of the RedCap UE”</w:t>
      </w:r>
      <w:r w:rsidR="00C9661F">
        <w:rPr>
          <w:b/>
          <w:bCs/>
        </w:rPr>
        <w:t>.</w:t>
      </w:r>
    </w:p>
    <w:p w14:paraId="585AF145" w14:textId="369D189E" w:rsidR="00246CE1" w:rsidRPr="0053647E" w:rsidRDefault="00246CE1" w:rsidP="004D25D9">
      <w:pPr>
        <w:rPr>
          <w:lang w:eastAsia="zh-CN"/>
        </w:rPr>
      </w:pPr>
      <w:r w:rsidRPr="0053647E">
        <w:rPr>
          <w:lang w:eastAsia="zh-CN"/>
        </w:rPr>
        <w:t>Another working assumption from the RAN1#104b meeting was:</w:t>
      </w:r>
    </w:p>
    <w:tbl>
      <w:tblPr>
        <w:tblStyle w:val="TableGrid"/>
        <w:tblW w:w="0" w:type="auto"/>
        <w:tblLook w:val="04A0" w:firstRow="1" w:lastRow="0" w:firstColumn="1" w:lastColumn="0" w:noHBand="0" w:noVBand="1"/>
      </w:tblPr>
      <w:tblGrid>
        <w:gridCol w:w="9307"/>
      </w:tblGrid>
      <w:tr w:rsidR="004D25D9" w:rsidRPr="0053647E" w14:paraId="3C5626CE" w14:textId="77777777" w:rsidTr="000D502B">
        <w:tc>
          <w:tcPr>
            <w:tcW w:w="9307" w:type="dxa"/>
          </w:tcPr>
          <w:p w14:paraId="592AFC48" w14:textId="77777777" w:rsidR="004D25D9" w:rsidRPr="0053647E" w:rsidRDefault="004D25D9" w:rsidP="000D502B">
            <w:pPr>
              <w:rPr>
                <w:i/>
                <w:iCs/>
                <w:sz w:val="20"/>
                <w:szCs w:val="20"/>
              </w:rPr>
            </w:pPr>
            <w:r w:rsidRPr="0053647E">
              <w:rPr>
                <w:b/>
                <w:bCs/>
                <w:sz w:val="20"/>
                <w:szCs w:val="20"/>
                <w:highlight w:val="darkYellow"/>
              </w:rPr>
              <w:t>Working assumption:</w:t>
            </w:r>
            <w:r w:rsidRPr="0053647E">
              <w:rPr>
                <w:sz w:val="20"/>
                <w:szCs w:val="20"/>
              </w:rPr>
              <w:t xml:space="preserve"> </w:t>
            </w:r>
            <w:r w:rsidRPr="0053647E">
              <w:rPr>
                <w:i/>
                <w:iCs/>
                <w:sz w:val="20"/>
                <w:szCs w:val="20"/>
              </w:rPr>
              <w:t>After initial access, at least for BWP#0 configuration option 1 (as in 38.331, Appendix B2), a RedCap UE is not expected to operate with an initial DL BWP wider than the maximum RedCap UE bandwidth.</w:t>
            </w:r>
          </w:p>
          <w:p w14:paraId="611D4E6A" w14:textId="77777777" w:rsidR="004D25D9" w:rsidRPr="0053647E" w:rsidRDefault="004D25D9" w:rsidP="000D502B">
            <w:pPr>
              <w:numPr>
                <w:ilvl w:val="0"/>
                <w:numId w:val="39"/>
              </w:numPr>
              <w:autoSpaceDE/>
              <w:autoSpaceDN/>
              <w:adjustRightInd/>
              <w:snapToGrid/>
              <w:spacing w:after="0"/>
              <w:jc w:val="left"/>
              <w:rPr>
                <w:rFonts w:eastAsia="Times New Roman"/>
              </w:rPr>
            </w:pPr>
            <w:r w:rsidRPr="0053647E">
              <w:rPr>
                <w:i/>
                <w:iCs/>
                <w:sz w:val="20"/>
                <w:szCs w:val="20"/>
              </w:rPr>
              <w:t>FFS: BWP#0 configuration option 2 (as in 38.331, Appendix B2)</w:t>
            </w:r>
          </w:p>
        </w:tc>
      </w:tr>
    </w:tbl>
    <w:p w14:paraId="501B6EB2" w14:textId="43C634AC" w:rsidR="004D25D9" w:rsidRPr="00FA21D4" w:rsidRDefault="004D25D9" w:rsidP="004D25D9"/>
    <w:p w14:paraId="25DF8B12" w14:textId="6261E8C0" w:rsidR="00246CE1" w:rsidRPr="00FA21D4" w:rsidRDefault="004B6C6D" w:rsidP="004D25D9">
      <w:r w:rsidRPr="00FA21D4">
        <w:t xml:space="preserve">Referring to 38.331, the following description about the </w:t>
      </w:r>
      <w:r w:rsidR="007B41F3">
        <w:t xml:space="preserve">two </w:t>
      </w:r>
      <w:r w:rsidRPr="00FA21D4">
        <w:t>options is provided.</w:t>
      </w:r>
    </w:p>
    <w:p w14:paraId="43219483" w14:textId="77777777" w:rsidR="00246CE1" w:rsidRPr="00FA21D4" w:rsidRDefault="00246CE1" w:rsidP="00246CE1">
      <w:pPr>
        <w:pStyle w:val="ListParagraph"/>
        <w:numPr>
          <w:ilvl w:val="0"/>
          <w:numId w:val="44"/>
        </w:numPr>
        <w:ind w:left="360"/>
      </w:pPr>
      <w:r w:rsidRPr="00FA21D4">
        <w:t>Prior to entering the connected state, the gNB may provide the UE an update for the BWP via RRC signaling.</w:t>
      </w:r>
    </w:p>
    <w:p w14:paraId="7A4B3AA1" w14:textId="612AE809" w:rsidR="00246CE1" w:rsidRPr="00FA21D4" w:rsidRDefault="00246CE1" w:rsidP="00246CE1">
      <w:pPr>
        <w:pStyle w:val="ListParagraph"/>
        <w:numPr>
          <w:ilvl w:val="1"/>
          <w:numId w:val="44"/>
        </w:numPr>
        <w:ind w:left="720"/>
        <w:rPr>
          <w:sz w:val="20"/>
          <w:szCs w:val="20"/>
        </w:rPr>
      </w:pPr>
      <w:r w:rsidRPr="00FA21D4">
        <w:rPr>
          <w:sz w:val="20"/>
          <w:szCs w:val="20"/>
        </w:rPr>
        <w:t xml:space="preserve">Note about the field description </w:t>
      </w:r>
      <w:r w:rsidRPr="00FA21D4">
        <w:rPr>
          <w:sz w:val="20"/>
          <w:szCs w:val="20"/>
        </w:rPr>
        <w:fldChar w:fldCharType="begin"/>
      </w:r>
      <w:r w:rsidRPr="00FA21D4">
        <w:rPr>
          <w:sz w:val="20"/>
          <w:szCs w:val="20"/>
        </w:rPr>
        <w:instrText xml:space="preserve"> REF _Ref70591093 \r \h </w:instrText>
      </w:r>
      <w:r w:rsidR="007B41F3">
        <w:rPr>
          <w:sz w:val="20"/>
          <w:szCs w:val="20"/>
        </w:rPr>
        <w:instrText xml:space="preserve"> \* MERGEFORMAT </w:instrText>
      </w:r>
      <w:r w:rsidRPr="00FA21D4">
        <w:rPr>
          <w:sz w:val="20"/>
          <w:szCs w:val="20"/>
        </w:rPr>
      </w:r>
      <w:r w:rsidRPr="00FA21D4">
        <w:rPr>
          <w:sz w:val="20"/>
          <w:szCs w:val="20"/>
        </w:rPr>
        <w:fldChar w:fldCharType="separate"/>
      </w:r>
      <w:r w:rsidRPr="00FA21D4">
        <w:rPr>
          <w:sz w:val="20"/>
          <w:szCs w:val="20"/>
        </w:rPr>
        <w:t>[9]</w:t>
      </w:r>
      <w:r w:rsidRPr="00FA21D4">
        <w:rPr>
          <w:sz w:val="20"/>
          <w:szCs w:val="20"/>
        </w:rPr>
        <w:fldChar w:fldCharType="end"/>
      </w:r>
      <w:r w:rsidRPr="00FA21D4">
        <w:rPr>
          <w:sz w:val="20"/>
          <w:szCs w:val="20"/>
        </w:rPr>
        <w:t xml:space="preserve">: “The network configures the </w:t>
      </w:r>
      <w:r w:rsidRPr="00FA21D4">
        <w:rPr>
          <w:i/>
          <w:iCs/>
          <w:sz w:val="20"/>
          <w:szCs w:val="20"/>
        </w:rPr>
        <w:t>locationAndBandwidth</w:t>
      </w:r>
      <w:r w:rsidRPr="00FA21D4">
        <w:rPr>
          <w:sz w:val="20"/>
          <w:szCs w:val="20"/>
        </w:rPr>
        <w:t xml:space="preserve"> so that the initial downlink BWP contains the entire CORESET#0 of this serving cell in the frequency domain. </w:t>
      </w:r>
      <w:r w:rsidRPr="00FA21D4">
        <w:rPr>
          <w:sz w:val="20"/>
          <w:szCs w:val="20"/>
          <w:highlight w:val="cyan"/>
        </w:rPr>
        <w:t xml:space="preserve">The UE applies the </w:t>
      </w:r>
      <w:r w:rsidRPr="00FA21D4">
        <w:rPr>
          <w:i/>
          <w:iCs/>
          <w:sz w:val="20"/>
          <w:szCs w:val="20"/>
          <w:highlight w:val="cyan"/>
        </w:rPr>
        <w:t>locationAndBandwidth</w:t>
      </w:r>
      <w:r w:rsidRPr="00FA21D4">
        <w:rPr>
          <w:sz w:val="20"/>
          <w:szCs w:val="20"/>
          <w:highlight w:val="cyan"/>
        </w:rPr>
        <w:t xml:space="preserve"> upon reception of this field</w:t>
      </w:r>
      <w:r w:rsidRPr="00FA21D4">
        <w:rPr>
          <w:sz w:val="20"/>
          <w:szCs w:val="20"/>
        </w:rPr>
        <w:t xml:space="preserve"> (e.g. to determine the frequency position of signals described in relation to this </w:t>
      </w:r>
      <w:r w:rsidRPr="00FA21D4">
        <w:rPr>
          <w:i/>
          <w:iCs/>
          <w:sz w:val="20"/>
          <w:szCs w:val="20"/>
        </w:rPr>
        <w:t>locationAndBandwidth</w:t>
      </w:r>
      <w:r w:rsidRPr="00FA21D4">
        <w:rPr>
          <w:sz w:val="20"/>
          <w:szCs w:val="20"/>
        </w:rPr>
        <w:t xml:space="preserve">) </w:t>
      </w:r>
      <w:r w:rsidRPr="00FA21D4">
        <w:rPr>
          <w:sz w:val="20"/>
          <w:szCs w:val="20"/>
          <w:highlight w:val="cyan"/>
        </w:rPr>
        <w:t>but it keeps CORESET#0 until after reception of RRCSetup/ RRCResume/ RRCReestablishment.</w:t>
      </w:r>
      <w:r w:rsidRPr="00FA21D4">
        <w:rPr>
          <w:sz w:val="20"/>
          <w:szCs w:val="20"/>
        </w:rPr>
        <w:t>”</w:t>
      </w:r>
    </w:p>
    <w:p w14:paraId="331538E9" w14:textId="46149CC0" w:rsidR="00246CE1" w:rsidRPr="00FA21D4" w:rsidRDefault="00246CE1" w:rsidP="00246CE1">
      <w:pPr>
        <w:pStyle w:val="ListParagraph"/>
        <w:numPr>
          <w:ilvl w:val="1"/>
          <w:numId w:val="44"/>
        </w:numPr>
        <w:ind w:left="720"/>
        <w:rPr>
          <w:sz w:val="20"/>
          <w:szCs w:val="20"/>
        </w:rPr>
      </w:pPr>
      <w:r w:rsidRPr="00FA21D4">
        <w:rPr>
          <w:sz w:val="20"/>
          <w:szCs w:val="20"/>
        </w:rPr>
        <w:t xml:space="preserve">Note about BWP#0 configuration option #1 (Annex B.2 </w:t>
      </w:r>
      <w:r w:rsidRPr="00FA21D4">
        <w:rPr>
          <w:sz w:val="20"/>
          <w:szCs w:val="20"/>
        </w:rPr>
        <w:fldChar w:fldCharType="begin"/>
      </w:r>
      <w:r w:rsidRPr="00FA21D4">
        <w:rPr>
          <w:sz w:val="20"/>
          <w:szCs w:val="20"/>
        </w:rPr>
        <w:instrText xml:space="preserve"> REF _Ref70591093 \r \h </w:instrText>
      </w:r>
      <w:r w:rsidR="007B41F3">
        <w:rPr>
          <w:sz w:val="20"/>
          <w:szCs w:val="20"/>
        </w:rPr>
        <w:instrText xml:space="preserve"> \* MERGEFORMAT </w:instrText>
      </w:r>
      <w:r w:rsidRPr="00FA21D4">
        <w:rPr>
          <w:sz w:val="20"/>
          <w:szCs w:val="20"/>
        </w:rPr>
      </w:r>
      <w:r w:rsidRPr="00FA21D4">
        <w:rPr>
          <w:sz w:val="20"/>
          <w:szCs w:val="20"/>
        </w:rPr>
        <w:fldChar w:fldCharType="separate"/>
      </w:r>
      <w:r w:rsidRPr="00FA21D4">
        <w:rPr>
          <w:sz w:val="20"/>
          <w:szCs w:val="20"/>
        </w:rPr>
        <w:t>[9]</w:t>
      </w:r>
      <w:r w:rsidRPr="00FA21D4">
        <w:rPr>
          <w:sz w:val="20"/>
          <w:szCs w:val="20"/>
        </w:rPr>
        <w:fldChar w:fldCharType="end"/>
      </w:r>
      <w:r w:rsidRPr="00FA21D4">
        <w:rPr>
          <w:sz w:val="20"/>
          <w:szCs w:val="20"/>
        </w:rPr>
        <w:t xml:space="preserve">): “The BWP#0 can still be used even if it does not have the dedicated configuration, albeit in a more limited manner since only the SIB1-defined configurations are </w:t>
      </w:r>
      <w:proofErr w:type="gramStart"/>
      <w:r w:rsidRPr="00FA21D4">
        <w:rPr>
          <w:sz w:val="20"/>
          <w:szCs w:val="20"/>
        </w:rPr>
        <w:t>available”</w:t>
      </w:r>
      <w:proofErr w:type="gramEnd"/>
    </w:p>
    <w:p w14:paraId="50351763" w14:textId="1FCE58C7" w:rsidR="00246CE1" w:rsidRPr="00FA21D4" w:rsidRDefault="00246CE1" w:rsidP="00246CE1">
      <w:pPr>
        <w:pStyle w:val="ListParagraph"/>
        <w:numPr>
          <w:ilvl w:val="1"/>
          <w:numId w:val="44"/>
        </w:numPr>
        <w:ind w:left="720"/>
        <w:rPr>
          <w:sz w:val="20"/>
          <w:szCs w:val="20"/>
        </w:rPr>
      </w:pPr>
      <w:r w:rsidRPr="00FA21D4">
        <w:rPr>
          <w:sz w:val="20"/>
          <w:szCs w:val="20"/>
        </w:rPr>
        <w:t xml:space="preserve">Note about BWP#0 configuration option #2 (Annex B.2 </w:t>
      </w:r>
      <w:r w:rsidRPr="00FA21D4">
        <w:rPr>
          <w:sz w:val="20"/>
          <w:szCs w:val="20"/>
        </w:rPr>
        <w:fldChar w:fldCharType="begin"/>
      </w:r>
      <w:r w:rsidRPr="00FA21D4">
        <w:rPr>
          <w:sz w:val="20"/>
          <w:szCs w:val="20"/>
        </w:rPr>
        <w:instrText xml:space="preserve"> REF _Ref70591093 \r \h </w:instrText>
      </w:r>
      <w:r w:rsidR="007B41F3">
        <w:rPr>
          <w:sz w:val="20"/>
          <w:szCs w:val="20"/>
        </w:rPr>
        <w:instrText xml:space="preserve"> \* MERGEFORMAT </w:instrText>
      </w:r>
      <w:r w:rsidRPr="00FA21D4">
        <w:rPr>
          <w:sz w:val="20"/>
          <w:szCs w:val="20"/>
        </w:rPr>
      </w:r>
      <w:r w:rsidRPr="00FA21D4">
        <w:rPr>
          <w:sz w:val="20"/>
          <w:szCs w:val="20"/>
        </w:rPr>
        <w:fldChar w:fldCharType="separate"/>
      </w:r>
      <w:r w:rsidRPr="00FA21D4">
        <w:rPr>
          <w:sz w:val="20"/>
          <w:szCs w:val="20"/>
        </w:rPr>
        <w:t>[9]</w:t>
      </w:r>
      <w:r w:rsidRPr="00FA21D4">
        <w:rPr>
          <w:sz w:val="20"/>
          <w:szCs w:val="20"/>
        </w:rPr>
        <w:fldChar w:fldCharType="end"/>
      </w:r>
      <w:r w:rsidRPr="00FA21D4">
        <w:rPr>
          <w:sz w:val="20"/>
          <w:szCs w:val="20"/>
        </w:rPr>
        <w:t>): “the BWP#0 is considered to be an RRC-configured BWP, i.e. UE only supporting one BWP cannot be configured with BWP#1 in addition to BWP#0 when using this configuration”</w:t>
      </w:r>
    </w:p>
    <w:p w14:paraId="1FCF1B84" w14:textId="4A309AC4" w:rsidR="00246CE1" w:rsidRPr="00FA21D4" w:rsidRDefault="00246CE1" w:rsidP="00246CE1">
      <w:pPr>
        <w:pStyle w:val="ListParagraph"/>
        <w:numPr>
          <w:ilvl w:val="1"/>
          <w:numId w:val="44"/>
        </w:numPr>
        <w:ind w:left="720"/>
      </w:pPr>
      <w:r w:rsidRPr="00FA21D4">
        <w:rPr>
          <w:sz w:val="20"/>
          <w:szCs w:val="20"/>
        </w:rPr>
        <w:t xml:space="preserve">Note about BWP#0 (Annex B.2 </w:t>
      </w:r>
      <w:r w:rsidRPr="00FA21D4">
        <w:rPr>
          <w:sz w:val="20"/>
          <w:szCs w:val="20"/>
        </w:rPr>
        <w:fldChar w:fldCharType="begin"/>
      </w:r>
      <w:r w:rsidRPr="00FA21D4">
        <w:rPr>
          <w:sz w:val="20"/>
          <w:szCs w:val="20"/>
        </w:rPr>
        <w:instrText xml:space="preserve"> REF _Ref70591093 \r \h </w:instrText>
      </w:r>
      <w:r w:rsidR="007B41F3">
        <w:rPr>
          <w:sz w:val="20"/>
          <w:szCs w:val="20"/>
        </w:rPr>
        <w:instrText xml:space="preserve"> \* MERGEFORMAT </w:instrText>
      </w:r>
      <w:r w:rsidRPr="00FA21D4">
        <w:rPr>
          <w:sz w:val="20"/>
          <w:szCs w:val="20"/>
        </w:rPr>
      </w:r>
      <w:r w:rsidRPr="00FA21D4">
        <w:rPr>
          <w:sz w:val="20"/>
          <w:szCs w:val="20"/>
        </w:rPr>
        <w:fldChar w:fldCharType="separate"/>
      </w:r>
      <w:r w:rsidRPr="00FA21D4">
        <w:rPr>
          <w:sz w:val="20"/>
          <w:szCs w:val="20"/>
        </w:rPr>
        <w:t>[9]</w:t>
      </w:r>
      <w:r w:rsidRPr="00FA21D4">
        <w:rPr>
          <w:sz w:val="20"/>
          <w:szCs w:val="20"/>
        </w:rPr>
        <w:fldChar w:fldCharType="end"/>
      </w:r>
      <w:r w:rsidRPr="00FA21D4">
        <w:rPr>
          <w:sz w:val="20"/>
          <w:szCs w:val="20"/>
        </w:rPr>
        <w:t xml:space="preserve">): “For BWP#0, the </w:t>
      </w:r>
      <w:r w:rsidRPr="00FA21D4">
        <w:rPr>
          <w:i/>
          <w:sz w:val="20"/>
          <w:szCs w:val="20"/>
        </w:rPr>
        <w:t>BWP-DownlinkCommon</w:t>
      </w:r>
      <w:r w:rsidRPr="00FA21D4">
        <w:rPr>
          <w:sz w:val="20"/>
          <w:szCs w:val="20"/>
        </w:rPr>
        <w:t xml:space="preserve"> and </w:t>
      </w:r>
      <w:r w:rsidRPr="00FA21D4">
        <w:rPr>
          <w:i/>
          <w:sz w:val="20"/>
          <w:szCs w:val="20"/>
        </w:rPr>
        <w:t>BWP-UplinkCommon</w:t>
      </w:r>
      <w:r w:rsidRPr="00FA21D4">
        <w:rPr>
          <w:sz w:val="20"/>
          <w:szCs w:val="20"/>
        </w:rPr>
        <w:t xml:space="preserve"> in </w:t>
      </w:r>
      <w:r w:rsidRPr="00FA21D4">
        <w:rPr>
          <w:i/>
          <w:sz w:val="20"/>
          <w:szCs w:val="20"/>
        </w:rPr>
        <w:t>ServingCellConfigCommon</w:t>
      </w:r>
      <w:r w:rsidRPr="00FA21D4">
        <w:rPr>
          <w:sz w:val="20"/>
          <w:szCs w:val="20"/>
        </w:rPr>
        <w:t xml:space="preserve"> </w:t>
      </w:r>
      <w:r w:rsidRPr="00FA21D4">
        <w:rPr>
          <w:sz w:val="20"/>
          <w:szCs w:val="20"/>
          <w:highlight w:val="yellow"/>
        </w:rPr>
        <w:t>should match the parameters configured by MIB and SIB1 (if provided) in the corresponding serving cell</w:t>
      </w:r>
      <w:r w:rsidRPr="00FA21D4">
        <w:rPr>
          <w:sz w:val="20"/>
          <w:szCs w:val="20"/>
        </w:rPr>
        <w:t>.”</w:t>
      </w:r>
    </w:p>
    <w:p w14:paraId="34810D1B" w14:textId="77777777" w:rsidR="004D25D9" w:rsidRPr="0053647E" w:rsidRDefault="004D25D9" w:rsidP="004D25D9">
      <w:pPr>
        <w:rPr>
          <w:lang w:eastAsia="zh-CN"/>
        </w:rPr>
      </w:pPr>
    </w:p>
    <w:p w14:paraId="749B1DD5" w14:textId="77777777" w:rsidR="0068176D" w:rsidRPr="00FA21D4" w:rsidRDefault="004B6C6D" w:rsidP="004D25D9">
      <w:r w:rsidRPr="0053647E">
        <w:t>There are several observations: option #1 and option #2 refer to configurations for the connected state. The working agreement is “after initial access”. It is unclear what is meant by “</w:t>
      </w:r>
      <w:r w:rsidRPr="00FA21D4">
        <w:rPr>
          <w:i/>
          <w:iCs/>
        </w:rPr>
        <w:t>at least for BWP#0 configuration option 1</w:t>
      </w:r>
      <w:r w:rsidRPr="00FA21D4">
        <w:t xml:space="preserve">” because after initial access is a transitory </w:t>
      </w:r>
      <w:r w:rsidR="0068176D" w:rsidRPr="00FA21D4">
        <w:t>moment before the connected state. This is confirmed by the blue highlighting that CORESET#0 is kept until reception of RRCSetup/etc</w:t>
      </w:r>
      <w:r w:rsidRPr="00FA21D4">
        <w:t xml:space="preserve">. </w:t>
      </w:r>
    </w:p>
    <w:p w14:paraId="670ACA35" w14:textId="263C851A" w:rsidR="004D25D9" w:rsidRPr="00FA21D4" w:rsidRDefault="004B6C6D" w:rsidP="004D25D9">
      <w:r w:rsidRPr="00FA21D4">
        <w:t>The second ob</w:t>
      </w:r>
      <w:r w:rsidR="0068176D" w:rsidRPr="00FA21D4">
        <w:t>servation is BWP#0 in the connected state “should match the parameters …” (yellow highlighting). If a SIB1 is provided with a BWP larger than maximum bandwidth of a RedCap UE, is the RedCap UE expected to use that BWP? With these questions, additional clarification is needed about the working assumption.</w:t>
      </w:r>
    </w:p>
    <w:p w14:paraId="71D2793B" w14:textId="7ACAEF50" w:rsidR="0068176D" w:rsidRPr="00FA21D4" w:rsidRDefault="007B41F3" w:rsidP="004D25D9">
      <w:pPr>
        <w:rPr>
          <w:b/>
          <w:bCs/>
          <w:i/>
          <w:iCs/>
        </w:rPr>
      </w:pPr>
      <w:r>
        <w:rPr>
          <w:b/>
          <w:bCs/>
          <w:i/>
          <w:iCs/>
        </w:rPr>
        <w:t>Observation</w:t>
      </w:r>
      <w:r w:rsidR="0068176D" w:rsidRPr="00FA21D4">
        <w:rPr>
          <w:b/>
          <w:bCs/>
          <w:i/>
          <w:iCs/>
        </w:rPr>
        <w:t xml:space="preserve">: Further discussion to clarify </w:t>
      </w:r>
      <w:r w:rsidR="00743B8B" w:rsidRPr="00FA21D4">
        <w:rPr>
          <w:b/>
          <w:bCs/>
          <w:i/>
          <w:iCs/>
        </w:rPr>
        <w:t>BWP#0 is needed before decisions are made for the working assumption</w:t>
      </w:r>
    </w:p>
    <w:p w14:paraId="19F84B98" w14:textId="77777777" w:rsidR="004D25D9" w:rsidRPr="00FA21D4" w:rsidRDefault="004D25D9" w:rsidP="004D25D9"/>
    <w:p w14:paraId="217DDB7D" w14:textId="658875D2" w:rsidR="004D25D9" w:rsidRPr="00FA21D4" w:rsidRDefault="00D0765E" w:rsidP="004D25D9">
      <w:pPr>
        <w:pStyle w:val="Heading1"/>
      </w:pPr>
      <w:r w:rsidRPr="00FA21D4">
        <w:lastRenderedPageBreak/>
        <w:t>RACH occasions / Msg 3 / PUCCH</w:t>
      </w:r>
    </w:p>
    <w:p w14:paraId="7975DEC8" w14:textId="6C3AB9A7" w:rsidR="00F561DD" w:rsidRPr="00FA21D4" w:rsidRDefault="00F561DD" w:rsidP="00CA7C89">
      <w:r w:rsidRPr="00FA21D4">
        <w:t xml:space="preserve">An observation about the agreements in RAN1#104 was </w:t>
      </w:r>
      <w:r w:rsidR="00F11297" w:rsidRPr="00FA21D4">
        <w:t xml:space="preserve">supporting </w:t>
      </w:r>
      <w:r w:rsidRPr="00FA21D4">
        <w:t>sharing of</w:t>
      </w:r>
      <w:r w:rsidR="00F11297" w:rsidRPr="00FA21D4">
        <w:t xml:space="preserve"> resources.</w:t>
      </w:r>
    </w:p>
    <w:p w14:paraId="1ED1A9F4" w14:textId="2A318B76" w:rsidR="00F561DD" w:rsidRPr="0053647E" w:rsidRDefault="00F11297" w:rsidP="00CA7C89">
      <w:r w:rsidRPr="00FA21D4">
        <w:t>For example, i</w:t>
      </w:r>
      <w:r w:rsidR="00F561DD" w:rsidRPr="00FA21D4">
        <w:t xml:space="preserve">n RAN1#104, an agreement UL BWP is presented below </w:t>
      </w:r>
      <w:r w:rsidR="00F561DD" w:rsidRPr="0053647E">
        <w:fldChar w:fldCharType="begin"/>
      </w:r>
      <w:r w:rsidR="00F561DD" w:rsidRPr="00FA21D4">
        <w:instrText xml:space="preserve"> REF _Ref70487126 \r \h </w:instrText>
      </w:r>
      <w:r w:rsidR="00F561DD" w:rsidRPr="0053647E">
        <w:fldChar w:fldCharType="separate"/>
      </w:r>
      <w:r w:rsidR="00F561DD" w:rsidRPr="0053647E">
        <w:t>[3]</w:t>
      </w:r>
      <w:r w:rsidR="00F561DD" w:rsidRPr="0053647E">
        <w:fldChar w:fldCharType="end"/>
      </w:r>
    </w:p>
    <w:tbl>
      <w:tblPr>
        <w:tblStyle w:val="TableGrid"/>
        <w:tblW w:w="0" w:type="auto"/>
        <w:tblLook w:val="04A0" w:firstRow="1" w:lastRow="0" w:firstColumn="1" w:lastColumn="0" w:noHBand="0" w:noVBand="1"/>
      </w:tblPr>
      <w:tblGrid>
        <w:gridCol w:w="9307"/>
      </w:tblGrid>
      <w:tr w:rsidR="00F561DD" w:rsidRPr="00FA21D4" w14:paraId="293E31D4" w14:textId="77777777" w:rsidTr="00804BA9">
        <w:tc>
          <w:tcPr>
            <w:tcW w:w="9350" w:type="dxa"/>
          </w:tcPr>
          <w:p w14:paraId="7F3EDA00" w14:textId="7A80494E" w:rsidR="00F561DD" w:rsidRPr="00FA21D4" w:rsidRDefault="00F561DD" w:rsidP="00F561DD">
            <w:pPr>
              <w:pStyle w:val="ListParagraph"/>
              <w:numPr>
                <w:ilvl w:val="0"/>
                <w:numId w:val="23"/>
              </w:numPr>
              <w:rPr>
                <w:sz w:val="18"/>
                <w:szCs w:val="20"/>
              </w:rPr>
            </w:pPr>
            <w:r w:rsidRPr="0053647E">
              <w:rPr>
                <w:rFonts w:eastAsia="Times New Roman"/>
                <w:sz w:val="20"/>
                <w:szCs w:val="16"/>
              </w:rPr>
              <w:t xml:space="preserve">The initial UL BWP (derived based on SIB) for RedCap UEs can be the same as the initial UL BWP for non-RedCap UEs at least </w:t>
            </w:r>
            <w:r w:rsidRPr="00FA21D4">
              <w:rPr>
                <w:rFonts w:eastAsia="Times New Roman"/>
                <w:sz w:val="20"/>
                <w:szCs w:val="16"/>
              </w:rPr>
              <w:t>when the initial UL BWP is no wider than the RedCap UE bandwidth.</w:t>
            </w:r>
          </w:p>
        </w:tc>
      </w:tr>
    </w:tbl>
    <w:p w14:paraId="520A675C" w14:textId="77777777" w:rsidR="00F561DD" w:rsidRPr="00FA21D4" w:rsidRDefault="00F561DD" w:rsidP="00F561DD"/>
    <w:p w14:paraId="61D8D9E5" w14:textId="784F2336" w:rsidR="00F561DD" w:rsidRPr="00FA21D4" w:rsidRDefault="00F11297" w:rsidP="00CA7C89">
      <w:r w:rsidRPr="00FA21D4">
        <w:t>With this agreement, it is obvious that RedCap and non-RedCap UEs share uplink resources</w:t>
      </w:r>
      <w:r w:rsidR="004D5052">
        <w:t xml:space="preserve"> including RACH occasions</w:t>
      </w:r>
      <w:r w:rsidRPr="00FA21D4">
        <w:t xml:space="preserve">. </w:t>
      </w:r>
    </w:p>
    <w:p w14:paraId="17DFCC3B" w14:textId="18571DFF" w:rsidR="004D25D9" w:rsidRPr="00FA21D4" w:rsidRDefault="00F6611E" w:rsidP="00CA7C89">
      <w:r w:rsidRPr="00FA21D4">
        <w:t xml:space="preserve">In RAN1#104, agreements regarding RACH occasions are presented below </w:t>
      </w:r>
      <w:r w:rsidRPr="0053647E">
        <w:fldChar w:fldCharType="begin"/>
      </w:r>
      <w:r w:rsidRPr="00FA21D4">
        <w:instrText xml:space="preserve"> REF _Ref70487126 \r \h </w:instrText>
      </w:r>
      <w:r w:rsidRPr="0053647E">
        <w:fldChar w:fldCharType="separate"/>
      </w:r>
      <w:r w:rsidRPr="0053647E">
        <w:t>[3]</w:t>
      </w:r>
      <w:r w:rsidRPr="0053647E">
        <w:fldChar w:fldCharType="end"/>
      </w:r>
      <w:r w:rsidR="00F11297" w:rsidRPr="0053647E">
        <w:t xml:space="preserve"> and which occasion can be used.</w:t>
      </w:r>
      <w:r w:rsidRPr="00FA21D4">
        <w:t xml:space="preserve"> </w:t>
      </w:r>
    </w:p>
    <w:tbl>
      <w:tblPr>
        <w:tblStyle w:val="TableGrid"/>
        <w:tblW w:w="0" w:type="auto"/>
        <w:tblLook w:val="04A0" w:firstRow="1" w:lastRow="0" w:firstColumn="1" w:lastColumn="0" w:noHBand="0" w:noVBand="1"/>
      </w:tblPr>
      <w:tblGrid>
        <w:gridCol w:w="9307"/>
      </w:tblGrid>
      <w:tr w:rsidR="00F6611E" w:rsidRPr="00FA21D4" w14:paraId="4BE66244" w14:textId="77777777" w:rsidTr="000D502B">
        <w:tc>
          <w:tcPr>
            <w:tcW w:w="9350" w:type="dxa"/>
          </w:tcPr>
          <w:p w14:paraId="2DCAE997" w14:textId="77777777" w:rsidR="00F6611E" w:rsidRPr="00FA21D4" w:rsidRDefault="00F6611E" w:rsidP="000D502B">
            <w:pPr>
              <w:pStyle w:val="ListParagraph"/>
              <w:numPr>
                <w:ilvl w:val="0"/>
                <w:numId w:val="30"/>
              </w:numPr>
              <w:rPr>
                <w:sz w:val="18"/>
                <w:szCs w:val="20"/>
              </w:rPr>
            </w:pPr>
            <w:r w:rsidRPr="00FA21D4">
              <w:rPr>
                <w:sz w:val="18"/>
                <w:szCs w:val="20"/>
              </w:rPr>
              <w:t>Study further how to enable/support that a RACH occasion associated with the best SSB falls within the RedCap UE bandwidth, with the following options:</w:t>
            </w:r>
          </w:p>
          <w:p w14:paraId="5C7014E7" w14:textId="77777777" w:rsidR="00F6611E" w:rsidRPr="00FA21D4" w:rsidRDefault="00F6611E" w:rsidP="000D502B">
            <w:pPr>
              <w:pStyle w:val="ListParagraph"/>
              <w:numPr>
                <w:ilvl w:val="1"/>
                <w:numId w:val="23"/>
              </w:numPr>
              <w:rPr>
                <w:sz w:val="18"/>
                <w:szCs w:val="20"/>
              </w:rPr>
            </w:pPr>
            <w:r w:rsidRPr="00FA21D4">
              <w:rPr>
                <w:sz w:val="18"/>
                <w:szCs w:val="20"/>
              </w:rPr>
              <w:t>Option 1: Proper RF-retuning for RedCap</w:t>
            </w:r>
          </w:p>
          <w:p w14:paraId="52DED3F5" w14:textId="77777777" w:rsidR="00F6611E" w:rsidRPr="00FA21D4" w:rsidRDefault="00F6611E" w:rsidP="000D502B">
            <w:pPr>
              <w:pStyle w:val="ListParagraph"/>
              <w:numPr>
                <w:ilvl w:val="1"/>
                <w:numId w:val="23"/>
              </w:numPr>
              <w:rPr>
                <w:sz w:val="18"/>
                <w:szCs w:val="20"/>
              </w:rPr>
            </w:pPr>
            <w:r w:rsidRPr="00FA21D4">
              <w:rPr>
                <w:sz w:val="18"/>
                <w:szCs w:val="20"/>
              </w:rPr>
              <w:t>Option 2: Separate initial UL BWP(s) for RedCap UEs</w:t>
            </w:r>
          </w:p>
          <w:p w14:paraId="49764960" w14:textId="77777777" w:rsidR="00F6611E" w:rsidRPr="00FA21D4" w:rsidRDefault="00F6611E" w:rsidP="000D502B">
            <w:pPr>
              <w:pStyle w:val="ListParagraph"/>
              <w:numPr>
                <w:ilvl w:val="1"/>
                <w:numId w:val="23"/>
              </w:numPr>
              <w:rPr>
                <w:sz w:val="18"/>
                <w:szCs w:val="20"/>
              </w:rPr>
            </w:pPr>
            <w:r w:rsidRPr="00FA21D4">
              <w:rPr>
                <w:sz w:val="18"/>
                <w:szCs w:val="20"/>
              </w:rPr>
              <w:t>Option 3: gNB configuration (e.g., restrictions on existing PRACH configurations, or FDM-ed ROs, or always restricting the initial UL BWP to within RedCap UE bandwidth)</w:t>
            </w:r>
          </w:p>
          <w:p w14:paraId="59E9CCE1" w14:textId="77777777" w:rsidR="00F6611E" w:rsidRPr="00FA21D4" w:rsidRDefault="00F6611E" w:rsidP="000D502B">
            <w:pPr>
              <w:pStyle w:val="ListParagraph"/>
              <w:numPr>
                <w:ilvl w:val="1"/>
                <w:numId w:val="23"/>
              </w:numPr>
              <w:rPr>
                <w:sz w:val="18"/>
                <w:szCs w:val="20"/>
              </w:rPr>
            </w:pPr>
            <w:r w:rsidRPr="00FA21D4">
              <w:rPr>
                <w:sz w:val="18"/>
                <w:szCs w:val="20"/>
              </w:rPr>
              <w:t>Option 4: Dedicated PRACH configurations (e.g., ROs) for RedCap UEs</w:t>
            </w:r>
          </w:p>
          <w:p w14:paraId="7965A7E1" w14:textId="77777777" w:rsidR="00F6611E" w:rsidRPr="00FA21D4" w:rsidRDefault="00F6611E" w:rsidP="000D502B">
            <w:pPr>
              <w:pStyle w:val="ListParagraph"/>
              <w:numPr>
                <w:ilvl w:val="1"/>
                <w:numId w:val="23"/>
              </w:numPr>
              <w:rPr>
                <w:sz w:val="18"/>
                <w:szCs w:val="20"/>
              </w:rPr>
            </w:pPr>
            <w:r w:rsidRPr="00FA21D4">
              <w:rPr>
                <w:sz w:val="18"/>
                <w:szCs w:val="20"/>
              </w:rPr>
              <w:t>Other options are not precluded</w:t>
            </w:r>
          </w:p>
        </w:tc>
      </w:tr>
    </w:tbl>
    <w:p w14:paraId="6054AA89" w14:textId="77777777" w:rsidR="00F6611E" w:rsidRPr="00FA21D4" w:rsidRDefault="00F6611E" w:rsidP="00F6611E"/>
    <w:p w14:paraId="7C0269B2" w14:textId="04ED78AC" w:rsidR="004D25D9" w:rsidRPr="00FA21D4" w:rsidRDefault="00F6611E" w:rsidP="004D25D9">
      <w:r w:rsidRPr="00FA21D4">
        <w:t xml:space="preserve">In RAN1#104b, </w:t>
      </w:r>
      <w:r w:rsidR="00D95EF5" w:rsidRPr="00FA21D4">
        <w:t xml:space="preserve">the summary </w:t>
      </w:r>
      <w:r w:rsidR="00D95EF5" w:rsidRPr="0053647E">
        <w:fldChar w:fldCharType="begin"/>
      </w:r>
      <w:r w:rsidR="00D95EF5" w:rsidRPr="00FA21D4">
        <w:instrText xml:space="preserve"> REF _Ref71019881 \r \h </w:instrText>
      </w:r>
      <w:r w:rsidR="00D95EF5" w:rsidRPr="0053647E">
        <w:fldChar w:fldCharType="separate"/>
      </w:r>
      <w:r w:rsidR="00D95EF5" w:rsidRPr="0053647E">
        <w:t>[11]</w:t>
      </w:r>
      <w:r w:rsidR="00D95EF5" w:rsidRPr="0053647E">
        <w:fldChar w:fldCharType="end"/>
      </w:r>
      <w:r w:rsidR="00D95EF5" w:rsidRPr="0053647E">
        <w:t xml:space="preserve"> identifies</w:t>
      </w:r>
      <w:r w:rsidR="001260D2" w:rsidRPr="0053647E">
        <w:t xml:space="preserve"> benefits / disadvantages </w:t>
      </w:r>
      <w:r w:rsidR="007259CB" w:rsidRPr="0053647E">
        <w:t>of</w:t>
      </w:r>
      <w:r w:rsidR="001260D2" w:rsidRPr="0053647E">
        <w:t xml:space="preserve"> the four options</w:t>
      </w:r>
      <w:r w:rsidR="00CE7C45" w:rsidRPr="00FA21D4">
        <w:t xml:space="preserve"> based on interpretations of the submitted contributions</w:t>
      </w:r>
      <w:r w:rsidR="00D95EF5" w:rsidRPr="00FA21D4">
        <w:t xml:space="preserve">. Note </w:t>
      </w:r>
      <w:r w:rsidR="00CE7C45" w:rsidRPr="00FA21D4">
        <w:t xml:space="preserve">that the summary listed </w:t>
      </w:r>
      <w:r w:rsidR="00D95EF5" w:rsidRPr="00FA21D4">
        <w:t>that benefits / disadvantages for</w:t>
      </w:r>
      <w:r w:rsidR="00CE7C45" w:rsidRPr="00FA21D4">
        <w:t xml:space="preserve"> both</w:t>
      </w:r>
      <w:r w:rsidR="00D95EF5" w:rsidRPr="00FA21D4">
        <w:t xml:space="preserve"> during and after initial access</w:t>
      </w:r>
      <w:r w:rsidR="00CE7C45" w:rsidRPr="00FA21D4">
        <w:t xml:space="preserve">. Although no decisions were made, companies provided some </w:t>
      </w:r>
      <w:r w:rsidR="00D95EF5" w:rsidRPr="00FA21D4">
        <w:t>comments</w:t>
      </w:r>
      <w:r w:rsidR="00CE7C45" w:rsidRPr="00FA21D4">
        <w:t xml:space="preserve"> about the interp</w:t>
      </w:r>
      <w:r w:rsidR="00D0765E" w:rsidRPr="00FA21D4">
        <w:t>retation.</w:t>
      </w:r>
      <w:r w:rsidR="00D95EF5" w:rsidRPr="00FA21D4">
        <w:t xml:space="preserve"> The </w:t>
      </w:r>
      <w:r w:rsidR="00D0765E" w:rsidRPr="00FA21D4">
        <w:t xml:space="preserve">Appendix present the </w:t>
      </w:r>
      <w:r w:rsidR="00D95EF5" w:rsidRPr="00FA21D4">
        <w:t>tables</w:t>
      </w:r>
      <w:r w:rsidR="00D0765E" w:rsidRPr="00FA21D4">
        <w:t xml:space="preserve"> of</w:t>
      </w:r>
      <w:r w:rsidR="00CE7C45" w:rsidRPr="00FA21D4">
        <w:t xml:space="preserve"> the </w:t>
      </w:r>
      <w:r w:rsidR="00D0765E" w:rsidRPr="00FA21D4">
        <w:t>interpretations.</w:t>
      </w:r>
    </w:p>
    <w:p w14:paraId="4D3E8B6B" w14:textId="06347E07" w:rsidR="00353336" w:rsidRPr="00FA21D4" w:rsidRDefault="00D0765E" w:rsidP="00353336">
      <w:pPr>
        <w:rPr>
          <w:b/>
          <w:bCs/>
          <w:i/>
          <w:iCs/>
        </w:rPr>
      </w:pPr>
      <w:r w:rsidRPr="00FA21D4">
        <w:t xml:space="preserve">In our contribution </w:t>
      </w:r>
      <w:r w:rsidR="00353336" w:rsidRPr="00FA21D4">
        <w:t xml:space="preserve">in RAN1#104b </w:t>
      </w:r>
      <w:r w:rsidR="00353336" w:rsidRPr="0053647E">
        <w:fldChar w:fldCharType="begin"/>
      </w:r>
      <w:r w:rsidR="00353336" w:rsidRPr="00FA21D4">
        <w:instrText xml:space="preserve"> REF _Ref70408467 \r \h </w:instrText>
      </w:r>
      <w:r w:rsidR="00353336" w:rsidRPr="0053647E">
        <w:fldChar w:fldCharType="separate"/>
      </w:r>
      <w:r w:rsidR="00353336" w:rsidRPr="0053647E">
        <w:t>[7]</w:t>
      </w:r>
      <w:r w:rsidR="00353336" w:rsidRPr="0053647E">
        <w:fldChar w:fldCharType="end"/>
      </w:r>
      <w:r w:rsidR="00353336" w:rsidRPr="0053647E">
        <w:t>, we examined option 3 in significant detail</w:t>
      </w:r>
      <w:r w:rsidR="00F11297" w:rsidRPr="0053647E">
        <w:t>,</w:t>
      </w:r>
      <w:r w:rsidR="00353336" w:rsidRPr="0053647E">
        <w:t xml:space="preserve"> and how small standardizations efforts are needed. But one key </w:t>
      </w:r>
      <w:r w:rsidR="00353336" w:rsidRPr="00FA21D4">
        <w:t>point we noted was regarding resource utilization. Specifically, we stated</w:t>
      </w:r>
      <w:r w:rsidR="00C20C16" w:rsidRPr="00FA21D4">
        <w:t xml:space="preserve"> in a proposal </w:t>
      </w:r>
      <w:r w:rsidR="00353336" w:rsidRPr="00FA21D4">
        <w:t>“</w:t>
      </w:r>
      <w:r w:rsidR="00353336" w:rsidRPr="00FA21D4">
        <w:rPr>
          <w:i/>
          <w:iCs/>
        </w:rPr>
        <w:t>RedCap UEs can share RACH occasions with legacy UEs</w:t>
      </w:r>
      <w:r w:rsidR="00353336" w:rsidRPr="00FA21D4">
        <w:t>”</w:t>
      </w:r>
      <w:r w:rsidR="00C9661F">
        <w:t>.</w:t>
      </w:r>
    </w:p>
    <w:p w14:paraId="3B853151" w14:textId="564BCB18" w:rsidR="00C20C16" w:rsidRPr="0053647E" w:rsidRDefault="00353336" w:rsidP="00CA7C89">
      <w:r w:rsidRPr="00FA21D4">
        <w:t>Resource sharing is applicable to option 2 and option 4</w:t>
      </w:r>
      <w:r w:rsidR="00C20C16" w:rsidRPr="00FA21D4">
        <w:t xml:space="preserve"> as well as option 3</w:t>
      </w:r>
      <w:r w:rsidRPr="00FA21D4">
        <w:t xml:space="preserve">. </w:t>
      </w:r>
      <w:r w:rsidR="00C20C16" w:rsidRPr="00FA21D4">
        <w:t>F</w:t>
      </w:r>
      <w:r w:rsidRPr="00FA21D4">
        <w:t xml:space="preserve">eedback to the comments </w:t>
      </w:r>
      <w:r w:rsidR="00A12DA1" w:rsidRPr="00FA21D4">
        <w:t xml:space="preserve">in summary </w:t>
      </w:r>
      <w:r w:rsidR="00A12DA1" w:rsidRPr="0053647E">
        <w:fldChar w:fldCharType="begin"/>
      </w:r>
      <w:r w:rsidR="00A12DA1" w:rsidRPr="0053647E">
        <w:instrText xml:space="preserve"> REF _Ref71019881 \r \h </w:instrText>
      </w:r>
      <w:r w:rsidR="00A12DA1" w:rsidRPr="0053647E">
        <w:fldChar w:fldCharType="separate"/>
      </w:r>
      <w:r w:rsidR="00A12DA1" w:rsidRPr="0053647E">
        <w:t>[11]</w:t>
      </w:r>
      <w:r w:rsidR="00A12DA1" w:rsidRPr="0053647E">
        <w:fldChar w:fldCharType="end"/>
      </w:r>
      <w:r w:rsidR="00C20C16" w:rsidRPr="0053647E">
        <w:t xml:space="preserve"> also echoed this proposal. We repeat the </w:t>
      </w:r>
      <w:r w:rsidR="00C9661F" w:rsidRPr="0053647E">
        <w:t>proposal.</w:t>
      </w:r>
    </w:p>
    <w:p w14:paraId="494E1ACE" w14:textId="0DE47B8E" w:rsidR="00C20C16" w:rsidRPr="00FA21D4" w:rsidRDefault="00C20C16" w:rsidP="00CA7C89">
      <w:pPr>
        <w:rPr>
          <w:b/>
          <w:bCs/>
          <w:i/>
          <w:iCs/>
        </w:rPr>
      </w:pPr>
      <w:r w:rsidRPr="00FA21D4">
        <w:rPr>
          <w:b/>
          <w:bCs/>
          <w:i/>
          <w:iCs/>
        </w:rPr>
        <w:t xml:space="preserve">Proposal </w:t>
      </w:r>
      <w:r w:rsidR="007B41F3">
        <w:rPr>
          <w:b/>
          <w:bCs/>
          <w:i/>
          <w:iCs/>
        </w:rPr>
        <w:t>4</w:t>
      </w:r>
      <w:r w:rsidRPr="00FA21D4">
        <w:rPr>
          <w:b/>
          <w:bCs/>
          <w:i/>
          <w:iCs/>
        </w:rPr>
        <w:t xml:space="preserve">: RedCap UEs can share RACH occasions with legacy </w:t>
      </w:r>
      <w:r w:rsidR="00C9661F" w:rsidRPr="00FA21D4">
        <w:rPr>
          <w:b/>
          <w:bCs/>
          <w:i/>
          <w:iCs/>
        </w:rPr>
        <w:t>UEs.</w:t>
      </w:r>
    </w:p>
    <w:p w14:paraId="0AA5F606" w14:textId="77777777" w:rsidR="00260CAB" w:rsidRPr="00FA21D4" w:rsidRDefault="00260CAB" w:rsidP="00C20C16"/>
    <w:p w14:paraId="45AC45FC" w14:textId="4C9C7448" w:rsidR="0065600E" w:rsidRPr="00FA21D4" w:rsidRDefault="0065600E" w:rsidP="0065600E">
      <w:pPr>
        <w:pStyle w:val="Heading1"/>
      </w:pPr>
      <w:r w:rsidRPr="00FA21D4">
        <w:t xml:space="preserve">Discussion for </w:t>
      </w:r>
      <w:r w:rsidR="000344E1" w:rsidRPr="00FA21D4">
        <w:t>LS</w:t>
      </w:r>
    </w:p>
    <w:p w14:paraId="22350021" w14:textId="26BF90F3" w:rsidR="001449E0" w:rsidRPr="0053647E" w:rsidRDefault="000344E1" w:rsidP="001449E0">
      <w:r w:rsidRPr="00FA21D4">
        <w:t xml:space="preserve">In RAN1#104, a draft LS proposal was prepared </w:t>
      </w:r>
      <w:r w:rsidRPr="0053647E">
        <w:fldChar w:fldCharType="begin"/>
      </w:r>
      <w:r w:rsidRPr="0053647E">
        <w:instrText xml:space="preserve"> REF _Ref71006858 \r \h </w:instrText>
      </w:r>
      <w:r w:rsidRPr="0053647E">
        <w:fldChar w:fldCharType="separate"/>
      </w:r>
      <w:r w:rsidRPr="0053647E">
        <w:t>[12]</w:t>
      </w:r>
      <w:r w:rsidRPr="0053647E">
        <w:fldChar w:fldCharType="end"/>
      </w:r>
      <w:r w:rsidRPr="0053647E">
        <w:t>, with the contents presented below.</w:t>
      </w:r>
    </w:p>
    <w:tbl>
      <w:tblPr>
        <w:tblStyle w:val="TableGrid"/>
        <w:tblW w:w="0" w:type="auto"/>
        <w:tblLook w:val="04A0" w:firstRow="1" w:lastRow="0" w:firstColumn="1" w:lastColumn="0" w:noHBand="0" w:noVBand="1"/>
      </w:tblPr>
      <w:tblGrid>
        <w:gridCol w:w="9307"/>
      </w:tblGrid>
      <w:tr w:rsidR="000344E1" w:rsidRPr="00FA21D4" w14:paraId="3E2691EC" w14:textId="77777777" w:rsidTr="000344E1">
        <w:tc>
          <w:tcPr>
            <w:tcW w:w="9307" w:type="dxa"/>
          </w:tcPr>
          <w:p w14:paraId="4F05D383" w14:textId="77777777" w:rsidR="000344E1" w:rsidRPr="00FA21D4" w:rsidRDefault="000344E1" w:rsidP="000344E1">
            <w:pPr>
              <w:rPr>
                <w:i/>
                <w:iCs/>
                <w:sz w:val="20"/>
                <w:szCs w:val="20"/>
              </w:rPr>
            </w:pPr>
            <w:r w:rsidRPr="00FA21D4">
              <w:rPr>
                <w:i/>
                <w:iCs/>
                <w:sz w:val="20"/>
                <w:szCs w:val="20"/>
              </w:rPr>
              <w:t>RAN1 has discussed the RedCap WI objective on “Reduced maximum UE bandwidth” and would like to ask RAN4 whether it would be feasible to maintain the same RF switching times for RedCap UEs as currently specified for non-RedCap UEs or even reduce the RF switching times for RedCap UEs under the following assumptions with manageable impacts (to e.g. device cost, power consumption, and specifications):</w:t>
            </w:r>
          </w:p>
          <w:p w14:paraId="2D902979" w14:textId="29B8B003" w:rsidR="000344E1" w:rsidRPr="00FA21D4" w:rsidRDefault="000344E1" w:rsidP="000344E1">
            <w:pPr>
              <w:numPr>
                <w:ilvl w:val="0"/>
                <w:numId w:val="40"/>
              </w:numPr>
              <w:autoSpaceDE/>
              <w:autoSpaceDN/>
              <w:adjustRightInd/>
              <w:snapToGrid/>
              <w:spacing w:after="0"/>
              <w:jc w:val="left"/>
              <w:rPr>
                <w:i/>
                <w:iCs/>
                <w:sz w:val="20"/>
                <w:szCs w:val="20"/>
              </w:rPr>
            </w:pPr>
            <w:r w:rsidRPr="00FA21D4">
              <w:rPr>
                <w:i/>
                <w:iCs/>
                <w:sz w:val="20"/>
                <w:szCs w:val="20"/>
              </w:rPr>
              <w:t>The RF switching takes place between two frequency locations with different centre frequencies.</w:t>
            </w:r>
          </w:p>
          <w:p w14:paraId="0E93DB7B" w14:textId="2D4536C9" w:rsidR="000344E1" w:rsidRPr="00FA21D4" w:rsidRDefault="000344E1" w:rsidP="000344E1">
            <w:pPr>
              <w:numPr>
                <w:ilvl w:val="0"/>
                <w:numId w:val="40"/>
              </w:numPr>
              <w:autoSpaceDE/>
              <w:autoSpaceDN/>
              <w:adjustRightInd/>
              <w:snapToGrid/>
              <w:spacing w:after="0"/>
              <w:jc w:val="left"/>
              <w:rPr>
                <w:i/>
                <w:iCs/>
                <w:sz w:val="20"/>
                <w:szCs w:val="20"/>
              </w:rPr>
            </w:pPr>
            <w:r w:rsidRPr="00FA21D4">
              <w:rPr>
                <w:i/>
                <w:iCs/>
                <w:sz w:val="20"/>
                <w:szCs w:val="20"/>
              </w:rPr>
              <w:t>The maximum UE RF bandwidth is 20 MHz for FR1 and 100 MHz for FR2, and the frequency change is up to 80 MHz for FR1 and up to 300 MHz for FR2.</w:t>
            </w:r>
          </w:p>
          <w:p w14:paraId="5957ACF6" w14:textId="535392BD" w:rsidR="000344E1" w:rsidRPr="00FA21D4" w:rsidRDefault="000344E1" w:rsidP="000344E1">
            <w:pPr>
              <w:numPr>
                <w:ilvl w:val="0"/>
                <w:numId w:val="40"/>
              </w:numPr>
              <w:autoSpaceDE/>
              <w:autoSpaceDN/>
              <w:adjustRightInd/>
              <w:snapToGrid/>
              <w:spacing w:after="0"/>
              <w:jc w:val="left"/>
              <w:rPr>
                <w:i/>
                <w:iCs/>
                <w:sz w:val="20"/>
                <w:szCs w:val="20"/>
              </w:rPr>
            </w:pPr>
            <w:r w:rsidRPr="00FA21D4">
              <w:rPr>
                <w:i/>
                <w:iCs/>
                <w:sz w:val="20"/>
                <w:szCs w:val="20"/>
              </w:rPr>
              <w:t>The RF bandwidth, SCS, QCL, and RRC configuration can be assumed to be the same before and after the RF switching, i.e. it is only the centre frequency that changes.</w:t>
            </w:r>
          </w:p>
          <w:p w14:paraId="7E632F9D" w14:textId="48312EB5" w:rsidR="000344E1" w:rsidRPr="00FA21D4" w:rsidRDefault="000344E1" w:rsidP="000344E1">
            <w:pPr>
              <w:numPr>
                <w:ilvl w:val="0"/>
                <w:numId w:val="40"/>
              </w:numPr>
              <w:autoSpaceDE/>
              <w:autoSpaceDN/>
              <w:adjustRightInd/>
              <w:snapToGrid/>
              <w:spacing w:after="0"/>
              <w:jc w:val="left"/>
              <w:rPr>
                <w:i/>
                <w:iCs/>
                <w:sz w:val="20"/>
                <w:szCs w:val="20"/>
              </w:rPr>
            </w:pPr>
            <w:r w:rsidRPr="00FA21D4">
              <w:rPr>
                <w:i/>
                <w:iCs/>
                <w:sz w:val="20"/>
                <w:szCs w:val="20"/>
              </w:rPr>
              <w:t>The RF switching may take place during initial access or after initial access.</w:t>
            </w:r>
          </w:p>
        </w:tc>
      </w:tr>
    </w:tbl>
    <w:p w14:paraId="68B8D62F" w14:textId="77777777" w:rsidR="000344E1" w:rsidRPr="00FA21D4" w:rsidRDefault="000344E1" w:rsidP="000344E1"/>
    <w:p w14:paraId="1590B5CF" w14:textId="1164A2B9" w:rsidR="000344E1" w:rsidRPr="00FA21D4" w:rsidRDefault="00045314" w:rsidP="001449E0">
      <w:r w:rsidRPr="00FA21D4">
        <w:t>Because s</w:t>
      </w:r>
      <w:r w:rsidR="0063747B" w:rsidRPr="00FA21D4">
        <w:t>everal companies expressed some reservations about the purpose of the LS while others had suggestions about the wording</w:t>
      </w:r>
      <w:r w:rsidRPr="00FA21D4">
        <w:t>, the LS was not sent</w:t>
      </w:r>
      <w:r w:rsidR="0063747B" w:rsidRPr="00FA21D4">
        <w:t>.</w:t>
      </w:r>
      <w:r w:rsidR="009C3A66" w:rsidRPr="00FA21D4">
        <w:t xml:space="preserve"> </w:t>
      </w:r>
      <w:r w:rsidR="0063747B" w:rsidRPr="00FA21D4">
        <w:t xml:space="preserve">An LS can provide meaningful information provided if the </w:t>
      </w:r>
      <w:r w:rsidR="009C3A66" w:rsidRPr="00FA21D4">
        <w:t xml:space="preserve">underlying assumptions are clear. While the proposed LS asks about RF switching time, </w:t>
      </w:r>
      <w:r w:rsidR="00C20C16" w:rsidRPr="00FA21D4">
        <w:t xml:space="preserve">from a </w:t>
      </w:r>
      <w:r w:rsidR="00F33201" w:rsidRPr="00FA21D4">
        <w:t xml:space="preserve">RAN4 </w:t>
      </w:r>
      <w:r w:rsidR="00C20C16" w:rsidRPr="00FA21D4">
        <w:t xml:space="preserve">perspective, a BWP frequency switch is occurring. The wording of the </w:t>
      </w:r>
      <w:r w:rsidR="00260CAB" w:rsidRPr="00FA21D4">
        <w:t xml:space="preserve">LS should state that. </w:t>
      </w:r>
    </w:p>
    <w:p w14:paraId="6652BF50" w14:textId="4A675A27" w:rsidR="001449E0" w:rsidRPr="00FA21D4" w:rsidRDefault="001449E0" w:rsidP="001449E0">
      <w:pPr>
        <w:rPr>
          <w:b/>
          <w:bCs/>
          <w:i/>
          <w:iCs/>
        </w:rPr>
      </w:pPr>
      <w:r w:rsidRPr="00FA21D4">
        <w:rPr>
          <w:b/>
          <w:bCs/>
          <w:i/>
          <w:iCs/>
        </w:rPr>
        <w:lastRenderedPageBreak/>
        <w:t xml:space="preserve">Proposal </w:t>
      </w:r>
      <w:r w:rsidR="007B41F3">
        <w:rPr>
          <w:b/>
          <w:bCs/>
          <w:i/>
          <w:iCs/>
        </w:rPr>
        <w:t>5</w:t>
      </w:r>
      <w:r w:rsidRPr="00FA21D4">
        <w:rPr>
          <w:b/>
          <w:bCs/>
          <w:i/>
          <w:iCs/>
        </w:rPr>
        <w:t xml:space="preserve">: </w:t>
      </w:r>
      <w:r w:rsidR="00260CAB" w:rsidRPr="00FA21D4">
        <w:rPr>
          <w:b/>
          <w:bCs/>
          <w:i/>
          <w:iCs/>
        </w:rPr>
        <w:t xml:space="preserve">If a LS is agreed for a retuning of a BWP, </w:t>
      </w:r>
      <w:r w:rsidR="003A49C8" w:rsidRPr="00FA21D4">
        <w:rPr>
          <w:b/>
          <w:bCs/>
          <w:i/>
          <w:iCs/>
        </w:rPr>
        <w:t>retuning of a BWP</w:t>
      </w:r>
      <w:r w:rsidR="00260CAB" w:rsidRPr="00FA21D4">
        <w:rPr>
          <w:b/>
          <w:bCs/>
          <w:i/>
          <w:iCs/>
        </w:rPr>
        <w:t xml:space="preserve"> should be stated in the LS</w:t>
      </w:r>
      <w:r w:rsidRPr="00FA21D4">
        <w:rPr>
          <w:b/>
          <w:bCs/>
          <w:i/>
          <w:iCs/>
        </w:rPr>
        <w:t>.</w:t>
      </w:r>
    </w:p>
    <w:p w14:paraId="13FA823F" w14:textId="77777777" w:rsidR="00ED07AA" w:rsidRPr="00FA21D4" w:rsidRDefault="00ED07AA" w:rsidP="007D26F2"/>
    <w:p w14:paraId="1A801C54" w14:textId="5BBF2CFF" w:rsidR="004B3422" w:rsidRPr="00FA21D4" w:rsidRDefault="004B3422" w:rsidP="004B3422">
      <w:pPr>
        <w:pStyle w:val="Heading1"/>
        <w:tabs>
          <w:tab w:val="clear" w:pos="432"/>
        </w:tabs>
      </w:pPr>
      <w:bookmarkStart w:id="4" w:name="_Ref129681832"/>
      <w:r w:rsidRPr="00FA21D4">
        <w:t>Conclusion</w:t>
      </w:r>
    </w:p>
    <w:p w14:paraId="4EB647CE" w14:textId="28DB970F" w:rsidR="00481407" w:rsidRPr="00FA21D4" w:rsidRDefault="002A2ED4" w:rsidP="00481407">
      <w:r w:rsidRPr="00FA21D4">
        <w:t xml:space="preserve">This contribution examined the impact of supporting the reduced number of Rx branches feature. </w:t>
      </w:r>
    </w:p>
    <w:p w14:paraId="597ACDCD" w14:textId="77777777" w:rsidR="00260CAB" w:rsidRPr="0053647E" w:rsidRDefault="00260CAB" w:rsidP="00260CAB">
      <w:pPr>
        <w:rPr>
          <w:b/>
          <w:bCs/>
          <w:i/>
          <w:iCs/>
          <w:lang w:eastAsia="zh-CN"/>
        </w:rPr>
      </w:pPr>
      <w:r w:rsidRPr="0053647E">
        <w:rPr>
          <w:b/>
          <w:bCs/>
          <w:i/>
          <w:iCs/>
          <w:lang w:eastAsia="zh-CN"/>
        </w:rPr>
        <w:t>Proposal 1: The choices for down-selection of scenarios are options 2 and 3.</w:t>
      </w:r>
    </w:p>
    <w:p w14:paraId="557D8C93" w14:textId="77777777" w:rsidR="00260CAB" w:rsidRPr="00FA21D4" w:rsidRDefault="00260CAB" w:rsidP="00260CAB">
      <w:pPr>
        <w:rPr>
          <w:b/>
          <w:bCs/>
          <w:i/>
          <w:iCs/>
        </w:rPr>
      </w:pPr>
      <w:r w:rsidRPr="0053647E">
        <w:rPr>
          <w:b/>
          <w:bCs/>
          <w:i/>
          <w:iCs/>
        </w:rPr>
        <w:t xml:space="preserve">Proposal 2: Confirm the working assumption regarding </w:t>
      </w:r>
      <w:r w:rsidRPr="0053647E">
        <w:rPr>
          <w:b/>
          <w:bCs/>
        </w:rPr>
        <w:t>“During initial access, the bandwidth of the initial DL BWP for RedCap UEs is not expected to exceed the maximum RedCap UE bandwidth.”</w:t>
      </w:r>
    </w:p>
    <w:p w14:paraId="67C69720" w14:textId="186555A9" w:rsidR="00260CAB" w:rsidRPr="00FA21D4" w:rsidRDefault="00260CAB" w:rsidP="00260CAB">
      <w:pPr>
        <w:rPr>
          <w:b/>
          <w:bCs/>
          <w:i/>
          <w:iCs/>
        </w:rPr>
      </w:pPr>
      <w:r w:rsidRPr="00FA21D4">
        <w:rPr>
          <w:b/>
          <w:bCs/>
          <w:i/>
          <w:iCs/>
        </w:rPr>
        <w:t xml:space="preserve">Proposal 3: Confirm the working assumption regarding </w:t>
      </w:r>
      <w:r w:rsidRPr="00FA21D4">
        <w:rPr>
          <w:b/>
          <w:bCs/>
        </w:rPr>
        <w:t>“A RedCap UE cannot be configured with a non-initial (DL or UL) BWP (i.e., a BWP with a non-zero index) wider than the maximum bandwidth of the RedCap UE”</w:t>
      </w:r>
      <w:r w:rsidR="00C9661F">
        <w:rPr>
          <w:b/>
          <w:bCs/>
        </w:rPr>
        <w:t>.</w:t>
      </w:r>
    </w:p>
    <w:p w14:paraId="7FD8C533" w14:textId="542B890F" w:rsidR="00260CAB" w:rsidRPr="00FA21D4" w:rsidRDefault="007B41F3" w:rsidP="00260CAB">
      <w:pPr>
        <w:rPr>
          <w:b/>
          <w:bCs/>
          <w:i/>
          <w:iCs/>
        </w:rPr>
      </w:pPr>
      <w:r>
        <w:rPr>
          <w:b/>
          <w:bCs/>
          <w:i/>
          <w:iCs/>
        </w:rPr>
        <w:t>Observation</w:t>
      </w:r>
      <w:r w:rsidR="00260CAB" w:rsidRPr="00FA21D4">
        <w:rPr>
          <w:b/>
          <w:bCs/>
          <w:i/>
          <w:iCs/>
        </w:rPr>
        <w:t>: Further discussion to clarify BWP#0 is needed before decisions are made for the working assumption</w:t>
      </w:r>
    </w:p>
    <w:p w14:paraId="01823EB6" w14:textId="2535F48B" w:rsidR="00260CAB" w:rsidRPr="00FA21D4" w:rsidRDefault="00260CAB" w:rsidP="00260CAB">
      <w:pPr>
        <w:rPr>
          <w:b/>
          <w:bCs/>
          <w:i/>
          <w:iCs/>
        </w:rPr>
      </w:pPr>
      <w:r w:rsidRPr="00FA21D4">
        <w:rPr>
          <w:b/>
          <w:bCs/>
          <w:i/>
          <w:iCs/>
        </w:rPr>
        <w:t xml:space="preserve">Proposal </w:t>
      </w:r>
      <w:r w:rsidR="007B41F3">
        <w:rPr>
          <w:b/>
          <w:bCs/>
          <w:i/>
          <w:iCs/>
        </w:rPr>
        <w:t>4</w:t>
      </w:r>
      <w:r w:rsidRPr="00FA21D4">
        <w:rPr>
          <w:b/>
          <w:bCs/>
          <w:i/>
          <w:iCs/>
        </w:rPr>
        <w:t>: RedCap UEs can share RACH occasions with legacy UEs</w:t>
      </w:r>
      <w:r w:rsidR="00C9661F">
        <w:rPr>
          <w:b/>
          <w:bCs/>
          <w:i/>
          <w:iCs/>
        </w:rPr>
        <w:t>.</w:t>
      </w:r>
    </w:p>
    <w:p w14:paraId="4FF24702" w14:textId="0D239081" w:rsidR="00260CAB" w:rsidRPr="00FA21D4" w:rsidRDefault="00260CAB" w:rsidP="00260CAB">
      <w:pPr>
        <w:rPr>
          <w:b/>
          <w:bCs/>
          <w:i/>
          <w:iCs/>
        </w:rPr>
      </w:pPr>
      <w:r w:rsidRPr="00FA21D4">
        <w:rPr>
          <w:b/>
          <w:bCs/>
          <w:i/>
          <w:iCs/>
        </w:rPr>
        <w:t xml:space="preserve">Proposal </w:t>
      </w:r>
      <w:r w:rsidR="007B41F3">
        <w:rPr>
          <w:b/>
          <w:bCs/>
          <w:i/>
          <w:iCs/>
        </w:rPr>
        <w:t>5</w:t>
      </w:r>
      <w:r w:rsidRPr="00FA21D4">
        <w:rPr>
          <w:b/>
          <w:bCs/>
          <w:i/>
          <w:iCs/>
        </w:rPr>
        <w:t xml:space="preserve">: If a LS is agreed for a retuning of a BWP, </w:t>
      </w:r>
      <w:r w:rsidR="003A49C8" w:rsidRPr="00FA21D4">
        <w:rPr>
          <w:b/>
          <w:bCs/>
          <w:i/>
          <w:iCs/>
        </w:rPr>
        <w:t>retuning of a BWP</w:t>
      </w:r>
      <w:r w:rsidRPr="00FA21D4">
        <w:rPr>
          <w:b/>
          <w:bCs/>
          <w:i/>
          <w:iCs/>
        </w:rPr>
        <w:t xml:space="preserve"> should be stated in the LS.</w:t>
      </w:r>
    </w:p>
    <w:p w14:paraId="6894A1C9" w14:textId="77777777" w:rsidR="008365B1" w:rsidRPr="00FA21D4" w:rsidRDefault="008365B1" w:rsidP="00C90627"/>
    <w:p w14:paraId="410E44E3" w14:textId="77777777" w:rsidR="001D780E" w:rsidRPr="00FA21D4" w:rsidRDefault="001D780E" w:rsidP="007F5EC6">
      <w:pPr>
        <w:pStyle w:val="Heading1"/>
        <w:numPr>
          <w:ilvl w:val="0"/>
          <w:numId w:val="0"/>
        </w:numPr>
        <w:ind w:left="432" w:hanging="432"/>
      </w:pPr>
      <w:bookmarkStart w:id="5" w:name="_Ref124589665"/>
      <w:bookmarkStart w:id="6" w:name="_Ref71620620"/>
      <w:bookmarkStart w:id="7" w:name="_Ref124671424"/>
      <w:r w:rsidRPr="00FA21D4">
        <w:t>References</w:t>
      </w:r>
    </w:p>
    <w:p w14:paraId="0C91BF73" w14:textId="380F48D8" w:rsidR="002A16D5" w:rsidRPr="0053647E" w:rsidRDefault="00CA7C89" w:rsidP="002A16D5">
      <w:pPr>
        <w:pStyle w:val="References"/>
        <w:rPr>
          <w:lang w:eastAsia="zh-CN"/>
        </w:rPr>
      </w:pPr>
      <w:bookmarkStart w:id="8" w:name="_Ref60902124"/>
      <w:bookmarkEnd w:id="4"/>
      <w:bookmarkEnd w:id="5"/>
      <w:bookmarkEnd w:id="6"/>
      <w:bookmarkEnd w:id="7"/>
      <w:r w:rsidRPr="0053647E">
        <w:t>RP-210918</w:t>
      </w:r>
      <w:r w:rsidR="002A16D5" w:rsidRPr="0053647E">
        <w:rPr>
          <w:lang w:eastAsia="zh-CN"/>
        </w:rPr>
        <w:t xml:space="preserve">, </w:t>
      </w:r>
      <w:r w:rsidR="00C90627" w:rsidRPr="0053647E">
        <w:rPr>
          <w:lang w:eastAsia="zh-CN"/>
        </w:rPr>
        <w:t>“</w:t>
      </w:r>
      <w:r w:rsidR="000526D4" w:rsidRPr="0053647E">
        <w:rPr>
          <w:lang w:eastAsia="zh-CN"/>
        </w:rPr>
        <w:t>New WID on support of reduced capability NR devices</w:t>
      </w:r>
      <w:r w:rsidR="00C90627" w:rsidRPr="0053647E">
        <w:rPr>
          <w:lang w:eastAsia="zh-CN"/>
        </w:rPr>
        <w:t>”</w:t>
      </w:r>
      <w:r w:rsidR="002A16D5" w:rsidRPr="0053647E">
        <w:rPr>
          <w:lang w:eastAsia="zh-CN"/>
        </w:rPr>
        <w:t xml:space="preserve">, </w:t>
      </w:r>
      <w:r w:rsidR="000526D4" w:rsidRPr="0053647E">
        <w:rPr>
          <w:lang w:eastAsia="zh-CN"/>
        </w:rPr>
        <w:t>Ericsson, Nokia</w:t>
      </w:r>
      <w:r w:rsidR="002A16D5" w:rsidRPr="0053647E">
        <w:rPr>
          <w:lang w:eastAsia="zh-CN"/>
        </w:rPr>
        <w:t>, RAN#</w:t>
      </w:r>
      <w:r w:rsidR="00276D8B" w:rsidRPr="0053647E">
        <w:rPr>
          <w:lang w:eastAsia="zh-CN"/>
        </w:rPr>
        <w:t>9</w:t>
      </w:r>
      <w:r w:rsidR="00CC671D" w:rsidRPr="0053647E">
        <w:rPr>
          <w:lang w:eastAsia="zh-CN"/>
        </w:rPr>
        <w:t>1</w:t>
      </w:r>
      <w:r w:rsidR="002A16D5" w:rsidRPr="0053647E">
        <w:rPr>
          <w:lang w:eastAsia="zh-CN"/>
        </w:rPr>
        <w:t xml:space="preserve">e, </w:t>
      </w:r>
      <w:r w:rsidRPr="0053647E">
        <w:rPr>
          <w:lang w:eastAsia="zh-CN"/>
        </w:rPr>
        <w:t>Mar</w:t>
      </w:r>
      <w:r w:rsidR="00276D8B" w:rsidRPr="0053647E">
        <w:rPr>
          <w:lang w:eastAsia="zh-CN"/>
        </w:rPr>
        <w:t xml:space="preserve">. </w:t>
      </w:r>
      <w:r w:rsidRPr="0053647E">
        <w:rPr>
          <w:lang w:eastAsia="zh-CN"/>
        </w:rPr>
        <w:t>22</w:t>
      </w:r>
      <w:r w:rsidR="00276D8B" w:rsidRPr="0053647E">
        <w:rPr>
          <w:lang w:eastAsia="zh-CN"/>
        </w:rPr>
        <w:t>-</w:t>
      </w:r>
      <w:r w:rsidRPr="00FA21D4">
        <w:rPr>
          <w:lang w:eastAsia="zh-CN"/>
        </w:rPr>
        <w:t>26</w:t>
      </w:r>
      <w:r w:rsidR="0021634C" w:rsidRPr="00FA21D4">
        <w:rPr>
          <w:lang w:eastAsia="zh-CN"/>
        </w:rPr>
        <w:t>,</w:t>
      </w:r>
      <w:r w:rsidR="002A16D5" w:rsidRPr="00FA21D4">
        <w:rPr>
          <w:lang w:eastAsia="zh-CN"/>
        </w:rPr>
        <w:t xml:space="preserve"> 202</w:t>
      </w:r>
      <w:r w:rsidRPr="00FA21D4">
        <w:rPr>
          <w:lang w:eastAsia="zh-CN"/>
        </w:rPr>
        <w:t>1</w:t>
      </w:r>
      <w:r w:rsidR="002A16D5" w:rsidRPr="00FA21D4">
        <w:rPr>
          <w:lang w:eastAsia="zh-CN"/>
        </w:rPr>
        <w:t>.</w:t>
      </w:r>
      <w:bookmarkEnd w:id="8"/>
    </w:p>
    <w:p w14:paraId="3E943095" w14:textId="77777777" w:rsidR="00ED07AA" w:rsidRPr="0053647E" w:rsidRDefault="00ED07AA" w:rsidP="00ED07AA">
      <w:pPr>
        <w:pStyle w:val="References"/>
        <w:rPr>
          <w:lang w:eastAsia="zh-CN"/>
        </w:rPr>
      </w:pPr>
      <w:bookmarkStart w:id="9" w:name="_Ref70486579"/>
      <w:bookmarkStart w:id="10" w:name="_Ref67920550"/>
      <w:r w:rsidRPr="0053647E">
        <w:rPr>
          <w:lang w:eastAsia="zh-CN"/>
        </w:rPr>
        <w:t>Chairman Note, RAN1, RAN1#104b, Apr. 12 – 20, 2021.</w:t>
      </w:r>
      <w:bookmarkEnd w:id="9"/>
    </w:p>
    <w:p w14:paraId="6E58B5F6" w14:textId="69C30812" w:rsidR="00ED07AA" w:rsidRPr="0053647E" w:rsidRDefault="00ED07AA" w:rsidP="00ED07AA">
      <w:pPr>
        <w:pStyle w:val="References"/>
        <w:rPr>
          <w:lang w:eastAsia="zh-CN"/>
        </w:rPr>
      </w:pPr>
      <w:bookmarkStart w:id="11" w:name="_Ref70487126"/>
      <w:r w:rsidRPr="0053647E">
        <w:rPr>
          <w:lang w:eastAsia="zh-CN"/>
        </w:rPr>
        <w:t>Chairman Note, RAN1, RAN1#104, Jan. 25 – Feb. 5, 2021.</w:t>
      </w:r>
      <w:bookmarkEnd w:id="11"/>
    </w:p>
    <w:p w14:paraId="252F2239" w14:textId="7CAD74C0" w:rsidR="003F1345" w:rsidRPr="0053647E" w:rsidRDefault="003F1345" w:rsidP="003F1345">
      <w:pPr>
        <w:pStyle w:val="References"/>
        <w:rPr>
          <w:lang w:eastAsia="zh-CN"/>
        </w:rPr>
      </w:pPr>
      <w:bookmarkStart w:id="12" w:name="_Ref70496982"/>
      <w:r w:rsidRPr="0053647E">
        <w:rPr>
          <w:lang w:eastAsia="zh-CN"/>
        </w:rPr>
        <w:t>38.875, “Study on support of reduced capability NR devices”, Rel-1, Nov. 2020.</w:t>
      </w:r>
      <w:bookmarkEnd w:id="10"/>
      <w:bookmarkEnd w:id="12"/>
    </w:p>
    <w:p w14:paraId="258919AB" w14:textId="01722BD4" w:rsidR="00CC671D" w:rsidRPr="0053647E" w:rsidRDefault="00CC671D" w:rsidP="003F1345">
      <w:pPr>
        <w:pStyle w:val="References"/>
        <w:rPr>
          <w:lang w:eastAsia="zh-CN"/>
        </w:rPr>
      </w:pPr>
      <w:bookmarkStart w:id="13" w:name="_Ref67908436"/>
      <w:r w:rsidRPr="0053647E">
        <w:rPr>
          <w:lang w:eastAsia="zh-CN"/>
        </w:rPr>
        <w:t>38.214</w:t>
      </w:r>
      <w:bookmarkEnd w:id="13"/>
    </w:p>
    <w:p w14:paraId="3BDF4353" w14:textId="5F19D582" w:rsidR="001E7D04" w:rsidRPr="0053647E" w:rsidRDefault="001E7D04" w:rsidP="003F1345">
      <w:pPr>
        <w:pStyle w:val="References"/>
        <w:rPr>
          <w:lang w:eastAsia="zh-CN"/>
        </w:rPr>
      </w:pPr>
      <w:bookmarkStart w:id="14" w:name="_Ref68171840"/>
      <w:r w:rsidRPr="0053647E">
        <w:rPr>
          <w:lang w:eastAsia="zh-CN"/>
        </w:rPr>
        <w:t>38.306</w:t>
      </w:r>
      <w:bookmarkEnd w:id="14"/>
    </w:p>
    <w:p w14:paraId="25C0732B" w14:textId="4EBA2189" w:rsidR="00C91233" w:rsidRPr="0053647E" w:rsidRDefault="006001C5" w:rsidP="00B319C7">
      <w:pPr>
        <w:pStyle w:val="References"/>
        <w:rPr>
          <w:lang w:eastAsia="zh-CN"/>
        </w:rPr>
      </w:pPr>
      <w:bookmarkStart w:id="15" w:name="_Ref70408467"/>
      <w:r w:rsidRPr="0053647E">
        <w:rPr>
          <w:lang w:eastAsia="zh-CN"/>
        </w:rPr>
        <w:t>R1-2102778</w:t>
      </w:r>
      <w:r w:rsidR="00C91233" w:rsidRPr="0053647E">
        <w:rPr>
          <w:lang w:eastAsia="zh-CN"/>
        </w:rPr>
        <w:t>, “</w:t>
      </w:r>
      <w:r w:rsidRPr="0053647E">
        <w:rPr>
          <w:lang w:eastAsia="zh-CN"/>
        </w:rPr>
        <w:t>Bandwidth reduction for RedCap UEs</w:t>
      </w:r>
      <w:r w:rsidR="00C91233" w:rsidRPr="0053647E">
        <w:rPr>
          <w:lang w:eastAsia="zh-CN"/>
        </w:rPr>
        <w:t>”, FUTUREWEI, RAN1#104b, Apr. 12 – 20, 2021.</w:t>
      </w:r>
      <w:bookmarkEnd w:id="15"/>
    </w:p>
    <w:p w14:paraId="5E8EA3C4" w14:textId="69918C40" w:rsidR="007B6A88" w:rsidRPr="0053647E" w:rsidRDefault="007B6A88" w:rsidP="007B6A88">
      <w:pPr>
        <w:pStyle w:val="References"/>
        <w:rPr>
          <w:lang w:eastAsia="zh-CN"/>
        </w:rPr>
      </w:pPr>
      <w:bookmarkStart w:id="16" w:name="_Ref70504606"/>
      <w:r w:rsidRPr="0053647E">
        <w:rPr>
          <w:lang w:eastAsia="zh-CN"/>
        </w:rPr>
        <w:t>38.213</w:t>
      </w:r>
      <w:bookmarkEnd w:id="16"/>
    </w:p>
    <w:p w14:paraId="38E5DF3C" w14:textId="6B61BB75" w:rsidR="00C370E3" w:rsidRPr="0053647E" w:rsidRDefault="00C370E3" w:rsidP="00C370E3">
      <w:pPr>
        <w:pStyle w:val="References"/>
        <w:rPr>
          <w:lang w:eastAsia="zh-CN"/>
        </w:rPr>
      </w:pPr>
      <w:bookmarkStart w:id="17" w:name="_Ref70591093"/>
      <w:r w:rsidRPr="0053647E">
        <w:rPr>
          <w:lang w:eastAsia="zh-CN"/>
        </w:rPr>
        <w:t>3</w:t>
      </w:r>
      <w:r w:rsidR="00087FD5" w:rsidRPr="0053647E">
        <w:rPr>
          <w:lang w:eastAsia="zh-CN"/>
        </w:rPr>
        <w:t>8.33</w:t>
      </w:r>
      <w:r w:rsidRPr="0053647E">
        <w:rPr>
          <w:lang w:eastAsia="zh-CN"/>
        </w:rPr>
        <w:t>1</w:t>
      </w:r>
      <w:bookmarkEnd w:id="17"/>
    </w:p>
    <w:p w14:paraId="1B35229C" w14:textId="77777777" w:rsidR="006001C5" w:rsidRPr="0053647E" w:rsidRDefault="00F91A91" w:rsidP="006001C5">
      <w:pPr>
        <w:pStyle w:val="References"/>
        <w:rPr>
          <w:lang w:eastAsia="zh-CN"/>
        </w:rPr>
      </w:pPr>
      <w:bookmarkStart w:id="18" w:name="_Ref70599724"/>
      <w:r w:rsidRPr="0053647E">
        <w:rPr>
          <w:lang w:eastAsia="zh-CN"/>
        </w:rPr>
        <w:t>R1-2104190, “Discussion on Modulation order and parameters”, FUTUREWEI, RAN1#105, May 10 – 27, 2021.</w:t>
      </w:r>
      <w:bookmarkEnd w:id="18"/>
    </w:p>
    <w:p w14:paraId="311CE301" w14:textId="45BBA1BC" w:rsidR="00895B7E" w:rsidRPr="0053647E" w:rsidRDefault="006001C5" w:rsidP="006001C5">
      <w:pPr>
        <w:pStyle w:val="References"/>
        <w:rPr>
          <w:lang w:eastAsia="zh-CN"/>
        </w:rPr>
      </w:pPr>
      <w:bookmarkStart w:id="19" w:name="_Ref71019881"/>
      <w:r w:rsidRPr="0053647E">
        <w:rPr>
          <w:lang w:eastAsia="zh-CN"/>
        </w:rPr>
        <w:t>R1-2103944, “FL summary #4 on reduced maximum UE bandwidth for RedCap”, Ericsson RAN1#104b, Apr. 12 – 20, 2021.</w:t>
      </w:r>
      <w:bookmarkEnd w:id="19"/>
    </w:p>
    <w:p w14:paraId="4A388F80" w14:textId="495ED250" w:rsidR="000344E1" w:rsidRPr="0053647E" w:rsidRDefault="000344E1" w:rsidP="006001C5">
      <w:pPr>
        <w:pStyle w:val="References"/>
        <w:rPr>
          <w:lang w:eastAsia="zh-CN"/>
        </w:rPr>
      </w:pPr>
      <w:bookmarkStart w:id="20" w:name="_Ref71006858"/>
      <w:r w:rsidRPr="0053647E">
        <w:rPr>
          <w:lang w:eastAsia="zh-CN"/>
        </w:rPr>
        <w:t>R1-2104046, “Draft LS on RF switching time for RedCap UE”, Ericsson RAN1#104b, Apr. 12 – 20, 2021.</w:t>
      </w:r>
      <w:bookmarkEnd w:id="20"/>
    </w:p>
    <w:p w14:paraId="5AFEC7BB" w14:textId="528C66A9" w:rsidR="007451CB" w:rsidRPr="0053647E" w:rsidRDefault="007451CB" w:rsidP="002F718C">
      <w:pPr>
        <w:rPr>
          <w:lang w:eastAsia="zh-CN"/>
        </w:rPr>
      </w:pPr>
    </w:p>
    <w:p w14:paraId="574AD088" w14:textId="7AD709E4" w:rsidR="00D0765E" w:rsidRPr="0053647E" w:rsidRDefault="00D0765E" w:rsidP="00D0765E">
      <w:pPr>
        <w:pStyle w:val="Heading1"/>
        <w:numPr>
          <w:ilvl w:val="0"/>
          <w:numId w:val="0"/>
        </w:numPr>
        <w:ind w:left="432" w:hanging="432"/>
      </w:pPr>
      <w:r w:rsidRPr="0053647E">
        <w:t>Appendix</w:t>
      </w:r>
    </w:p>
    <w:tbl>
      <w:tblPr>
        <w:tblStyle w:val="TableGrid"/>
        <w:tblW w:w="0" w:type="auto"/>
        <w:tblLook w:val="04A0" w:firstRow="1" w:lastRow="0" w:firstColumn="1" w:lastColumn="0" w:noHBand="0" w:noVBand="1"/>
      </w:tblPr>
      <w:tblGrid>
        <w:gridCol w:w="1219"/>
        <w:gridCol w:w="4043"/>
        <w:gridCol w:w="4045"/>
      </w:tblGrid>
      <w:tr w:rsidR="00D0765E" w:rsidRPr="00FA21D4" w14:paraId="606F1038" w14:textId="77777777" w:rsidTr="00A34C8C">
        <w:tc>
          <w:tcPr>
            <w:tcW w:w="1219" w:type="dxa"/>
          </w:tcPr>
          <w:p w14:paraId="286B8DBA" w14:textId="77777777" w:rsidR="00D0765E" w:rsidRPr="00FA21D4" w:rsidRDefault="00D0765E" w:rsidP="00A34C8C">
            <w:pPr>
              <w:pStyle w:val="TableCell0"/>
              <w:rPr>
                <w:sz w:val="16"/>
                <w:szCs w:val="16"/>
              </w:rPr>
            </w:pPr>
          </w:p>
        </w:tc>
        <w:tc>
          <w:tcPr>
            <w:tcW w:w="4065" w:type="dxa"/>
          </w:tcPr>
          <w:p w14:paraId="4128EE5D" w14:textId="77777777" w:rsidR="00D0765E" w:rsidRPr="00FA21D4" w:rsidRDefault="00D0765E" w:rsidP="00A34C8C">
            <w:pPr>
              <w:pStyle w:val="TableCell0"/>
              <w:rPr>
                <w:sz w:val="16"/>
                <w:szCs w:val="16"/>
              </w:rPr>
            </w:pPr>
            <w:r w:rsidRPr="00FA21D4">
              <w:rPr>
                <w:sz w:val="16"/>
                <w:szCs w:val="16"/>
              </w:rPr>
              <w:t>Benefit</w:t>
            </w:r>
          </w:p>
        </w:tc>
        <w:tc>
          <w:tcPr>
            <w:tcW w:w="4066" w:type="dxa"/>
          </w:tcPr>
          <w:p w14:paraId="5A4D3ECC" w14:textId="77777777" w:rsidR="00D0765E" w:rsidRPr="00FA21D4" w:rsidRDefault="00D0765E" w:rsidP="00A34C8C">
            <w:pPr>
              <w:pStyle w:val="TableCell0"/>
              <w:rPr>
                <w:sz w:val="16"/>
                <w:szCs w:val="16"/>
              </w:rPr>
            </w:pPr>
            <w:r w:rsidRPr="00FA21D4">
              <w:rPr>
                <w:sz w:val="16"/>
                <w:szCs w:val="16"/>
              </w:rPr>
              <w:t>Disadvantage</w:t>
            </w:r>
          </w:p>
        </w:tc>
      </w:tr>
      <w:tr w:rsidR="00D0765E" w:rsidRPr="00FA21D4" w14:paraId="61062A7E" w14:textId="77777777" w:rsidTr="00A34C8C">
        <w:tc>
          <w:tcPr>
            <w:tcW w:w="1219" w:type="dxa"/>
          </w:tcPr>
          <w:p w14:paraId="1FCE14B4" w14:textId="77777777" w:rsidR="00D0765E" w:rsidRPr="00FA21D4" w:rsidRDefault="00D0765E" w:rsidP="00A34C8C">
            <w:pPr>
              <w:pStyle w:val="TableCell0"/>
              <w:rPr>
                <w:sz w:val="16"/>
                <w:szCs w:val="16"/>
              </w:rPr>
            </w:pPr>
            <w:r w:rsidRPr="00FA21D4">
              <w:rPr>
                <w:sz w:val="16"/>
                <w:szCs w:val="16"/>
              </w:rPr>
              <w:t>Proper RF-retuning for RedCap</w:t>
            </w:r>
          </w:p>
        </w:tc>
        <w:tc>
          <w:tcPr>
            <w:tcW w:w="4065" w:type="dxa"/>
          </w:tcPr>
          <w:p w14:paraId="3FFD077F" w14:textId="77777777" w:rsidR="00D0765E" w:rsidRPr="00FA21D4" w:rsidRDefault="00D0765E" w:rsidP="00A34C8C">
            <w:pPr>
              <w:pStyle w:val="TableCell0"/>
              <w:numPr>
                <w:ilvl w:val="0"/>
                <w:numId w:val="43"/>
              </w:numPr>
              <w:ind w:left="288" w:hanging="288"/>
              <w:rPr>
                <w:sz w:val="16"/>
                <w:szCs w:val="16"/>
              </w:rPr>
            </w:pPr>
            <w:r w:rsidRPr="00FA21D4">
              <w:rPr>
                <w:sz w:val="16"/>
                <w:szCs w:val="16"/>
              </w:rPr>
              <w:t>RedCap should support the function of RF retuning to address several other issues. [3]</w:t>
            </w:r>
          </w:p>
          <w:p w14:paraId="69155F43" w14:textId="77777777" w:rsidR="00D0765E" w:rsidRPr="00FA21D4" w:rsidRDefault="00D0765E" w:rsidP="00A34C8C">
            <w:pPr>
              <w:pStyle w:val="TableCell0"/>
              <w:numPr>
                <w:ilvl w:val="0"/>
                <w:numId w:val="43"/>
              </w:numPr>
              <w:ind w:left="288" w:hanging="288"/>
              <w:rPr>
                <w:sz w:val="16"/>
                <w:szCs w:val="16"/>
              </w:rPr>
            </w:pPr>
            <w:r w:rsidRPr="00FA21D4">
              <w:rPr>
                <w:sz w:val="16"/>
                <w:szCs w:val="16"/>
              </w:rPr>
              <w:t>Allow RedCap UE to send PRACH outside of its initial uplink BWP. Thus, there is no need to restrict the configurations. [4, 11]</w:t>
            </w:r>
          </w:p>
          <w:p w14:paraId="73F47C28" w14:textId="77777777" w:rsidR="00D0765E" w:rsidRPr="00FA21D4" w:rsidRDefault="00D0765E" w:rsidP="00A34C8C">
            <w:pPr>
              <w:pStyle w:val="TableCell0"/>
              <w:numPr>
                <w:ilvl w:val="0"/>
                <w:numId w:val="43"/>
              </w:numPr>
              <w:ind w:left="288" w:hanging="288"/>
              <w:rPr>
                <w:sz w:val="16"/>
                <w:szCs w:val="16"/>
              </w:rPr>
            </w:pPr>
            <w:r w:rsidRPr="00FA21D4">
              <w:rPr>
                <w:sz w:val="16"/>
                <w:szCs w:val="16"/>
              </w:rPr>
              <w:t>Uplink resource fragmentation can be avoided. [11, 16]</w:t>
            </w:r>
          </w:p>
          <w:p w14:paraId="054BFD2D" w14:textId="77777777" w:rsidR="00D0765E" w:rsidRPr="00FA21D4" w:rsidRDefault="00D0765E" w:rsidP="00A34C8C">
            <w:pPr>
              <w:pStyle w:val="TableCell0"/>
              <w:numPr>
                <w:ilvl w:val="0"/>
                <w:numId w:val="43"/>
              </w:numPr>
              <w:ind w:left="288" w:hanging="288"/>
              <w:rPr>
                <w:sz w:val="16"/>
                <w:szCs w:val="16"/>
              </w:rPr>
            </w:pPr>
            <w:r w:rsidRPr="00FA21D4">
              <w:rPr>
                <w:sz w:val="16"/>
                <w:szCs w:val="16"/>
              </w:rPr>
              <w:t>Allows the RedCap devices and the normal UEs to share the same initial UL BWP and PRACH resource. [17, 31]</w:t>
            </w:r>
          </w:p>
          <w:p w14:paraId="4F3C5787"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impact on resource utilization. No impact on non-RedCap UEs. [25]</w:t>
            </w:r>
          </w:p>
          <w:p w14:paraId="58F6A803"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additional signalling needed. [28]</w:t>
            </w:r>
          </w:p>
          <w:p w14:paraId="0998705B" w14:textId="77777777" w:rsidR="00D0765E" w:rsidRPr="00FA21D4" w:rsidRDefault="00D0765E" w:rsidP="00A34C8C">
            <w:pPr>
              <w:pStyle w:val="TableCell0"/>
              <w:numPr>
                <w:ilvl w:val="0"/>
                <w:numId w:val="43"/>
              </w:numPr>
              <w:ind w:left="288" w:hanging="288"/>
              <w:rPr>
                <w:sz w:val="16"/>
                <w:szCs w:val="16"/>
              </w:rPr>
            </w:pPr>
            <w:r w:rsidRPr="00FA21D4">
              <w:rPr>
                <w:sz w:val="16"/>
                <w:szCs w:val="16"/>
              </w:rPr>
              <w:t xml:space="preserve">The RF retuning time for intra-band operation is around 50-200 µs, which is far smaller than 10ms RAR window. Thus, it can be acceptable without </w:t>
            </w:r>
            <w:r w:rsidRPr="00FA21D4">
              <w:rPr>
                <w:sz w:val="16"/>
                <w:szCs w:val="16"/>
              </w:rPr>
              <w:lastRenderedPageBreak/>
              <w:t>impacts on non-RedCap UEs. [31]</w:t>
            </w:r>
          </w:p>
        </w:tc>
        <w:tc>
          <w:tcPr>
            <w:tcW w:w="4066" w:type="dxa"/>
          </w:tcPr>
          <w:p w14:paraId="381B10CD" w14:textId="77777777" w:rsidR="00D0765E" w:rsidRPr="00FA21D4" w:rsidRDefault="00D0765E" w:rsidP="00A34C8C">
            <w:pPr>
              <w:pStyle w:val="TableCell0"/>
              <w:numPr>
                <w:ilvl w:val="0"/>
                <w:numId w:val="43"/>
              </w:numPr>
              <w:ind w:left="288" w:hanging="288"/>
              <w:rPr>
                <w:sz w:val="16"/>
                <w:szCs w:val="16"/>
              </w:rPr>
            </w:pPr>
            <w:r w:rsidRPr="00FA21D4">
              <w:rPr>
                <w:sz w:val="16"/>
                <w:szCs w:val="16"/>
              </w:rPr>
              <w:lastRenderedPageBreak/>
              <w:t>Potential specification impact may include a new timing relationship between PRACH and RAR (msg2) which shall take the retuning time into account. May need to consider additional delay for starting RAR window. [4, 11, 12, 17, 22, 28]</w:t>
            </w:r>
          </w:p>
          <w:p w14:paraId="016055BA" w14:textId="77777777" w:rsidR="00D0765E" w:rsidRPr="00FA21D4" w:rsidRDefault="00D0765E" w:rsidP="00A34C8C">
            <w:pPr>
              <w:pStyle w:val="TableCell0"/>
              <w:numPr>
                <w:ilvl w:val="0"/>
                <w:numId w:val="43"/>
              </w:numPr>
              <w:ind w:left="288" w:hanging="288"/>
              <w:rPr>
                <w:sz w:val="16"/>
                <w:szCs w:val="16"/>
              </w:rPr>
            </w:pPr>
            <w:r w:rsidRPr="00FA21D4">
              <w:rPr>
                <w:sz w:val="16"/>
                <w:szCs w:val="16"/>
              </w:rPr>
              <w:t>Large specification and test efforts. [6]</w:t>
            </w:r>
          </w:p>
          <w:p w14:paraId="67C57E75" w14:textId="77777777" w:rsidR="00D0765E" w:rsidRPr="00FA21D4" w:rsidRDefault="00D0765E" w:rsidP="00A34C8C">
            <w:pPr>
              <w:pStyle w:val="TableCell0"/>
              <w:numPr>
                <w:ilvl w:val="0"/>
                <w:numId w:val="43"/>
              </w:numPr>
              <w:ind w:left="288" w:hanging="288"/>
              <w:rPr>
                <w:sz w:val="16"/>
                <w:szCs w:val="16"/>
              </w:rPr>
            </w:pPr>
            <w:r w:rsidRPr="00FA21D4">
              <w:rPr>
                <w:sz w:val="16"/>
                <w:szCs w:val="16"/>
              </w:rPr>
              <w:t>Feasibility should be confirmed, e.g. whether the time gap between SSB and RO, and the time gap between RO and RAR PDCCH, are enough for RF-retuning. [7]</w:t>
            </w:r>
          </w:p>
          <w:p w14:paraId="1E91500F"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complicate the initial access procedure and spends more time, thus may increase access latency. [9]</w:t>
            </w:r>
          </w:p>
          <w:p w14:paraId="47B91090" w14:textId="77777777" w:rsidR="00D0765E" w:rsidRPr="00FA21D4" w:rsidRDefault="00D0765E" w:rsidP="00A34C8C">
            <w:pPr>
              <w:pStyle w:val="TableCell0"/>
              <w:numPr>
                <w:ilvl w:val="0"/>
                <w:numId w:val="43"/>
              </w:numPr>
              <w:ind w:left="288" w:hanging="288"/>
              <w:rPr>
                <w:sz w:val="16"/>
                <w:szCs w:val="16"/>
              </w:rPr>
            </w:pPr>
            <w:r w:rsidRPr="00FA21D4">
              <w:rPr>
                <w:sz w:val="16"/>
                <w:szCs w:val="16"/>
              </w:rPr>
              <w:t xml:space="preserve">Frequent RF-retuning may be unavoidable. Therefore, more power consumption would be expected for RedCap UEs. In addition, such RF-retuning would significantly increase the UE implementation </w:t>
            </w:r>
            <w:r w:rsidRPr="00FA21D4">
              <w:rPr>
                <w:sz w:val="16"/>
                <w:szCs w:val="16"/>
              </w:rPr>
              <w:lastRenderedPageBreak/>
              <w:t>complexity. [14]</w:t>
            </w:r>
          </w:p>
          <w:p w14:paraId="21BD383C" w14:textId="77777777" w:rsidR="00D0765E" w:rsidRPr="00FA21D4" w:rsidRDefault="00D0765E" w:rsidP="00A34C8C">
            <w:pPr>
              <w:pStyle w:val="TableCell0"/>
              <w:numPr>
                <w:ilvl w:val="0"/>
                <w:numId w:val="43"/>
              </w:numPr>
              <w:ind w:left="288" w:hanging="288"/>
              <w:rPr>
                <w:sz w:val="16"/>
                <w:szCs w:val="16"/>
              </w:rPr>
            </w:pPr>
            <w:r w:rsidRPr="00FA21D4">
              <w:rPr>
                <w:sz w:val="16"/>
                <w:szCs w:val="16"/>
              </w:rPr>
              <w:t>Coverage of UL channels is sacrificed. [16]</w:t>
            </w:r>
          </w:p>
          <w:p w14:paraId="73231A0E" w14:textId="77777777" w:rsidR="00D0765E" w:rsidRPr="00FA21D4" w:rsidRDefault="00D0765E" w:rsidP="00A34C8C">
            <w:pPr>
              <w:pStyle w:val="TableCell0"/>
              <w:numPr>
                <w:ilvl w:val="0"/>
                <w:numId w:val="43"/>
              </w:numPr>
              <w:ind w:left="288" w:hanging="288"/>
              <w:rPr>
                <w:sz w:val="16"/>
                <w:szCs w:val="16"/>
              </w:rPr>
            </w:pPr>
            <w:r w:rsidRPr="00FA21D4">
              <w:rPr>
                <w:sz w:val="16"/>
                <w:szCs w:val="16"/>
              </w:rPr>
              <w:t>RF re-tuning may require re-tuning time on symbol level, requiring of RAN4 evaluations. [24]</w:t>
            </w:r>
          </w:p>
          <w:p w14:paraId="24AB7722"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specification should be updated to allow RedCap UEs to transmit a PRACH outside the initial UL BWP, or to adjust the initial UL BWP to include the UE BW after RF-retuning. [28]</w:t>
            </w:r>
          </w:p>
        </w:tc>
      </w:tr>
      <w:tr w:rsidR="00D0765E" w:rsidRPr="00FA21D4" w14:paraId="7C827B6E" w14:textId="77777777" w:rsidTr="00A34C8C">
        <w:tc>
          <w:tcPr>
            <w:tcW w:w="1219" w:type="dxa"/>
          </w:tcPr>
          <w:p w14:paraId="44990721" w14:textId="77777777" w:rsidR="00D0765E" w:rsidRPr="00FA21D4" w:rsidRDefault="00D0765E" w:rsidP="00A34C8C">
            <w:pPr>
              <w:pStyle w:val="TableCell0"/>
              <w:rPr>
                <w:sz w:val="16"/>
                <w:szCs w:val="16"/>
              </w:rPr>
            </w:pPr>
            <w:r w:rsidRPr="00FA21D4">
              <w:rPr>
                <w:sz w:val="16"/>
                <w:szCs w:val="16"/>
              </w:rPr>
              <w:lastRenderedPageBreak/>
              <w:t>Separate initial UL BWP(s) for RedCap UEs</w:t>
            </w:r>
          </w:p>
        </w:tc>
        <w:tc>
          <w:tcPr>
            <w:tcW w:w="4065" w:type="dxa"/>
          </w:tcPr>
          <w:p w14:paraId="3DB35148"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SIB-configured initial UL BWP for RedCap UEs can be different from the SIB-configured initial UL BWP for non-RedCap UEs. Flexible configuration. [3, 28]</w:t>
            </w:r>
          </w:p>
          <w:p w14:paraId="23421E42" w14:textId="77777777" w:rsidR="00D0765E" w:rsidRPr="00FA21D4" w:rsidRDefault="00D0765E" w:rsidP="00A34C8C">
            <w:pPr>
              <w:pStyle w:val="TableCell0"/>
              <w:numPr>
                <w:ilvl w:val="0"/>
                <w:numId w:val="43"/>
              </w:numPr>
              <w:ind w:left="288" w:hanging="288"/>
              <w:rPr>
                <w:sz w:val="16"/>
                <w:szCs w:val="16"/>
              </w:rPr>
            </w:pPr>
            <w:r w:rsidRPr="00FA21D4">
              <w:rPr>
                <w:sz w:val="16"/>
                <w:szCs w:val="16"/>
              </w:rPr>
              <w:t>Support that a RACH occasion associated with the best SSB falls within the RedCap UE bandwidth. [5, 11, 14]</w:t>
            </w:r>
          </w:p>
          <w:p w14:paraId="3A8FA16B" w14:textId="77777777" w:rsidR="00D0765E" w:rsidRPr="00FA21D4" w:rsidRDefault="00D0765E" w:rsidP="00A34C8C">
            <w:pPr>
              <w:pStyle w:val="TableCell0"/>
              <w:numPr>
                <w:ilvl w:val="0"/>
                <w:numId w:val="43"/>
              </w:numPr>
              <w:ind w:left="288" w:hanging="288"/>
              <w:rPr>
                <w:sz w:val="16"/>
                <w:szCs w:val="16"/>
              </w:rPr>
            </w:pPr>
            <w:r w:rsidRPr="00FA21D4">
              <w:rPr>
                <w:sz w:val="16"/>
                <w:szCs w:val="16"/>
              </w:rPr>
              <w:t>Offloading of PRACH resource. Access capacity extension and avoid or reduce the network congestion or PRACH collision [5, 6, 7, 16, 28]</w:t>
            </w:r>
          </w:p>
          <w:p w14:paraId="33305EBD" w14:textId="77777777" w:rsidR="00D0765E" w:rsidRPr="00FA21D4" w:rsidRDefault="00D0765E" w:rsidP="00A34C8C">
            <w:pPr>
              <w:pStyle w:val="TableCell0"/>
              <w:numPr>
                <w:ilvl w:val="0"/>
                <w:numId w:val="43"/>
              </w:numPr>
              <w:ind w:left="288" w:hanging="288"/>
              <w:rPr>
                <w:sz w:val="16"/>
                <w:szCs w:val="16"/>
              </w:rPr>
            </w:pPr>
            <w:r w:rsidRPr="00FA21D4">
              <w:rPr>
                <w:sz w:val="16"/>
                <w:szCs w:val="16"/>
              </w:rPr>
              <w:t>Provide early identification. [5, 12, 16, 28]</w:t>
            </w:r>
          </w:p>
          <w:p w14:paraId="61AF3C78" w14:textId="77777777" w:rsidR="00D0765E" w:rsidRPr="00FA21D4" w:rsidRDefault="00D0765E" w:rsidP="00A34C8C">
            <w:pPr>
              <w:pStyle w:val="TableCell0"/>
              <w:numPr>
                <w:ilvl w:val="0"/>
                <w:numId w:val="43"/>
              </w:numPr>
              <w:ind w:left="288" w:hanging="288"/>
              <w:rPr>
                <w:sz w:val="16"/>
                <w:szCs w:val="16"/>
              </w:rPr>
            </w:pPr>
            <w:r w:rsidRPr="00FA21D4">
              <w:rPr>
                <w:sz w:val="16"/>
                <w:szCs w:val="16"/>
              </w:rPr>
              <w:t>Coexistence between the RedCap and legacy UEs. Does not restrict PRACH configuration for normal UEs. [6, 12, 25]</w:t>
            </w:r>
          </w:p>
          <w:p w14:paraId="1AAFB032" w14:textId="77777777" w:rsidR="00D0765E" w:rsidRPr="00FA21D4" w:rsidRDefault="00D0765E" w:rsidP="00A34C8C">
            <w:pPr>
              <w:pStyle w:val="TableCell0"/>
              <w:numPr>
                <w:ilvl w:val="0"/>
                <w:numId w:val="43"/>
              </w:numPr>
              <w:ind w:left="288" w:hanging="288"/>
              <w:rPr>
                <w:sz w:val="16"/>
                <w:szCs w:val="16"/>
              </w:rPr>
            </w:pPr>
            <w:r w:rsidRPr="00FA21D4">
              <w:rPr>
                <w:sz w:val="16"/>
                <w:szCs w:val="16"/>
              </w:rPr>
              <w:t>Reuse BWP framework to simplify specification impact. [16]</w:t>
            </w:r>
          </w:p>
          <w:p w14:paraId="61073784" w14:textId="77777777" w:rsidR="00D0765E" w:rsidRPr="00FA21D4" w:rsidRDefault="00D0765E" w:rsidP="00A34C8C">
            <w:pPr>
              <w:pStyle w:val="TableCell0"/>
              <w:numPr>
                <w:ilvl w:val="0"/>
                <w:numId w:val="43"/>
              </w:numPr>
              <w:ind w:left="288" w:hanging="288"/>
              <w:rPr>
                <w:sz w:val="16"/>
                <w:szCs w:val="16"/>
              </w:rPr>
            </w:pPr>
            <w:r w:rsidRPr="00FA21D4">
              <w:rPr>
                <w:sz w:val="16"/>
                <w:szCs w:val="16"/>
              </w:rPr>
              <w:t>Provides a very thorough solution which could solve all issues including the transmission of PUSCH and PUCCH when the initial UL BWP exceeds the RedCap UEs’ bandwidth. [17]</w:t>
            </w:r>
          </w:p>
          <w:p w14:paraId="6CE9BC7C" w14:textId="77777777" w:rsidR="00D0765E" w:rsidRPr="00FA21D4" w:rsidRDefault="00D0765E" w:rsidP="00A34C8C">
            <w:pPr>
              <w:pStyle w:val="TableCell0"/>
              <w:numPr>
                <w:ilvl w:val="0"/>
                <w:numId w:val="43"/>
              </w:numPr>
              <w:ind w:left="288" w:hanging="288"/>
              <w:rPr>
                <w:sz w:val="16"/>
                <w:szCs w:val="16"/>
              </w:rPr>
            </w:pPr>
            <w:r w:rsidRPr="00FA21D4">
              <w:rPr>
                <w:sz w:val="16"/>
                <w:szCs w:val="16"/>
              </w:rPr>
              <w:t>A straightforward option. [18]</w:t>
            </w:r>
          </w:p>
          <w:p w14:paraId="5DF0D2B6"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UL coverage loss. [19]</w:t>
            </w:r>
          </w:p>
          <w:p w14:paraId="7AD07F15"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signalling overhead is marginal and even can be fully mitigated by defining some implicit rules without the need of explicit signalling. [19]</w:t>
            </w:r>
          </w:p>
        </w:tc>
        <w:tc>
          <w:tcPr>
            <w:tcW w:w="4066" w:type="dxa"/>
          </w:tcPr>
          <w:p w14:paraId="2BA84935"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initial UL BWP and the initial DL BWP may have different central frequencies. Does not follow the current BWP design principle for unpaired spectrum thus it complicates the UE’s implementation. [4, 17]</w:t>
            </w:r>
          </w:p>
          <w:p w14:paraId="720D4467" w14:textId="77777777" w:rsidR="00D0765E" w:rsidRPr="00FA21D4" w:rsidRDefault="00D0765E" w:rsidP="00A34C8C">
            <w:pPr>
              <w:pStyle w:val="TableCell0"/>
              <w:numPr>
                <w:ilvl w:val="0"/>
                <w:numId w:val="43"/>
              </w:numPr>
              <w:ind w:left="288" w:hanging="288"/>
              <w:rPr>
                <w:sz w:val="16"/>
                <w:szCs w:val="16"/>
              </w:rPr>
            </w:pPr>
            <w:r w:rsidRPr="00FA21D4">
              <w:rPr>
                <w:sz w:val="16"/>
                <w:szCs w:val="16"/>
              </w:rPr>
              <w:t>Increased gNB processing for PRACH. [5, 11]</w:t>
            </w:r>
          </w:p>
          <w:p w14:paraId="02060E92"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cause higher specification impact. [7]</w:t>
            </w:r>
          </w:p>
          <w:p w14:paraId="3D69A0ED" w14:textId="77777777" w:rsidR="00D0765E" w:rsidRPr="00FA21D4" w:rsidRDefault="00D0765E" w:rsidP="00A34C8C">
            <w:pPr>
              <w:pStyle w:val="TableCell0"/>
              <w:numPr>
                <w:ilvl w:val="0"/>
                <w:numId w:val="43"/>
              </w:numPr>
              <w:ind w:left="288" w:hanging="288"/>
              <w:rPr>
                <w:sz w:val="16"/>
                <w:szCs w:val="16"/>
              </w:rPr>
            </w:pPr>
            <w:r w:rsidRPr="00FA21D4">
              <w:rPr>
                <w:sz w:val="16"/>
                <w:szCs w:val="16"/>
              </w:rPr>
              <w:t>Risk of PUSCH/PRACH resource fragmentation [11, 16, 25]</w:t>
            </w:r>
          </w:p>
          <w:p w14:paraId="184F6C2F" w14:textId="77777777" w:rsidR="00D0765E" w:rsidRPr="00FA21D4" w:rsidRDefault="00D0765E" w:rsidP="00A34C8C">
            <w:pPr>
              <w:pStyle w:val="TableCell0"/>
              <w:numPr>
                <w:ilvl w:val="0"/>
                <w:numId w:val="43"/>
              </w:numPr>
              <w:ind w:left="288" w:hanging="288"/>
              <w:rPr>
                <w:sz w:val="16"/>
                <w:szCs w:val="16"/>
              </w:rPr>
            </w:pPr>
            <w:r w:rsidRPr="00FA21D4">
              <w:rPr>
                <w:sz w:val="16"/>
                <w:szCs w:val="16"/>
              </w:rPr>
              <w:t>Some resource utilization efficiency loss since normal UE and RedCap devices may not share certain channels or resources. [17]</w:t>
            </w:r>
          </w:p>
          <w:p w14:paraId="39F60783" w14:textId="77777777" w:rsidR="00D0765E" w:rsidRPr="00FA21D4" w:rsidRDefault="00D0765E" w:rsidP="00A34C8C">
            <w:pPr>
              <w:pStyle w:val="TableCell0"/>
              <w:numPr>
                <w:ilvl w:val="0"/>
                <w:numId w:val="43"/>
              </w:numPr>
              <w:ind w:left="288" w:hanging="288"/>
              <w:rPr>
                <w:sz w:val="16"/>
                <w:szCs w:val="16"/>
              </w:rPr>
            </w:pPr>
            <w:r w:rsidRPr="00FA21D4">
              <w:rPr>
                <w:sz w:val="16"/>
                <w:szCs w:val="16"/>
              </w:rPr>
              <w:t>New configuration for SIB is needed. Need additional indication (either implicitly or explicitly) [25, 28, 31]</w:t>
            </w:r>
          </w:p>
          <w:p w14:paraId="2E8B0E86" w14:textId="77777777" w:rsidR="00D0765E" w:rsidRPr="00FA21D4" w:rsidRDefault="00D0765E" w:rsidP="00A34C8C">
            <w:pPr>
              <w:pStyle w:val="TableCell0"/>
              <w:numPr>
                <w:ilvl w:val="0"/>
                <w:numId w:val="43"/>
              </w:numPr>
              <w:ind w:left="288" w:hanging="288"/>
              <w:rPr>
                <w:sz w:val="16"/>
                <w:szCs w:val="16"/>
              </w:rPr>
            </w:pPr>
            <w:r w:rsidRPr="00FA21D4">
              <w:rPr>
                <w:sz w:val="16"/>
                <w:szCs w:val="16"/>
              </w:rPr>
              <w:t>Additional resources for RedCap UEs may be needed. [25]</w:t>
            </w:r>
          </w:p>
          <w:p w14:paraId="27B8EDAB" w14:textId="77777777" w:rsidR="00D0765E" w:rsidRPr="00FA21D4" w:rsidRDefault="00D0765E" w:rsidP="00A34C8C">
            <w:pPr>
              <w:pStyle w:val="TableCell0"/>
              <w:numPr>
                <w:ilvl w:val="0"/>
                <w:numId w:val="43"/>
              </w:numPr>
              <w:ind w:left="288" w:hanging="288"/>
              <w:rPr>
                <w:sz w:val="16"/>
                <w:szCs w:val="16"/>
              </w:rPr>
            </w:pPr>
            <w:r w:rsidRPr="00FA21D4">
              <w:rPr>
                <w:sz w:val="16"/>
                <w:szCs w:val="16"/>
              </w:rPr>
              <w:t>Even if the number of RedCap UEs is quite small, the gNB would always configure more than one initial UL BWP, which can be burden at network side. [31]</w:t>
            </w:r>
          </w:p>
        </w:tc>
      </w:tr>
      <w:tr w:rsidR="00D0765E" w:rsidRPr="00FA21D4" w14:paraId="477635A1" w14:textId="77777777" w:rsidTr="00A34C8C">
        <w:tc>
          <w:tcPr>
            <w:tcW w:w="1219" w:type="dxa"/>
          </w:tcPr>
          <w:p w14:paraId="34C621A6" w14:textId="77777777" w:rsidR="00D0765E" w:rsidRPr="00FA21D4" w:rsidRDefault="00D0765E" w:rsidP="00A34C8C">
            <w:pPr>
              <w:pStyle w:val="TableCell0"/>
              <w:rPr>
                <w:sz w:val="16"/>
                <w:szCs w:val="16"/>
              </w:rPr>
            </w:pPr>
            <w:r w:rsidRPr="00FA21D4">
              <w:rPr>
                <w:sz w:val="16"/>
                <w:szCs w:val="16"/>
              </w:rPr>
              <w:t>gNB configuration (e.g., restrictions on existing PRACH configurations, or FDM-ed ROs, or always restricting the initial UL BWP to within RedCap UE bandwidth)</w:t>
            </w:r>
          </w:p>
        </w:tc>
        <w:tc>
          <w:tcPr>
            <w:tcW w:w="4065" w:type="dxa"/>
          </w:tcPr>
          <w:p w14:paraId="3005AC5B"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most straightforward option. [6, 11, 18, 31]</w:t>
            </w:r>
          </w:p>
          <w:p w14:paraId="64B1EABC" w14:textId="77777777" w:rsidR="00D0765E" w:rsidRPr="00FA21D4" w:rsidRDefault="00D0765E" w:rsidP="00A34C8C">
            <w:pPr>
              <w:pStyle w:val="TableCell0"/>
              <w:numPr>
                <w:ilvl w:val="0"/>
                <w:numId w:val="43"/>
              </w:numPr>
              <w:ind w:left="288" w:hanging="288"/>
              <w:rPr>
                <w:sz w:val="16"/>
                <w:szCs w:val="16"/>
              </w:rPr>
            </w:pPr>
            <w:r w:rsidRPr="00FA21D4">
              <w:rPr>
                <w:sz w:val="16"/>
                <w:szCs w:val="16"/>
              </w:rPr>
              <w:t>gNB does not configure initial BWP that is beyond the maximum UE bandwidth. Therefore, this issue will not occur. [8, 14]</w:t>
            </w:r>
          </w:p>
          <w:p w14:paraId="188719AC" w14:textId="77777777" w:rsidR="00D0765E" w:rsidRPr="00FA21D4" w:rsidRDefault="00D0765E" w:rsidP="00A34C8C">
            <w:pPr>
              <w:pStyle w:val="TableCell0"/>
              <w:numPr>
                <w:ilvl w:val="0"/>
                <w:numId w:val="43"/>
              </w:numPr>
              <w:ind w:left="288" w:hanging="288"/>
              <w:rPr>
                <w:sz w:val="16"/>
                <w:szCs w:val="16"/>
              </w:rPr>
            </w:pPr>
            <w:r w:rsidRPr="00FA21D4">
              <w:rPr>
                <w:sz w:val="16"/>
                <w:szCs w:val="16"/>
              </w:rPr>
              <w:t>Minimum specification impact. [11, 13, 25, 28]</w:t>
            </w:r>
          </w:p>
          <w:p w14:paraId="11F09A21" w14:textId="77777777" w:rsidR="00D0765E" w:rsidRPr="00FA21D4" w:rsidRDefault="00D0765E" w:rsidP="00A34C8C">
            <w:pPr>
              <w:pStyle w:val="TableCell0"/>
              <w:numPr>
                <w:ilvl w:val="0"/>
                <w:numId w:val="43"/>
              </w:numPr>
              <w:ind w:left="288" w:hanging="288"/>
              <w:rPr>
                <w:sz w:val="16"/>
                <w:szCs w:val="16"/>
              </w:rPr>
            </w:pPr>
            <w:r w:rsidRPr="00FA21D4">
              <w:rPr>
                <w:sz w:val="16"/>
                <w:szCs w:val="16"/>
              </w:rPr>
              <w:t>RedCap UEs can share RACH occasions with legacy UEs. The configuration of initial access for non-RedCap UEs can be reused. [13, 16]</w:t>
            </w:r>
          </w:p>
          <w:p w14:paraId="565591C5" w14:textId="77777777" w:rsidR="00D0765E" w:rsidRPr="00FA21D4" w:rsidRDefault="00D0765E" w:rsidP="00A34C8C">
            <w:pPr>
              <w:pStyle w:val="TableCell0"/>
              <w:numPr>
                <w:ilvl w:val="0"/>
                <w:numId w:val="43"/>
              </w:numPr>
              <w:ind w:left="288" w:hanging="288"/>
              <w:rPr>
                <w:sz w:val="16"/>
                <w:szCs w:val="16"/>
              </w:rPr>
            </w:pPr>
            <w:r w:rsidRPr="00FA21D4">
              <w:rPr>
                <w:sz w:val="16"/>
                <w:szCs w:val="16"/>
              </w:rPr>
              <w:t>A subset of RACH occasions can be indicated with a mask, thereby ensuring that all occasions are within the RedCap UE bandwidth [13]</w:t>
            </w:r>
          </w:p>
          <w:p w14:paraId="2BC60BBC" w14:textId="77777777" w:rsidR="00D0765E" w:rsidRPr="00FA21D4" w:rsidRDefault="00D0765E" w:rsidP="00A34C8C">
            <w:pPr>
              <w:pStyle w:val="TableCell0"/>
              <w:numPr>
                <w:ilvl w:val="0"/>
                <w:numId w:val="43"/>
              </w:numPr>
              <w:ind w:left="288" w:hanging="288"/>
              <w:rPr>
                <w:sz w:val="16"/>
                <w:szCs w:val="16"/>
              </w:rPr>
            </w:pPr>
            <w:r w:rsidRPr="00FA21D4">
              <w:rPr>
                <w:sz w:val="16"/>
                <w:szCs w:val="16"/>
              </w:rPr>
              <w:t>Considering that access latency may not be an issue for RedCap UEs, the impact from multiplexing some of the ROs in time (rather than in frequency) may not have a significant impact on access latency for RedCap use-cases. [18]</w:t>
            </w:r>
          </w:p>
          <w:p w14:paraId="67BCE49D" w14:textId="77777777" w:rsidR="00D0765E" w:rsidRPr="00FA21D4" w:rsidRDefault="00D0765E" w:rsidP="00A34C8C">
            <w:pPr>
              <w:pStyle w:val="TableCell0"/>
              <w:numPr>
                <w:ilvl w:val="0"/>
                <w:numId w:val="43"/>
              </w:numPr>
              <w:ind w:left="288" w:hanging="288"/>
              <w:rPr>
                <w:sz w:val="16"/>
                <w:szCs w:val="16"/>
              </w:rPr>
            </w:pPr>
            <w:r w:rsidRPr="00FA21D4">
              <w:rPr>
                <w:sz w:val="16"/>
                <w:szCs w:val="16"/>
              </w:rPr>
              <w:t>If ROs with this frequency domain restriction are deemed insufficient, then the PRACH configuration index with more occasions in time domain can be selected. [18, 22]</w:t>
            </w:r>
          </w:p>
        </w:tc>
        <w:tc>
          <w:tcPr>
            <w:tcW w:w="4066" w:type="dxa"/>
          </w:tcPr>
          <w:p w14:paraId="549B5983"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flexibility of the network configuration for legacy UE is impacted. PRACH configuration for normal UEs will be restricted by the maximum RedCap UE bandwidth. May increase the probability of the random-access collisions [4, 5, 13, 14, 16, 17, 25, 28, 31, 32]</w:t>
            </w:r>
          </w:p>
          <w:p w14:paraId="66C5E7CE" w14:textId="77777777" w:rsidR="00D0765E" w:rsidRPr="00FA21D4" w:rsidRDefault="00D0765E" w:rsidP="00A34C8C">
            <w:pPr>
              <w:pStyle w:val="TableCell0"/>
              <w:numPr>
                <w:ilvl w:val="0"/>
                <w:numId w:val="43"/>
              </w:numPr>
              <w:ind w:left="288" w:hanging="288"/>
              <w:rPr>
                <w:sz w:val="16"/>
                <w:szCs w:val="16"/>
              </w:rPr>
            </w:pPr>
            <w:r w:rsidRPr="00FA21D4">
              <w:rPr>
                <w:sz w:val="16"/>
                <w:szCs w:val="16"/>
              </w:rPr>
              <w:t>Putting restrictions on gNB implementation or specification. [7]</w:t>
            </w:r>
          </w:p>
          <w:p w14:paraId="515AB548"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cause inflexibility or fragmentation of PUSCH resources. [9]</w:t>
            </w:r>
          </w:p>
          <w:p w14:paraId="1FE97721" w14:textId="77777777" w:rsidR="00D0765E" w:rsidRPr="00FA21D4" w:rsidRDefault="00D0765E" w:rsidP="00A34C8C">
            <w:pPr>
              <w:pStyle w:val="TableCell0"/>
              <w:numPr>
                <w:ilvl w:val="0"/>
                <w:numId w:val="43"/>
              </w:numPr>
              <w:ind w:left="288" w:hanging="288"/>
              <w:rPr>
                <w:sz w:val="16"/>
                <w:szCs w:val="16"/>
              </w:rPr>
            </w:pPr>
            <w:r w:rsidRPr="00FA21D4">
              <w:rPr>
                <w:sz w:val="16"/>
                <w:szCs w:val="16"/>
              </w:rPr>
              <w:t>Potential impact on PRACH capacity if restrictions are applied. [11]</w:t>
            </w:r>
          </w:p>
          <w:p w14:paraId="5A8BFD03" w14:textId="77777777" w:rsidR="00D0765E" w:rsidRPr="00FA21D4" w:rsidRDefault="00D0765E" w:rsidP="00A34C8C">
            <w:pPr>
              <w:pStyle w:val="TableCell0"/>
              <w:numPr>
                <w:ilvl w:val="0"/>
                <w:numId w:val="43"/>
              </w:numPr>
              <w:ind w:left="288" w:hanging="288"/>
              <w:rPr>
                <w:sz w:val="16"/>
                <w:szCs w:val="16"/>
              </w:rPr>
            </w:pPr>
            <w:r w:rsidRPr="00FA21D4">
              <w:rPr>
                <w:sz w:val="16"/>
                <w:szCs w:val="16"/>
              </w:rPr>
              <w:t>gNB configuration and proper scheduling can provide a certain degree of assistants, but not all. [15]</w:t>
            </w:r>
          </w:p>
        </w:tc>
      </w:tr>
      <w:tr w:rsidR="00D0765E" w:rsidRPr="00FA21D4" w14:paraId="22BE79BC" w14:textId="77777777" w:rsidTr="00A34C8C">
        <w:tc>
          <w:tcPr>
            <w:tcW w:w="1219" w:type="dxa"/>
          </w:tcPr>
          <w:p w14:paraId="1CF43DA7" w14:textId="77777777" w:rsidR="00D0765E" w:rsidRPr="00FA21D4" w:rsidRDefault="00D0765E" w:rsidP="00A34C8C">
            <w:pPr>
              <w:pStyle w:val="TableCell0"/>
              <w:rPr>
                <w:sz w:val="16"/>
                <w:szCs w:val="16"/>
              </w:rPr>
            </w:pPr>
            <w:r w:rsidRPr="00FA21D4">
              <w:rPr>
                <w:sz w:val="16"/>
                <w:szCs w:val="16"/>
              </w:rPr>
              <w:t>Dedicated PRACH configurations (e.g., ROs) for RedCap UEs</w:t>
            </w:r>
          </w:p>
        </w:tc>
        <w:tc>
          <w:tcPr>
            <w:tcW w:w="4065" w:type="dxa"/>
          </w:tcPr>
          <w:p w14:paraId="60EDF32D" w14:textId="77777777" w:rsidR="00D0765E" w:rsidRPr="00FA21D4" w:rsidRDefault="00D0765E" w:rsidP="00A34C8C">
            <w:pPr>
              <w:pStyle w:val="TableCell0"/>
              <w:numPr>
                <w:ilvl w:val="0"/>
                <w:numId w:val="43"/>
              </w:numPr>
              <w:ind w:left="288" w:hanging="288"/>
              <w:rPr>
                <w:sz w:val="16"/>
                <w:szCs w:val="16"/>
              </w:rPr>
            </w:pPr>
            <w:r w:rsidRPr="00FA21D4">
              <w:rPr>
                <w:sz w:val="16"/>
                <w:szCs w:val="16"/>
              </w:rPr>
              <w:t>Compared to the separate initial UL BWP, it has benefit of reducing signalling overhead. [5]</w:t>
            </w:r>
          </w:p>
          <w:p w14:paraId="2396F871" w14:textId="77777777" w:rsidR="00D0765E" w:rsidRPr="00FA21D4" w:rsidRDefault="00D0765E" w:rsidP="00A34C8C">
            <w:pPr>
              <w:pStyle w:val="TableCell0"/>
              <w:numPr>
                <w:ilvl w:val="0"/>
                <w:numId w:val="43"/>
              </w:numPr>
              <w:ind w:left="288" w:hanging="288"/>
              <w:rPr>
                <w:sz w:val="16"/>
                <w:szCs w:val="16"/>
              </w:rPr>
            </w:pPr>
            <w:r w:rsidRPr="00FA21D4">
              <w:rPr>
                <w:sz w:val="16"/>
                <w:szCs w:val="16"/>
              </w:rPr>
              <w:t>FDM-ed RACH occasions can be guaranteed to fall inside RedCap UE bandwidth. [11]</w:t>
            </w:r>
          </w:p>
          <w:p w14:paraId="71C5BA86" w14:textId="77777777" w:rsidR="00D0765E" w:rsidRPr="00FA21D4" w:rsidRDefault="00D0765E" w:rsidP="00A34C8C">
            <w:pPr>
              <w:pStyle w:val="TableCell0"/>
              <w:numPr>
                <w:ilvl w:val="0"/>
                <w:numId w:val="43"/>
              </w:numPr>
              <w:ind w:left="288" w:hanging="288"/>
              <w:rPr>
                <w:sz w:val="16"/>
                <w:szCs w:val="16"/>
              </w:rPr>
            </w:pPr>
            <w:r w:rsidRPr="00FA21D4">
              <w:rPr>
                <w:sz w:val="16"/>
                <w:szCs w:val="16"/>
              </w:rPr>
              <w:t>In addition to sharing RACH occasions with legacy UEs, at least some RedCap UEs may be configured with dedicated RACH occasions. [13]</w:t>
            </w:r>
          </w:p>
          <w:p w14:paraId="49919EB7" w14:textId="77777777" w:rsidR="00D0765E" w:rsidRPr="00FA21D4" w:rsidRDefault="00D0765E" w:rsidP="00A34C8C">
            <w:pPr>
              <w:pStyle w:val="TableCell0"/>
              <w:numPr>
                <w:ilvl w:val="0"/>
                <w:numId w:val="43"/>
              </w:numPr>
              <w:ind w:left="288" w:hanging="288"/>
              <w:rPr>
                <w:sz w:val="16"/>
                <w:szCs w:val="16"/>
              </w:rPr>
            </w:pPr>
            <w:r w:rsidRPr="00FA21D4">
              <w:rPr>
                <w:sz w:val="16"/>
                <w:szCs w:val="16"/>
              </w:rPr>
              <w:t>Early identification support by dedicated resource configuration. [16, 28]</w:t>
            </w:r>
          </w:p>
          <w:p w14:paraId="7282AC04" w14:textId="77777777" w:rsidR="00D0765E" w:rsidRPr="00FA21D4" w:rsidRDefault="00D0765E" w:rsidP="00A34C8C">
            <w:pPr>
              <w:pStyle w:val="TableCell0"/>
              <w:numPr>
                <w:ilvl w:val="0"/>
                <w:numId w:val="43"/>
              </w:numPr>
              <w:ind w:left="288" w:hanging="288"/>
              <w:rPr>
                <w:sz w:val="16"/>
                <w:szCs w:val="16"/>
              </w:rPr>
            </w:pPr>
            <w:r w:rsidRPr="00FA21D4">
              <w:rPr>
                <w:sz w:val="16"/>
                <w:szCs w:val="16"/>
              </w:rPr>
              <w:t>Few impacts on RedCap UEs. No/few impact on non-RedCap UEs. [25]</w:t>
            </w:r>
          </w:p>
          <w:p w14:paraId="1A0E17FB" w14:textId="77777777" w:rsidR="00D0765E" w:rsidRPr="00FA21D4" w:rsidRDefault="00D0765E" w:rsidP="00A34C8C">
            <w:pPr>
              <w:pStyle w:val="TableCell0"/>
              <w:numPr>
                <w:ilvl w:val="0"/>
                <w:numId w:val="43"/>
              </w:numPr>
              <w:ind w:left="288" w:hanging="288"/>
              <w:rPr>
                <w:sz w:val="16"/>
                <w:szCs w:val="16"/>
              </w:rPr>
            </w:pPr>
            <w:r w:rsidRPr="00FA21D4">
              <w:rPr>
                <w:sz w:val="16"/>
                <w:szCs w:val="16"/>
              </w:rPr>
              <w:t>Flexible configuration. [28]</w:t>
            </w:r>
          </w:p>
          <w:p w14:paraId="29BABBD8" w14:textId="77777777" w:rsidR="00D0765E" w:rsidRPr="00FA21D4" w:rsidRDefault="00D0765E" w:rsidP="00A34C8C">
            <w:pPr>
              <w:pStyle w:val="TableCell0"/>
              <w:numPr>
                <w:ilvl w:val="0"/>
                <w:numId w:val="43"/>
              </w:numPr>
              <w:ind w:left="288" w:hanging="288"/>
              <w:rPr>
                <w:sz w:val="16"/>
                <w:szCs w:val="16"/>
              </w:rPr>
            </w:pPr>
            <w:r w:rsidRPr="00FA21D4">
              <w:rPr>
                <w:sz w:val="16"/>
                <w:szCs w:val="16"/>
              </w:rPr>
              <w:t>Beneficial for collision handling. [28]</w:t>
            </w:r>
          </w:p>
        </w:tc>
        <w:tc>
          <w:tcPr>
            <w:tcW w:w="4066" w:type="dxa"/>
          </w:tcPr>
          <w:p w14:paraId="7BC52821"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complicate the gNB’s resource allocation and the resource utilization efficiency may degrade since Redcap UE and legacy UE can’t share the same PRACH resources. [4, 6, 11, 12]</w:t>
            </w:r>
          </w:p>
          <w:p w14:paraId="55A171F3" w14:textId="77777777" w:rsidR="00D0765E" w:rsidRPr="00FA21D4" w:rsidRDefault="00D0765E" w:rsidP="00A34C8C">
            <w:pPr>
              <w:pStyle w:val="TableCell0"/>
              <w:numPr>
                <w:ilvl w:val="0"/>
                <w:numId w:val="43"/>
              </w:numPr>
              <w:ind w:left="288" w:hanging="288"/>
              <w:rPr>
                <w:sz w:val="16"/>
                <w:szCs w:val="16"/>
              </w:rPr>
            </w:pPr>
            <w:r w:rsidRPr="00FA21D4">
              <w:rPr>
                <w:sz w:val="16"/>
                <w:szCs w:val="16"/>
              </w:rPr>
              <w:t>Lack of flexibility. [5]</w:t>
            </w:r>
          </w:p>
          <w:p w14:paraId="2D9D49C6"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cause more congestions. [6]</w:t>
            </w:r>
          </w:p>
          <w:p w14:paraId="06240A40" w14:textId="77777777" w:rsidR="00D0765E" w:rsidRPr="00FA21D4" w:rsidRDefault="00D0765E" w:rsidP="00A34C8C">
            <w:pPr>
              <w:pStyle w:val="TableCell0"/>
              <w:numPr>
                <w:ilvl w:val="0"/>
                <w:numId w:val="43"/>
              </w:numPr>
              <w:ind w:left="288" w:hanging="288"/>
              <w:rPr>
                <w:sz w:val="16"/>
                <w:szCs w:val="16"/>
              </w:rPr>
            </w:pPr>
            <w:r w:rsidRPr="00FA21D4">
              <w:rPr>
                <w:sz w:val="16"/>
                <w:szCs w:val="16"/>
              </w:rPr>
              <w:t>Risk of over-splitting the RO. [7]</w:t>
            </w:r>
          </w:p>
          <w:p w14:paraId="2FA9DA25"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cause inflexibility or fragmentation of PUSCH resources. [9]</w:t>
            </w:r>
          </w:p>
          <w:p w14:paraId="22228D51" w14:textId="77777777" w:rsidR="00D0765E" w:rsidRPr="00FA21D4" w:rsidRDefault="00D0765E" w:rsidP="00A34C8C">
            <w:pPr>
              <w:pStyle w:val="TableCell0"/>
              <w:numPr>
                <w:ilvl w:val="0"/>
                <w:numId w:val="43"/>
              </w:numPr>
              <w:ind w:left="288" w:hanging="288"/>
              <w:rPr>
                <w:sz w:val="16"/>
                <w:szCs w:val="16"/>
              </w:rPr>
            </w:pPr>
            <w:r w:rsidRPr="00FA21D4">
              <w:rPr>
                <w:sz w:val="16"/>
                <w:szCs w:val="16"/>
              </w:rPr>
              <w:t>Potential increase in gNB PRACH processing load. [11]</w:t>
            </w:r>
          </w:p>
          <w:p w14:paraId="22942808" w14:textId="77777777" w:rsidR="00D0765E" w:rsidRPr="00FA21D4" w:rsidRDefault="00D0765E" w:rsidP="00A34C8C">
            <w:pPr>
              <w:pStyle w:val="TableCell0"/>
              <w:numPr>
                <w:ilvl w:val="0"/>
                <w:numId w:val="43"/>
              </w:numPr>
              <w:ind w:left="288" w:hanging="288"/>
              <w:rPr>
                <w:sz w:val="16"/>
                <w:szCs w:val="16"/>
              </w:rPr>
            </w:pPr>
            <w:r w:rsidRPr="00FA21D4">
              <w:rPr>
                <w:sz w:val="16"/>
                <w:szCs w:val="16"/>
              </w:rPr>
              <w:t>Has the drawback of option 2 and does not have the flexibility of option 2. [12]</w:t>
            </w:r>
          </w:p>
          <w:p w14:paraId="28D078F3" w14:textId="77777777" w:rsidR="00D0765E" w:rsidRPr="00FA21D4" w:rsidRDefault="00D0765E" w:rsidP="00A34C8C">
            <w:pPr>
              <w:pStyle w:val="TableCell0"/>
              <w:numPr>
                <w:ilvl w:val="0"/>
                <w:numId w:val="43"/>
              </w:numPr>
              <w:ind w:left="288" w:hanging="288"/>
              <w:rPr>
                <w:sz w:val="16"/>
                <w:szCs w:val="16"/>
              </w:rPr>
            </w:pPr>
            <w:r w:rsidRPr="00FA21D4">
              <w:rPr>
                <w:sz w:val="16"/>
                <w:szCs w:val="16"/>
              </w:rPr>
              <w:t>More specification impacts. [16]</w:t>
            </w:r>
          </w:p>
          <w:p w14:paraId="60BCC509" w14:textId="77777777" w:rsidR="00D0765E" w:rsidRPr="00FA21D4" w:rsidRDefault="00D0765E" w:rsidP="00A34C8C">
            <w:pPr>
              <w:pStyle w:val="TableCell0"/>
              <w:numPr>
                <w:ilvl w:val="0"/>
                <w:numId w:val="43"/>
              </w:numPr>
              <w:ind w:left="288" w:hanging="288"/>
              <w:rPr>
                <w:sz w:val="16"/>
                <w:szCs w:val="16"/>
              </w:rPr>
            </w:pPr>
            <w:r w:rsidRPr="00FA21D4">
              <w:rPr>
                <w:sz w:val="16"/>
                <w:szCs w:val="16"/>
              </w:rPr>
              <w:t xml:space="preserve">Since UEs are not required to monitor all PRACH resource for the transmission of preamble, then configuring dedicated PRACH resource in option 4 to make sure all the PRACH resources are within </w:t>
            </w:r>
            <w:r w:rsidRPr="00FA21D4">
              <w:rPr>
                <w:sz w:val="16"/>
                <w:szCs w:val="16"/>
              </w:rPr>
              <w:lastRenderedPageBreak/>
              <w:t>RedCap UE’s bandwidth seems unnecessary. [17]</w:t>
            </w:r>
          </w:p>
          <w:p w14:paraId="44DFE467" w14:textId="77777777" w:rsidR="00D0765E" w:rsidRPr="00FA21D4" w:rsidRDefault="00D0765E" w:rsidP="00A34C8C">
            <w:pPr>
              <w:pStyle w:val="TableCell0"/>
              <w:numPr>
                <w:ilvl w:val="0"/>
                <w:numId w:val="43"/>
              </w:numPr>
              <w:ind w:left="288" w:hanging="288"/>
              <w:rPr>
                <w:sz w:val="16"/>
                <w:szCs w:val="16"/>
              </w:rPr>
            </w:pPr>
            <w:r w:rsidRPr="00FA21D4">
              <w:rPr>
                <w:sz w:val="16"/>
                <w:szCs w:val="16"/>
              </w:rPr>
              <w:t>New configuration for SIB is needed. Need additional indication (either implicitly or explicitly). [25, 28]</w:t>
            </w:r>
          </w:p>
          <w:p w14:paraId="5C4A201A" w14:textId="77777777" w:rsidR="00D0765E" w:rsidRPr="00FA21D4" w:rsidRDefault="00D0765E" w:rsidP="00A34C8C">
            <w:pPr>
              <w:pStyle w:val="TableCell0"/>
              <w:numPr>
                <w:ilvl w:val="0"/>
                <w:numId w:val="43"/>
              </w:numPr>
              <w:ind w:left="288" w:hanging="288"/>
              <w:rPr>
                <w:sz w:val="16"/>
                <w:szCs w:val="16"/>
              </w:rPr>
            </w:pPr>
            <w:r w:rsidRPr="00FA21D4">
              <w:rPr>
                <w:sz w:val="16"/>
                <w:szCs w:val="16"/>
              </w:rPr>
              <w:t>Even if the number of RedCap UEs is small, the PRACH configuration for non-RedCap UEs cannot be shared with RedCap UEs and the gNB should always configure dedicated PRACH configuration. [31]</w:t>
            </w:r>
          </w:p>
        </w:tc>
      </w:tr>
    </w:tbl>
    <w:p w14:paraId="0050F78B" w14:textId="77777777" w:rsidR="00D0765E" w:rsidRPr="0053647E" w:rsidRDefault="00D0765E" w:rsidP="00D0765E">
      <w:pPr>
        <w:rPr>
          <w:lang w:eastAsia="zh-CN"/>
        </w:rPr>
      </w:pPr>
    </w:p>
    <w:tbl>
      <w:tblPr>
        <w:tblStyle w:val="TableGrid"/>
        <w:tblW w:w="0" w:type="auto"/>
        <w:tblLook w:val="04A0" w:firstRow="1" w:lastRow="0" w:firstColumn="1" w:lastColumn="0" w:noHBand="0" w:noVBand="1"/>
      </w:tblPr>
      <w:tblGrid>
        <w:gridCol w:w="1218"/>
        <w:gridCol w:w="4044"/>
        <w:gridCol w:w="4045"/>
      </w:tblGrid>
      <w:tr w:rsidR="00D0765E" w:rsidRPr="00FA21D4" w14:paraId="795BF0BA" w14:textId="77777777" w:rsidTr="00A34C8C">
        <w:tc>
          <w:tcPr>
            <w:tcW w:w="1219" w:type="dxa"/>
          </w:tcPr>
          <w:p w14:paraId="3D354598" w14:textId="77777777" w:rsidR="00D0765E" w:rsidRPr="0053647E" w:rsidRDefault="00D0765E" w:rsidP="00A34C8C">
            <w:pPr>
              <w:pStyle w:val="TableCell0"/>
              <w:rPr>
                <w:sz w:val="16"/>
                <w:szCs w:val="16"/>
              </w:rPr>
            </w:pPr>
          </w:p>
        </w:tc>
        <w:tc>
          <w:tcPr>
            <w:tcW w:w="4065" w:type="dxa"/>
          </w:tcPr>
          <w:p w14:paraId="3FBBB79B" w14:textId="77777777" w:rsidR="00D0765E" w:rsidRPr="00FA21D4" w:rsidRDefault="00D0765E" w:rsidP="00A34C8C">
            <w:pPr>
              <w:pStyle w:val="TableCell0"/>
              <w:rPr>
                <w:sz w:val="16"/>
                <w:szCs w:val="16"/>
              </w:rPr>
            </w:pPr>
            <w:r w:rsidRPr="00FA21D4">
              <w:rPr>
                <w:sz w:val="16"/>
                <w:szCs w:val="16"/>
              </w:rPr>
              <w:t>Benefit</w:t>
            </w:r>
          </w:p>
        </w:tc>
        <w:tc>
          <w:tcPr>
            <w:tcW w:w="4066" w:type="dxa"/>
          </w:tcPr>
          <w:p w14:paraId="1F7F7FF1" w14:textId="77777777" w:rsidR="00D0765E" w:rsidRPr="00FA21D4" w:rsidRDefault="00D0765E" w:rsidP="00A34C8C">
            <w:pPr>
              <w:pStyle w:val="TableCell0"/>
              <w:rPr>
                <w:sz w:val="16"/>
                <w:szCs w:val="16"/>
              </w:rPr>
            </w:pPr>
            <w:r w:rsidRPr="00FA21D4">
              <w:rPr>
                <w:sz w:val="16"/>
                <w:szCs w:val="16"/>
              </w:rPr>
              <w:t>Disadvantage</w:t>
            </w:r>
          </w:p>
        </w:tc>
      </w:tr>
      <w:tr w:rsidR="00D0765E" w:rsidRPr="00FA21D4" w14:paraId="1A5DD915" w14:textId="77777777" w:rsidTr="00A34C8C">
        <w:tc>
          <w:tcPr>
            <w:tcW w:w="1219" w:type="dxa"/>
          </w:tcPr>
          <w:p w14:paraId="572F07E7" w14:textId="77777777" w:rsidR="00D0765E" w:rsidRPr="00FA21D4" w:rsidRDefault="00D0765E" w:rsidP="00A34C8C">
            <w:pPr>
              <w:pStyle w:val="TableCell0"/>
              <w:rPr>
                <w:sz w:val="16"/>
                <w:szCs w:val="16"/>
              </w:rPr>
            </w:pPr>
            <w:r w:rsidRPr="00FA21D4">
              <w:rPr>
                <w:sz w:val="16"/>
                <w:szCs w:val="16"/>
              </w:rPr>
              <w:t>Proper RF-retuning for RedCap UE</w:t>
            </w:r>
          </w:p>
        </w:tc>
        <w:tc>
          <w:tcPr>
            <w:tcW w:w="4065" w:type="dxa"/>
          </w:tcPr>
          <w:p w14:paraId="424F1E55" w14:textId="77777777" w:rsidR="00D0765E" w:rsidRPr="00FA21D4" w:rsidRDefault="00D0765E" w:rsidP="00A34C8C">
            <w:pPr>
              <w:pStyle w:val="TableCell0"/>
              <w:numPr>
                <w:ilvl w:val="0"/>
                <w:numId w:val="43"/>
              </w:numPr>
              <w:ind w:left="288" w:hanging="288"/>
              <w:rPr>
                <w:sz w:val="16"/>
                <w:szCs w:val="16"/>
              </w:rPr>
            </w:pPr>
            <w:r w:rsidRPr="00FA21D4">
              <w:rPr>
                <w:sz w:val="16"/>
                <w:szCs w:val="16"/>
              </w:rPr>
              <w:t>RedCap should support the function of RF retuning to address a number of other issues. [3]</w:t>
            </w:r>
          </w:p>
          <w:p w14:paraId="704B6E8E" w14:textId="77777777" w:rsidR="00D0765E" w:rsidRPr="00FA21D4" w:rsidRDefault="00D0765E" w:rsidP="00A34C8C">
            <w:pPr>
              <w:pStyle w:val="TableCell0"/>
              <w:numPr>
                <w:ilvl w:val="0"/>
                <w:numId w:val="43"/>
              </w:numPr>
              <w:ind w:left="288" w:hanging="288"/>
              <w:rPr>
                <w:sz w:val="16"/>
                <w:szCs w:val="16"/>
              </w:rPr>
            </w:pPr>
            <w:r w:rsidRPr="00FA21D4">
              <w:rPr>
                <w:sz w:val="16"/>
                <w:szCs w:val="16"/>
              </w:rPr>
              <w:t>Avoid PUSCH resource fragmentation. [4, 16, 28]</w:t>
            </w:r>
          </w:p>
          <w:p w14:paraId="18DD28F6"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specification impacts. [7]</w:t>
            </w:r>
          </w:p>
          <w:p w14:paraId="77792414"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need to restrict the configurations. [11]</w:t>
            </w:r>
          </w:p>
          <w:p w14:paraId="7D6A14BD" w14:textId="77777777" w:rsidR="00D0765E" w:rsidRPr="00FA21D4" w:rsidRDefault="00D0765E" w:rsidP="00A34C8C">
            <w:pPr>
              <w:pStyle w:val="TableCell0"/>
              <w:numPr>
                <w:ilvl w:val="0"/>
                <w:numId w:val="43"/>
              </w:numPr>
              <w:ind w:left="288" w:hanging="288"/>
              <w:rPr>
                <w:sz w:val="16"/>
                <w:szCs w:val="16"/>
              </w:rPr>
            </w:pPr>
            <w:r w:rsidRPr="00FA21D4">
              <w:rPr>
                <w:sz w:val="16"/>
                <w:szCs w:val="16"/>
              </w:rPr>
              <w:t>Allow PUCCH resource sharing between non-Redcap and Redcap UEs during initial access and may benefit from the scheduling flexibility and spectrum efficiency perspective. [19]</w:t>
            </w:r>
          </w:p>
          <w:p w14:paraId="69AA9211" w14:textId="77777777" w:rsidR="00D0765E" w:rsidRPr="00FA21D4" w:rsidRDefault="00D0765E" w:rsidP="00A34C8C">
            <w:pPr>
              <w:pStyle w:val="TableCell0"/>
              <w:numPr>
                <w:ilvl w:val="0"/>
                <w:numId w:val="43"/>
              </w:numPr>
              <w:ind w:left="288" w:hanging="288"/>
              <w:rPr>
                <w:sz w:val="16"/>
                <w:szCs w:val="16"/>
              </w:rPr>
            </w:pPr>
            <w:r w:rsidRPr="00FA21D4">
              <w:rPr>
                <w:sz w:val="16"/>
                <w:szCs w:val="16"/>
              </w:rPr>
              <w:t>Can be combined with some modification of uplink transmission rules and disable frequency hopping of uplink transmissions. [21]</w:t>
            </w:r>
          </w:p>
          <w:p w14:paraId="4FB2764F"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impact on resource utilization. [25]</w:t>
            </w:r>
          </w:p>
          <w:p w14:paraId="0C719044"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impact on non-RedCap UEs. [25]</w:t>
            </w:r>
          </w:p>
          <w:p w14:paraId="7BB832D4" w14:textId="77777777" w:rsidR="00D0765E" w:rsidRPr="00FA21D4" w:rsidRDefault="00D0765E" w:rsidP="00A34C8C">
            <w:pPr>
              <w:pStyle w:val="TableCell0"/>
              <w:numPr>
                <w:ilvl w:val="0"/>
                <w:numId w:val="43"/>
              </w:numPr>
              <w:ind w:left="288" w:hanging="288"/>
              <w:rPr>
                <w:sz w:val="16"/>
                <w:szCs w:val="16"/>
              </w:rPr>
            </w:pPr>
            <w:r w:rsidRPr="00FA21D4">
              <w:rPr>
                <w:sz w:val="16"/>
                <w:szCs w:val="16"/>
              </w:rPr>
              <w:t>No additional signalling. [28]</w:t>
            </w:r>
          </w:p>
        </w:tc>
        <w:tc>
          <w:tcPr>
            <w:tcW w:w="4066" w:type="dxa"/>
          </w:tcPr>
          <w:p w14:paraId="6482DCB5" w14:textId="77777777" w:rsidR="00D0765E" w:rsidRPr="00FA21D4" w:rsidRDefault="00D0765E" w:rsidP="00A34C8C">
            <w:pPr>
              <w:pStyle w:val="TableCell0"/>
              <w:numPr>
                <w:ilvl w:val="0"/>
                <w:numId w:val="43"/>
              </w:numPr>
              <w:ind w:left="288" w:hanging="288"/>
              <w:rPr>
                <w:sz w:val="16"/>
                <w:szCs w:val="16"/>
              </w:rPr>
            </w:pPr>
            <w:r w:rsidRPr="00FA21D4">
              <w:rPr>
                <w:sz w:val="16"/>
                <w:szCs w:val="16"/>
              </w:rPr>
              <w:t>Will complicate UE’s implementation. [4, 14]</w:t>
            </w:r>
          </w:p>
          <w:p w14:paraId="0B5A08F6" w14:textId="77777777" w:rsidR="00D0765E" w:rsidRPr="00FA21D4" w:rsidRDefault="00D0765E" w:rsidP="00A34C8C">
            <w:pPr>
              <w:pStyle w:val="TableCell0"/>
              <w:numPr>
                <w:ilvl w:val="0"/>
                <w:numId w:val="43"/>
              </w:numPr>
              <w:ind w:left="288" w:hanging="288"/>
              <w:rPr>
                <w:sz w:val="16"/>
                <w:szCs w:val="16"/>
              </w:rPr>
            </w:pPr>
            <w:r w:rsidRPr="00FA21D4">
              <w:rPr>
                <w:sz w:val="16"/>
                <w:szCs w:val="16"/>
              </w:rPr>
              <w:t>All the timing relationship between uplink and downlink messages shall be revisited. So, it will introduce more specification impact. [4, 6]</w:t>
            </w:r>
          </w:p>
          <w:p w14:paraId="18168CDA" w14:textId="77777777" w:rsidR="00D0765E" w:rsidRPr="00FA21D4" w:rsidRDefault="00D0765E" w:rsidP="00A34C8C">
            <w:pPr>
              <w:pStyle w:val="TableCell0"/>
              <w:numPr>
                <w:ilvl w:val="0"/>
                <w:numId w:val="43"/>
              </w:numPr>
              <w:ind w:left="288" w:hanging="288"/>
              <w:rPr>
                <w:sz w:val="16"/>
                <w:szCs w:val="16"/>
              </w:rPr>
            </w:pPr>
            <w:r w:rsidRPr="00FA21D4">
              <w:rPr>
                <w:sz w:val="16"/>
                <w:szCs w:val="16"/>
              </w:rPr>
              <w:t>RF retuning is not supported for PUSCH/PUCCH transmission. [5]</w:t>
            </w:r>
          </w:p>
          <w:p w14:paraId="3426459D" w14:textId="77777777" w:rsidR="00D0765E" w:rsidRPr="00FA21D4" w:rsidRDefault="00D0765E" w:rsidP="00A34C8C">
            <w:pPr>
              <w:pStyle w:val="TableCell0"/>
              <w:numPr>
                <w:ilvl w:val="0"/>
                <w:numId w:val="43"/>
              </w:numPr>
              <w:ind w:left="288" w:hanging="288"/>
              <w:rPr>
                <w:sz w:val="16"/>
                <w:szCs w:val="16"/>
              </w:rPr>
            </w:pPr>
            <w:r w:rsidRPr="00FA21D4">
              <w:rPr>
                <w:sz w:val="16"/>
                <w:szCs w:val="16"/>
              </w:rPr>
              <w:t>Performance loss caused by RF retuning time. Coverage of UL channels is sacrificed [6, 11, 16, 17, 32]</w:t>
            </w:r>
          </w:p>
          <w:p w14:paraId="3B495746" w14:textId="77777777" w:rsidR="00D0765E" w:rsidRPr="00FA21D4" w:rsidRDefault="00D0765E" w:rsidP="00A34C8C">
            <w:pPr>
              <w:pStyle w:val="TableCell0"/>
              <w:numPr>
                <w:ilvl w:val="0"/>
                <w:numId w:val="43"/>
              </w:numPr>
              <w:ind w:left="288" w:hanging="288"/>
              <w:rPr>
                <w:sz w:val="16"/>
                <w:szCs w:val="16"/>
              </w:rPr>
            </w:pPr>
            <w:r w:rsidRPr="00FA21D4">
              <w:rPr>
                <w:sz w:val="16"/>
                <w:szCs w:val="16"/>
              </w:rPr>
              <w:t>Large test efforts. [6]</w:t>
            </w:r>
          </w:p>
          <w:p w14:paraId="07A5FDF6"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not be feasible, especially for PUCCH with short duration. [7]</w:t>
            </w:r>
          </w:p>
          <w:p w14:paraId="060C7E91" w14:textId="77777777" w:rsidR="00D0765E" w:rsidRPr="00FA21D4" w:rsidRDefault="00D0765E" w:rsidP="00A34C8C">
            <w:pPr>
              <w:pStyle w:val="TableCell0"/>
              <w:numPr>
                <w:ilvl w:val="0"/>
                <w:numId w:val="43"/>
              </w:numPr>
              <w:ind w:left="288" w:hanging="288"/>
              <w:rPr>
                <w:sz w:val="16"/>
                <w:szCs w:val="16"/>
              </w:rPr>
            </w:pPr>
            <w:r w:rsidRPr="00FA21D4">
              <w:rPr>
                <w:sz w:val="16"/>
                <w:szCs w:val="16"/>
              </w:rPr>
              <w:t>Whether the option will have impact on scheduling Msg4 depends on the switching time. If the switching time is short, small or no specification impact is foreseen. [12]</w:t>
            </w:r>
          </w:p>
          <w:p w14:paraId="28603CFF" w14:textId="77777777" w:rsidR="00D0765E" w:rsidRPr="00FA21D4" w:rsidRDefault="00D0765E" w:rsidP="00A34C8C">
            <w:pPr>
              <w:pStyle w:val="TableCell0"/>
              <w:numPr>
                <w:ilvl w:val="0"/>
                <w:numId w:val="43"/>
              </w:numPr>
              <w:ind w:left="288" w:hanging="288"/>
              <w:rPr>
                <w:sz w:val="16"/>
                <w:szCs w:val="16"/>
              </w:rPr>
            </w:pPr>
            <w:r w:rsidRPr="00FA21D4">
              <w:rPr>
                <w:sz w:val="16"/>
                <w:szCs w:val="16"/>
              </w:rPr>
              <w:t>Frequent retuning may cause more power consumption for RedCap UEs. [14]</w:t>
            </w:r>
          </w:p>
          <w:p w14:paraId="0F10BE95" w14:textId="77777777" w:rsidR="00D0765E" w:rsidRPr="00FA21D4" w:rsidRDefault="00D0765E" w:rsidP="00A34C8C">
            <w:pPr>
              <w:pStyle w:val="TableCell0"/>
              <w:numPr>
                <w:ilvl w:val="0"/>
                <w:numId w:val="43"/>
              </w:numPr>
              <w:ind w:left="288" w:hanging="288"/>
              <w:rPr>
                <w:sz w:val="16"/>
                <w:szCs w:val="16"/>
              </w:rPr>
            </w:pPr>
            <w:r w:rsidRPr="00FA21D4">
              <w:rPr>
                <w:sz w:val="16"/>
                <w:szCs w:val="16"/>
              </w:rPr>
              <w:t>Rely on early identification to allocate PUCCH resource. [16]</w:t>
            </w:r>
          </w:p>
          <w:p w14:paraId="106C1999" w14:textId="77777777" w:rsidR="00D0765E" w:rsidRPr="00FA21D4" w:rsidRDefault="00D0765E" w:rsidP="00A34C8C">
            <w:pPr>
              <w:pStyle w:val="TableCell0"/>
              <w:numPr>
                <w:ilvl w:val="0"/>
                <w:numId w:val="43"/>
              </w:numPr>
              <w:ind w:left="288" w:hanging="288"/>
              <w:rPr>
                <w:sz w:val="16"/>
                <w:szCs w:val="16"/>
              </w:rPr>
            </w:pPr>
            <w:r w:rsidRPr="00FA21D4">
              <w:rPr>
                <w:sz w:val="16"/>
                <w:szCs w:val="16"/>
              </w:rPr>
              <w:t>Switching gap between two hops for RF retuning. It may require switching time of a few OFDM symbols depending on the subcarrier spacing. Requiring of RAN4 evaluations. [19, 23, 25, 28]</w:t>
            </w:r>
          </w:p>
          <w:p w14:paraId="1E1EB04A" w14:textId="77777777" w:rsidR="00D0765E" w:rsidRPr="00FA21D4" w:rsidRDefault="00D0765E" w:rsidP="00A34C8C">
            <w:pPr>
              <w:pStyle w:val="TableCell0"/>
              <w:numPr>
                <w:ilvl w:val="0"/>
                <w:numId w:val="43"/>
              </w:numPr>
              <w:ind w:left="288" w:hanging="288"/>
              <w:rPr>
                <w:sz w:val="16"/>
                <w:szCs w:val="16"/>
              </w:rPr>
            </w:pPr>
            <w:r w:rsidRPr="00FA21D4">
              <w:rPr>
                <w:sz w:val="16"/>
                <w:szCs w:val="16"/>
              </w:rPr>
              <w:t>Should be clarified that whether the fast frequency retuning capability is a reasonable assumption for (all) the RedCap UEs. [22]</w:t>
            </w:r>
          </w:p>
        </w:tc>
      </w:tr>
      <w:tr w:rsidR="00D0765E" w:rsidRPr="00FA21D4" w14:paraId="01C71D33" w14:textId="77777777" w:rsidTr="00A34C8C">
        <w:tc>
          <w:tcPr>
            <w:tcW w:w="1219" w:type="dxa"/>
          </w:tcPr>
          <w:p w14:paraId="1D5DB813" w14:textId="77777777" w:rsidR="00D0765E" w:rsidRPr="00FA21D4" w:rsidRDefault="00D0765E" w:rsidP="00A34C8C">
            <w:pPr>
              <w:pStyle w:val="TableCell0"/>
              <w:rPr>
                <w:sz w:val="16"/>
                <w:szCs w:val="16"/>
              </w:rPr>
            </w:pPr>
            <w:r w:rsidRPr="00FA21D4">
              <w:rPr>
                <w:sz w:val="16"/>
                <w:szCs w:val="16"/>
              </w:rPr>
              <w:t>Separate initial UL BWP(s) for RedCap UEs</w:t>
            </w:r>
          </w:p>
        </w:tc>
        <w:tc>
          <w:tcPr>
            <w:tcW w:w="4065" w:type="dxa"/>
          </w:tcPr>
          <w:p w14:paraId="2F6B6248"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SIB-configured initial UL BWP for RedCap UEs can be different from the SIB-configured initial UL BWP for non-RedCap UEs. [3]</w:t>
            </w:r>
          </w:p>
          <w:p w14:paraId="45A63288" w14:textId="77777777" w:rsidR="00D0765E" w:rsidRPr="00FA21D4" w:rsidRDefault="00D0765E" w:rsidP="00A34C8C">
            <w:pPr>
              <w:pStyle w:val="TableCell0"/>
              <w:numPr>
                <w:ilvl w:val="0"/>
                <w:numId w:val="43"/>
              </w:numPr>
              <w:ind w:left="288" w:hanging="288"/>
              <w:rPr>
                <w:sz w:val="16"/>
                <w:szCs w:val="16"/>
              </w:rPr>
            </w:pPr>
            <w:r w:rsidRPr="00FA21D4">
              <w:rPr>
                <w:sz w:val="16"/>
                <w:szCs w:val="16"/>
              </w:rPr>
              <w:t>Support PUCCH (for Msg4/[MsgB] HARQ feedback) and/or PUSCH (for Msg3/[MsgA]) transmissions fall within the RedCap UE bandwidth during initial access. [5, 11]</w:t>
            </w:r>
          </w:p>
          <w:p w14:paraId="13ED6519" w14:textId="77777777" w:rsidR="00D0765E" w:rsidRPr="00FA21D4" w:rsidRDefault="00D0765E" w:rsidP="00A34C8C">
            <w:pPr>
              <w:pStyle w:val="TableCell0"/>
              <w:numPr>
                <w:ilvl w:val="0"/>
                <w:numId w:val="43"/>
              </w:numPr>
              <w:ind w:left="288" w:hanging="288"/>
              <w:rPr>
                <w:sz w:val="16"/>
                <w:szCs w:val="16"/>
              </w:rPr>
            </w:pPr>
            <w:r w:rsidRPr="00FA21D4">
              <w:rPr>
                <w:sz w:val="16"/>
                <w:szCs w:val="16"/>
              </w:rPr>
              <w:t>Coexistence between the RedCap and legacy UEs. Few impacts on RedCap UEs. No/few impact on non-RedCap UEs [6, 25]</w:t>
            </w:r>
          </w:p>
          <w:p w14:paraId="154C33D2"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achieve UL offloading benefit. Avoid or reduce the network congestion. [6, 7, 16, 32]</w:t>
            </w:r>
          </w:p>
          <w:p w14:paraId="276CBA8F" w14:textId="77777777" w:rsidR="00D0765E" w:rsidRPr="00FA21D4" w:rsidRDefault="00D0765E" w:rsidP="00A34C8C">
            <w:pPr>
              <w:pStyle w:val="TableCell0"/>
              <w:numPr>
                <w:ilvl w:val="0"/>
                <w:numId w:val="43"/>
              </w:numPr>
              <w:ind w:left="288" w:hanging="288"/>
              <w:rPr>
                <w:sz w:val="16"/>
                <w:szCs w:val="16"/>
              </w:rPr>
            </w:pPr>
            <w:r w:rsidRPr="00FA21D4">
              <w:rPr>
                <w:sz w:val="16"/>
                <w:szCs w:val="16"/>
              </w:rPr>
              <w:t>May jointly tackle the out-of-range issue of the best RO. [7, 32]</w:t>
            </w:r>
          </w:p>
          <w:p w14:paraId="113DCD6E" w14:textId="77777777" w:rsidR="00D0765E" w:rsidRPr="00FA21D4" w:rsidRDefault="00D0765E" w:rsidP="00A34C8C">
            <w:pPr>
              <w:pStyle w:val="TableCell0"/>
              <w:numPr>
                <w:ilvl w:val="0"/>
                <w:numId w:val="43"/>
              </w:numPr>
              <w:ind w:left="288" w:hanging="288"/>
              <w:rPr>
                <w:sz w:val="16"/>
                <w:szCs w:val="16"/>
              </w:rPr>
            </w:pPr>
            <w:r w:rsidRPr="00FA21D4">
              <w:rPr>
                <w:sz w:val="16"/>
                <w:szCs w:val="16"/>
              </w:rPr>
              <w:t xml:space="preserve">Flexible configuration. Has the benefit that there is no restriction on Msg3 frequency hopping for normal UE. [12, 28] </w:t>
            </w:r>
          </w:p>
          <w:p w14:paraId="0AFEA166"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There is also no restriction on the bandwidth for resource allocation of Msg3 for normal UEs. [12]</w:t>
            </w:r>
          </w:p>
          <w:p w14:paraId="65826E84" w14:textId="77777777" w:rsidR="00D0765E" w:rsidRPr="00FA21D4" w:rsidRDefault="00D0765E" w:rsidP="00A34C8C">
            <w:pPr>
              <w:pStyle w:val="TableCell0"/>
              <w:numPr>
                <w:ilvl w:val="0"/>
                <w:numId w:val="43"/>
              </w:numPr>
              <w:ind w:left="288" w:hanging="288"/>
              <w:rPr>
                <w:sz w:val="16"/>
                <w:szCs w:val="16"/>
              </w:rPr>
            </w:pPr>
            <w:r w:rsidRPr="00FA21D4">
              <w:rPr>
                <w:sz w:val="16"/>
                <w:szCs w:val="16"/>
              </w:rPr>
              <w:t>Has no specification impact on PUCCH/PUSCH frequency hopping. [14, 23]</w:t>
            </w:r>
          </w:p>
          <w:p w14:paraId="57D69B16" w14:textId="77777777" w:rsidR="00D0765E" w:rsidRPr="00FA21D4" w:rsidRDefault="00D0765E" w:rsidP="00A34C8C">
            <w:pPr>
              <w:pStyle w:val="TableCell0"/>
              <w:numPr>
                <w:ilvl w:val="0"/>
                <w:numId w:val="43"/>
              </w:numPr>
              <w:ind w:left="288" w:hanging="288"/>
              <w:rPr>
                <w:sz w:val="16"/>
                <w:szCs w:val="16"/>
              </w:rPr>
            </w:pPr>
            <w:r w:rsidRPr="00FA21D4">
              <w:rPr>
                <w:sz w:val="16"/>
                <w:szCs w:val="16"/>
              </w:rPr>
              <w:t>Early identification is naturally supported. [16, 28, 32]</w:t>
            </w:r>
          </w:p>
          <w:p w14:paraId="5F0892BA" w14:textId="77777777" w:rsidR="00D0765E" w:rsidRPr="00FA21D4" w:rsidRDefault="00D0765E" w:rsidP="00A34C8C">
            <w:pPr>
              <w:pStyle w:val="TableCell0"/>
              <w:numPr>
                <w:ilvl w:val="0"/>
                <w:numId w:val="43"/>
              </w:numPr>
              <w:ind w:left="288" w:hanging="288"/>
              <w:rPr>
                <w:sz w:val="16"/>
                <w:szCs w:val="16"/>
              </w:rPr>
            </w:pPr>
            <w:r w:rsidRPr="00FA21D4">
              <w:rPr>
                <w:sz w:val="16"/>
                <w:szCs w:val="16"/>
              </w:rPr>
              <w:t>Reuse BWP framework to simplify specification impact. [16]</w:t>
            </w:r>
          </w:p>
          <w:p w14:paraId="66F1CD73" w14:textId="77777777" w:rsidR="00D0765E" w:rsidRPr="00FA21D4" w:rsidRDefault="00D0765E" w:rsidP="00A34C8C">
            <w:pPr>
              <w:pStyle w:val="TableCell0"/>
              <w:numPr>
                <w:ilvl w:val="0"/>
                <w:numId w:val="43"/>
              </w:numPr>
              <w:ind w:left="288" w:hanging="288"/>
              <w:rPr>
                <w:sz w:val="16"/>
                <w:szCs w:val="16"/>
              </w:rPr>
            </w:pPr>
            <w:r w:rsidRPr="00FA21D4">
              <w:rPr>
                <w:sz w:val="16"/>
                <w:szCs w:val="16"/>
              </w:rPr>
              <w:t>Provide a thorough solution. [17]</w:t>
            </w:r>
          </w:p>
          <w:p w14:paraId="6563937C"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concern of UL coverage loss caused by switching gap is addressed. [19]</w:t>
            </w:r>
          </w:p>
          <w:p w14:paraId="381DECAA"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signalling overhead is marginal and even can be fully mitigated by defining some implicit rules without the need of explicit signalling. [19]</w:t>
            </w:r>
          </w:p>
        </w:tc>
        <w:tc>
          <w:tcPr>
            <w:tcW w:w="4066" w:type="dxa"/>
          </w:tcPr>
          <w:p w14:paraId="6F0D0FD2"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central frequency of initial UL BWP is different with that of the initial DL BWP; Hence, this option will also complicate UE’s implementation significantly. [4]</w:t>
            </w:r>
          </w:p>
          <w:p w14:paraId="6324D1DD" w14:textId="77777777" w:rsidR="00D0765E" w:rsidRPr="00FA21D4" w:rsidRDefault="00D0765E" w:rsidP="00A34C8C">
            <w:pPr>
              <w:pStyle w:val="TableCell0"/>
              <w:numPr>
                <w:ilvl w:val="0"/>
                <w:numId w:val="43"/>
              </w:numPr>
              <w:ind w:left="288" w:hanging="288"/>
              <w:rPr>
                <w:sz w:val="16"/>
                <w:szCs w:val="16"/>
              </w:rPr>
            </w:pPr>
            <w:r w:rsidRPr="00FA21D4">
              <w:rPr>
                <w:sz w:val="16"/>
                <w:szCs w:val="16"/>
              </w:rPr>
              <w:t>Higher specification impact than other options. [7]</w:t>
            </w:r>
          </w:p>
          <w:p w14:paraId="1693FEC1" w14:textId="77777777" w:rsidR="00D0765E" w:rsidRPr="00FA21D4" w:rsidRDefault="00D0765E" w:rsidP="00A34C8C">
            <w:pPr>
              <w:pStyle w:val="TableCell0"/>
              <w:numPr>
                <w:ilvl w:val="0"/>
                <w:numId w:val="43"/>
              </w:numPr>
              <w:ind w:left="288" w:hanging="288"/>
              <w:rPr>
                <w:sz w:val="16"/>
                <w:szCs w:val="16"/>
              </w:rPr>
            </w:pPr>
            <w:r w:rsidRPr="00FA21D4">
              <w:rPr>
                <w:sz w:val="16"/>
                <w:szCs w:val="16"/>
              </w:rPr>
              <w:t>Risk of uplink (e.g., PUSCH) resource fragmentation. Negative impact on the resource utilization efficiency of the non-RedCap UEs [11, 16, 22, 25, 28]</w:t>
            </w:r>
          </w:p>
          <w:p w14:paraId="46A0E211" w14:textId="77777777" w:rsidR="00D0765E" w:rsidRPr="00FA21D4" w:rsidRDefault="00D0765E" w:rsidP="00A34C8C">
            <w:pPr>
              <w:pStyle w:val="TableCell0"/>
              <w:numPr>
                <w:ilvl w:val="0"/>
                <w:numId w:val="43"/>
              </w:numPr>
              <w:ind w:left="288" w:hanging="288"/>
              <w:rPr>
                <w:sz w:val="16"/>
                <w:szCs w:val="16"/>
              </w:rPr>
            </w:pPr>
            <w:r w:rsidRPr="00FA21D4">
              <w:rPr>
                <w:sz w:val="16"/>
                <w:szCs w:val="16"/>
              </w:rPr>
              <w:t>Has some constraints on frequency hopping and position of BWP if PUSCH resource fragmentation needs to be avoided. [11]</w:t>
            </w:r>
          </w:p>
          <w:p w14:paraId="250D899C" w14:textId="77777777" w:rsidR="00D0765E" w:rsidRPr="00FA21D4" w:rsidRDefault="00D0765E" w:rsidP="00A34C8C">
            <w:pPr>
              <w:pStyle w:val="TableCell0"/>
              <w:numPr>
                <w:ilvl w:val="0"/>
                <w:numId w:val="43"/>
              </w:numPr>
              <w:ind w:left="288" w:hanging="288"/>
              <w:rPr>
                <w:sz w:val="16"/>
                <w:szCs w:val="16"/>
              </w:rPr>
            </w:pPr>
            <w:r w:rsidRPr="00FA21D4">
              <w:rPr>
                <w:sz w:val="16"/>
                <w:szCs w:val="16"/>
              </w:rPr>
              <w:t>How to maintain same centre frequency in the DL BWP and UL BWP in TDD case requires careful study. [17]</w:t>
            </w:r>
          </w:p>
          <w:p w14:paraId="1364DA93" w14:textId="77777777" w:rsidR="00D0765E" w:rsidRPr="00FA21D4" w:rsidRDefault="00D0765E" w:rsidP="00A34C8C">
            <w:pPr>
              <w:pStyle w:val="TableCell0"/>
              <w:numPr>
                <w:ilvl w:val="0"/>
                <w:numId w:val="43"/>
              </w:numPr>
              <w:ind w:left="288" w:hanging="288"/>
              <w:rPr>
                <w:sz w:val="16"/>
                <w:szCs w:val="16"/>
              </w:rPr>
            </w:pPr>
            <w:r w:rsidRPr="00FA21D4">
              <w:rPr>
                <w:sz w:val="16"/>
                <w:szCs w:val="16"/>
              </w:rPr>
              <w:t>Require early identification. [19]</w:t>
            </w:r>
          </w:p>
          <w:p w14:paraId="1F21F606" w14:textId="77777777" w:rsidR="00D0765E" w:rsidRPr="00FA21D4" w:rsidRDefault="00D0765E" w:rsidP="00A34C8C">
            <w:pPr>
              <w:pStyle w:val="TableCell0"/>
              <w:numPr>
                <w:ilvl w:val="0"/>
                <w:numId w:val="43"/>
              </w:numPr>
              <w:ind w:left="288" w:hanging="288"/>
              <w:rPr>
                <w:sz w:val="16"/>
                <w:szCs w:val="16"/>
              </w:rPr>
            </w:pPr>
            <w:r w:rsidRPr="00FA21D4">
              <w:rPr>
                <w:sz w:val="16"/>
                <w:szCs w:val="16"/>
              </w:rPr>
              <w:t>New configuration for SIB is needed. [25, 28]</w:t>
            </w:r>
          </w:p>
          <w:p w14:paraId="74E7F5A1" w14:textId="77777777" w:rsidR="00D0765E" w:rsidRPr="00FA21D4" w:rsidRDefault="00D0765E" w:rsidP="00A34C8C">
            <w:pPr>
              <w:pStyle w:val="TableCell0"/>
              <w:numPr>
                <w:ilvl w:val="0"/>
                <w:numId w:val="43"/>
              </w:numPr>
              <w:ind w:left="288" w:hanging="288"/>
              <w:rPr>
                <w:sz w:val="16"/>
                <w:szCs w:val="16"/>
              </w:rPr>
            </w:pPr>
            <w:r w:rsidRPr="00FA21D4">
              <w:rPr>
                <w:sz w:val="16"/>
                <w:szCs w:val="16"/>
              </w:rPr>
              <w:t>Additional resources for RedCap UEs may be needed. [25]</w:t>
            </w:r>
          </w:p>
        </w:tc>
      </w:tr>
      <w:tr w:rsidR="00D0765E" w:rsidRPr="00FA21D4" w14:paraId="166B8321" w14:textId="77777777" w:rsidTr="00A34C8C">
        <w:tc>
          <w:tcPr>
            <w:tcW w:w="1219" w:type="dxa"/>
          </w:tcPr>
          <w:p w14:paraId="4EB7DCCE" w14:textId="77777777" w:rsidR="00D0765E" w:rsidRPr="00FA21D4" w:rsidRDefault="00D0765E" w:rsidP="00A34C8C">
            <w:pPr>
              <w:pStyle w:val="TableCell0"/>
              <w:rPr>
                <w:sz w:val="16"/>
                <w:szCs w:val="16"/>
              </w:rPr>
            </w:pPr>
            <w:r w:rsidRPr="00FA21D4">
              <w:rPr>
                <w:sz w:val="16"/>
                <w:szCs w:val="16"/>
              </w:rPr>
              <w:t xml:space="preserve">Separate PUCCH/ Msg3/ [MsgA] PUSCH </w:t>
            </w:r>
            <w:r w:rsidRPr="00FA21D4">
              <w:rPr>
                <w:sz w:val="16"/>
                <w:szCs w:val="16"/>
              </w:rPr>
              <w:lastRenderedPageBreak/>
              <w:t>configuration/ indication or a different interpretation for the same configuration/ indication for RedCap (e.g., disabled frequency hopping or different frequency hopping)</w:t>
            </w:r>
          </w:p>
        </w:tc>
        <w:tc>
          <w:tcPr>
            <w:tcW w:w="4065" w:type="dxa"/>
          </w:tcPr>
          <w:p w14:paraId="7E9EBC47" w14:textId="77777777" w:rsidR="00D0765E" w:rsidRPr="00FA21D4" w:rsidRDefault="00D0765E" w:rsidP="00A34C8C">
            <w:pPr>
              <w:pStyle w:val="TableCell0"/>
              <w:numPr>
                <w:ilvl w:val="0"/>
                <w:numId w:val="43"/>
              </w:numPr>
              <w:ind w:left="288" w:hanging="288"/>
              <w:rPr>
                <w:sz w:val="16"/>
                <w:szCs w:val="16"/>
              </w:rPr>
            </w:pPr>
            <w:r w:rsidRPr="00FA21D4">
              <w:rPr>
                <w:sz w:val="16"/>
                <w:szCs w:val="16"/>
              </w:rPr>
              <w:lastRenderedPageBreak/>
              <w:t>Compared to the separate initial UL BWP, it has benefit of reducing signalling overhead. [5]</w:t>
            </w:r>
          </w:p>
          <w:p w14:paraId="2AA9E0C9" w14:textId="77777777" w:rsidR="00D0765E" w:rsidRPr="00FA21D4" w:rsidRDefault="00D0765E" w:rsidP="00A34C8C">
            <w:pPr>
              <w:pStyle w:val="TableCell0"/>
              <w:numPr>
                <w:ilvl w:val="0"/>
                <w:numId w:val="43"/>
              </w:numPr>
              <w:ind w:left="288" w:hanging="288"/>
              <w:rPr>
                <w:sz w:val="16"/>
                <w:szCs w:val="16"/>
              </w:rPr>
            </w:pPr>
            <w:r w:rsidRPr="00FA21D4">
              <w:rPr>
                <w:sz w:val="16"/>
                <w:szCs w:val="16"/>
              </w:rPr>
              <w:t>Low specification impact. Feasible and simple solution. [7, 11, 22]</w:t>
            </w:r>
          </w:p>
          <w:p w14:paraId="52215590" w14:textId="77777777" w:rsidR="00D0765E" w:rsidRPr="00FA21D4" w:rsidRDefault="00D0765E" w:rsidP="00A34C8C">
            <w:pPr>
              <w:pStyle w:val="TableCell0"/>
              <w:numPr>
                <w:ilvl w:val="0"/>
                <w:numId w:val="43"/>
              </w:numPr>
              <w:ind w:left="288" w:hanging="288"/>
              <w:rPr>
                <w:sz w:val="16"/>
                <w:szCs w:val="16"/>
              </w:rPr>
            </w:pPr>
            <w:r w:rsidRPr="00FA21D4">
              <w:rPr>
                <w:sz w:val="16"/>
                <w:szCs w:val="16"/>
              </w:rPr>
              <w:lastRenderedPageBreak/>
              <w:t>Early identification support by dedicated resource configuration. [16]</w:t>
            </w:r>
          </w:p>
          <w:p w14:paraId="63DC4748" w14:textId="77777777" w:rsidR="00D0765E" w:rsidRPr="00FA21D4" w:rsidRDefault="00D0765E" w:rsidP="00A34C8C">
            <w:pPr>
              <w:pStyle w:val="TableCell0"/>
              <w:numPr>
                <w:ilvl w:val="0"/>
                <w:numId w:val="43"/>
              </w:numPr>
              <w:ind w:left="288" w:hanging="288"/>
              <w:rPr>
                <w:sz w:val="16"/>
                <w:szCs w:val="16"/>
              </w:rPr>
            </w:pPr>
            <w:r w:rsidRPr="00FA21D4">
              <w:rPr>
                <w:sz w:val="16"/>
                <w:szCs w:val="16"/>
              </w:rPr>
              <w:t>A new hopping pattern for RedCap UEs: RedCap UEs may have a different hopping pattern (or disabled frequency hopping) such that the frequency span of the hop is within the RedCap BW while they are operating in a larger initial UL BWP. [17, 23]</w:t>
            </w:r>
          </w:p>
          <w:p w14:paraId="14A78A6C" w14:textId="77777777" w:rsidR="00D0765E" w:rsidRPr="00FA21D4" w:rsidRDefault="00D0765E" w:rsidP="00A34C8C">
            <w:pPr>
              <w:pStyle w:val="TableCell0"/>
              <w:numPr>
                <w:ilvl w:val="0"/>
                <w:numId w:val="43"/>
              </w:numPr>
              <w:ind w:left="288" w:hanging="288"/>
              <w:rPr>
                <w:sz w:val="16"/>
                <w:szCs w:val="16"/>
              </w:rPr>
            </w:pPr>
            <w:r w:rsidRPr="00FA21D4">
              <w:rPr>
                <w:sz w:val="16"/>
                <w:szCs w:val="16"/>
              </w:rPr>
              <w:t>Few impacts on RedCap UEs. No/few impact on non-RedCap UEs. [25]</w:t>
            </w:r>
          </w:p>
          <w:p w14:paraId="7A760EF9" w14:textId="77777777" w:rsidR="00D0765E" w:rsidRPr="00FA21D4" w:rsidRDefault="00D0765E" w:rsidP="00A34C8C">
            <w:pPr>
              <w:pStyle w:val="TableCell0"/>
              <w:numPr>
                <w:ilvl w:val="0"/>
                <w:numId w:val="43"/>
              </w:numPr>
              <w:ind w:left="288" w:hanging="288"/>
              <w:rPr>
                <w:sz w:val="16"/>
                <w:szCs w:val="16"/>
              </w:rPr>
            </w:pPr>
            <w:r w:rsidRPr="00FA21D4">
              <w:rPr>
                <w:sz w:val="16"/>
                <w:szCs w:val="16"/>
              </w:rPr>
              <w:t>Flexible configuration; Beneficial for collision handling. [28]</w:t>
            </w:r>
          </w:p>
        </w:tc>
        <w:tc>
          <w:tcPr>
            <w:tcW w:w="4066" w:type="dxa"/>
          </w:tcPr>
          <w:p w14:paraId="1E295A13" w14:textId="77777777" w:rsidR="00D0765E" w:rsidRPr="00FA21D4" w:rsidRDefault="00D0765E" w:rsidP="00A34C8C">
            <w:pPr>
              <w:pStyle w:val="TableCell0"/>
              <w:numPr>
                <w:ilvl w:val="0"/>
                <w:numId w:val="43"/>
              </w:numPr>
              <w:ind w:left="288" w:hanging="288"/>
              <w:rPr>
                <w:sz w:val="16"/>
                <w:szCs w:val="16"/>
              </w:rPr>
            </w:pPr>
            <w:r w:rsidRPr="00FA21D4">
              <w:rPr>
                <w:sz w:val="16"/>
                <w:szCs w:val="16"/>
              </w:rPr>
              <w:lastRenderedPageBreak/>
              <w:t>Sacrifice the UE’s frequency hopping gain. [4]</w:t>
            </w:r>
          </w:p>
          <w:p w14:paraId="337148DE" w14:textId="77777777" w:rsidR="00D0765E" w:rsidRPr="00FA21D4" w:rsidRDefault="00D0765E" w:rsidP="00A34C8C">
            <w:pPr>
              <w:pStyle w:val="TableCell0"/>
              <w:numPr>
                <w:ilvl w:val="0"/>
                <w:numId w:val="43"/>
              </w:numPr>
              <w:ind w:left="288" w:hanging="288"/>
              <w:rPr>
                <w:sz w:val="16"/>
                <w:szCs w:val="16"/>
              </w:rPr>
            </w:pPr>
            <w:r w:rsidRPr="00FA21D4">
              <w:rPr>
                <w:sz w:val="16"/>
                <w:szCs w:val="16"/>
              </w:rPr>
              <w:t>Reduce the resource usage or scheduling flexibility (e.g., frequency hopping should be disabled). May cause more congestions. [5, 6, 11, 25]</w:t>
            </w:r>
          </w:p>
          <w:p w14:paraId="1C054ECF" w14:textId="77777777" w:rsidR="00D0765E" w:rsidRPr="00FA21D4" w:rsidRDefault="00D0765E" w:rsidP="00A34C8C">
            <w:pPr>
              <w:pStyle w:val="TableCell0"/>
              <w:numPr>
                <w:ilvl w:val="0"/>
                <w:numId w:val="43"/>
              </w:numPr>
              <w:ind w:left="288" w:hanging="288"/>
              <w:rPr>
                <w:sz w:val="16"/>
                <w:szCs w:val="16"/>
              </w:rPr>
            </w:pPr>
            <w:r w:rsidRPr="00FA21D4">
              <w:rPr>
                <w:sz w:val="16"/>
                <w:szCs w:val="16"/>
              </w:rPr>
              <w:lastRenderedPageBreak/>
              <w:t>Coexistence with non-RedCap UE needs further study. [7]</w:t>
            </w:r>
          </w:p>
          <w:p w14:paraId="12AD0CBB"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There is still restriction on the bandwidth for resource allocation of Msg3 for normal UEs. [12]</w:t>
            </w:r>
          </w:p>
          <w:p w14:paraId="13CE17E3" w14:textId="77777777" w:rsidR="00D0765E" w:rsidRPr="00FA21D4" w:rsidRDefault="00D0765E" w:rsidP="00A34C8C">
            <w:pPr>
              <w:pStyle w:val="TableCell0"/>
              <w:numPr>
                <w:ilvl w:val="0"/>
                <w:numId w:val="43"/>
              </w:numPr>
              <w:ind w:left="288" w:hanging="288"/>
              <w:rPr>
                <w:sz w:val="16"/>
                <w:szCs w:val="16"/>
              </w:rPr>
            </w:pPr>
            <w:r w:rsidRPr="00FA21D4">
              <w:rPr>
                <w:sz w:val="16"/>
                <w:szCs w:val="16"/>
              </w:rPr>
              <w:t>More specification impacts. [16]</w:t>
            </w:r>
          </w:p>
          <w:p w14:paraId="64770A8C" w14:textId="77777777" w:rsidR="00D0765E" w:rsidRPr="00FA21D4" w:rsidRDefault="00D0765E" w:rsidP="00A34C8C">
            <w:pPr>
              <w:pStyle w:val="TableCell0"/>
              <w:numPr>
                <w:ilvl w:val="0"/>
                <w:numId w:val="43"/>
              </w:numPr>
              <w:ind w:left="288" w:hanging="288"/>
              <w:rPr>
                <w:sz w:val="16"/>
                <w:szCs w:val="16"/>
              </w:rPr>
            </w:pPr>
            <w:r w:rsidRPr="00FA21D4">
              <w:rPr>
                <w:sz w:val="16"/>
                <w:szCs w:val="16"/>
              </w:rPr>
              <w:t>Require early identification. [19]</w:t>
            </w:r>
          </w:p>
          <w:p w14:paraId="45DC87B5" w14:textId="77777777" w:rsidR="00D0765E" w:rsidRPr="00FA21D4" w:rsidRDefault="00D0765E" w:rsidP="00A34C8C">
            <w:pPr>
              <w:pStyle w:val="TableCell0"/>
              <w:numPr>
                <w:ilvl w:val="0"/>
                <w:numId w:val="43"/>
              </w:numPr>
              <w:ind w:left="288" w:hanging="288"/>
              <w:rPr>
                <w:sz w:val="16"/>
                <w:szCs w:val="16"/>
              </w:rPr>
            </w:pPr>
            <w:r w:rsidRPr="00FA21D4">
              <w:rPr>
                <w:sz w:val="16"/>
                <w:szCs w:val="16"/>
              </w:rPr>
              <w:t>Loss in frequency diversity. May cause coverage loss. [22, 23, 32]</w:t>
            </w:r>
          </w:p>
          <w:p w14:paraId="384F0558" w14:textId="77777777" w:rsidR="00D0765E" w:rsidRPr="00FA21D4" w:rsidRDefault="00D0765E" w:rsidP="00A34C8C">
            <w:pPr>
              <w:pStyle w:val="TableCell0"/>
              <w:numPr>
                <w:ilvl w:val="0"/>
                <w:numId w:val="43"/>
              </w:numPr>
              <w:ind w:left="288" w:hanging="288"/>
              <w:rPr>
                <w:sz w:val="16"/>
                <w:szCs w:val="16"/>
              </w:rPr>
            </w:pPr>
            <w:r w:rsidRPr="00FA21D4">
              <w:rPr>
                <w:sz w:val="16"/>
                <w:szCs w:val="16"/>
              </w:rPr>
              <w:t xml:space="preserve">New configuration for SIB is needed. Need additional indication (either implicit or explicit). [25, 28] </w:t>
            </w:r>
          </w:p>
          <w:p w14:paraId="4A8CCB99" w14:textId="77777777" w:rsidR="00D0765E" w:rsidRPr="00FA21D4" w:rsidRDefault="00D0765E" w:rsidP="00A34C8C">
            <w:pPr>
              <w:pStyle w:val="TableCell0"/>
              <w:numPr>
                <w:ilvl w:val="0"/>
                <w:numId w:val="43"/>
              </w:numPr>
              <w:ind w:left="288" w:hanging="288"/>
              <w:rPr>
                <w:sz w:val="16"/>
                <w:szCs w:val="16"/>
              </w:rPr>
            </w:pPr>
            <w:r w:rsidRPr="00FA21D4">
              <w:rPr>
                <w:sz w:val="16"/>
                <w:szCs w:val="16"/>
              </w:rPr>
              <w:t>Fragmentation of PUSCH resources for non-RedCap UEs. [28]</w:t>
            </w:r>
          </w:p>
        </w:tc>
      </w:tr>
      <w:tr w:rsidR="00D0765E" w:rsidRPr="00FA21D4" w14:paraId="58383ED3" w14:textId="77777777" w:rsidTr="00A34C8C">
        <w:tc>
          <w:tcPr>
            <w:tcW w:w="1219" w:type="dxa"/>
          </w:tcPr>
          <w:p w14:paraId="35923499" w14:textId="77777777" w:rsidR="00D0765E" w:rsidRPr="00FA21D4" w:rsidRDefault="00D0765E" w:rsidP="00A34C8C">
            <w:pPr>
              <w:pStyle w:val="TableCell0"/>
              <w:rPr>
                <w:sz w:val="16"/>
                <w:szCs w:val="16"/>
              </w:rPr>
            </w:pPr>
            <w:r w:rsidRPr="00FA21D4">
              <w:rPr>
                <w:sz w:val="16"/>
                <w:szCs w:val="16"/>
              </w:rPr>
              <w:lastRenderedPageBreak/>
              <w:t>gNB configuration (e.g., always restricting the initial UL BWP to within RedCap UE bandwidth, or restrictions on the frequency location and the amount of scheduled resource for Msg4/[MsgB] HARQ feedback and Msg3/[MsgA] PUSCH)</w:t>
            </w:r>
          </w:p>
        </w:tc>
        <w:tc>
          <w:tcPr>
            <w:tcW w:w="4065" w:type="dxa"/>
          </w:tcPr>
          <w:p w14:paraId="44F8A07B"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initial UL BWP for RedCap UE shall be configured within the RedCap UE’s bandwidth. [4]</w:t>
            </w:r>
          </w:p>
          <w:p w14:paraId="113172CA"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most straightforward option. The gNB does not configure initial BWP that is beyond the maximum UE bandwidth. Therefore, this issue will not occur. Minimum specification changes. [6, 8, 11, 25, 28]</w:t>
            </w:r>
          </w:p>
          <w:p w14:paraId="310D7CA3" w14:textId="77777777" w:rsidR="00D0765E" w:rsidRPr="00FA21D4" w:rsidRDefault="00D0765E" w:rsidP="00A34C8C">
            <w:pPr>
              <w:pStyle w:val="TableCell0"/>
              <w:numPr>
                <w:ilvl w:val="0"/>
                <w:numId w:val="43"/>
              </w:numPr>
              <w:ind w:left="288" w:hanging="288"/>
              <w:rPr>
                <w:sz w:val="16"/>
                <w:szCs w:val="16"/>
              </w:rPr>
            </w:pPr>
            <w:r w:rsidRPr="00FA21D4">
              <w:rPr>
                <w:sz w:val="16"/>
                <w:szCs w:val="16"/>
              </w:rPr>
              <w:t>Work for Msg3 PUSCH if frequency hopping is not enabled. [14]</w:t>
            </w:r>
          </w:p>
          <w:p w14:paraId="6D73371A" w14:textId="77777777" w:rsidR="00D0765E" w:rsidRPr="00FA21D4" w:rsidRDefault="00D0765E" w:rsidP="00A34C8C">
            <w:pPr>
              <w:pStyle w:val="TableCell0"/>
              <w:numPr>
                <w:ilvl w:val="0"/>
                <w:numId w:val="43"/>
              </w:numPr>
              <w:ind w:left="288" w:hanging="288"/>
              <w:rPr>
                <w:sz w:val="16"/>
                <w:szCs w:val="16"/>
              </w:rPr>
            </w:pPr>
            <w:r w:rsidRPr="00FA21D4">
              <w:rPr>
                <w:sz w:val="16"/>
                <w:szCs w:val="16"/>
              </w:rPr>
              <w:t>The configuration of initial access for non-RedCap UEs can be reused. [16]</w:t>
            </w:r>
          </w:p>
        </w:tc>
        <w:tc>
          <w:tcPr>
            <w:tcW w:w="4066" w:type="dxa"/>
          </w:tcPr>
          <w:p w14:paraId="7815E1FE" w14:textId="77777777" w:rsidR="00D0765E" w:rsidRPr="00FA21D4" w:rsidRDefault="00D0765E" w:rsidP="00A34C8C">
            <w:pPr>
              <w:pStyle w:val="TableCell0"/>
              <w:numPr>
                <w:ilvl w:val="0"/>
                <w:numId w:val="43"/>
              </w:numPr>
              <w:ind w:left="288" w:hanging="288"/>
              <w:rPr>
                <w:sz w:val="16"/>
                <w:szCs w:val="16"/>
              </w:rPr>
            </w:pPr>
            <w:r w:rsidRPr="00FA21D4">
              <w:rPr>
                <w:sz w:val="16"/>
                <w:szCs w:val="16"/>
              </w:rPr>
              <w:t>Impact on the non-RedCap UE. [5, 11, 12, 14, 16, 17, 19, 23, 25, 32]</w:t>
            </w:r>
          </w:p>
          <w:p w14:paraId="7A8BCFB8" w14:textId="77777777" w:rsidR="00D0765E" w:rsidRPr="00FA21D4" w:rsidRDefault="00D0765E" w:rsidP="00A34C8C">
            <w:pPr>
              <w:pStyle w:val="TableCell0"/>
              <w:numPr>
                <w:ilvl w:val="0"/>
                <w:numId w:val="43"/>
              </w:numPr>
              <w:ind w:left="288" w:hanging="288"/>
              <w:rPr>
                <w:sz w:val="16"/>
                <w:szCs w:val="16"/>
              </w:rPr>
            </w:pPr>
            <w:r w:rsidRPr="00FA21D4">
              <w:rPr>
                <w:sz w:val="16"/>
                <w:szCs w:val="16"/>
              </w:rPr>
              <w:t>Although no PUSCH resource fragmentation within the BWP, there might be fragmentation over the entire carrier bandwidth. [11]</w:t>
            </w:r>
          </w:p>
          <w:p w14:paraId="60ACCF30" w14:textId="77777777" w:rsidR="00D0765E" w:rsidRPr="00FA21D4" w:rsidRDefault="00D0765E" w:rsidP="00A34C8C">
            <w:pPr>
              <w:pStyle w:val="TableCell0"/>
              <w:numPr>
                <w:ilvl w:val="0"/>
                <w:numId w:val="43"/>
              </w:numPr>
              <w:ind w:left="288" w:hanging="288"/>
              <w:rPr>
                <w:sz w:val="16"/>
                <w:szCs w:val="16"/>
              </w:rPr>
            </w:pPr>
            <w:r w:rsidRPr="00FA21D4">
              <w:rPr>
                <w:sz w:val="16"/>
                <w:szCs w:val="16"/>
              </w:rPr>
              <w:t>gNB configuration and proper scheduling can provide a certain degree of assistants, but not all. [15]</w:t>
            </w:r>
          </w:p>
          <w:p w14:paraId="60953C54" w14:textId="77777777" w:rsidR="00D0765E" w:rsidRPr="00FA21D4" w:rsidRDefault="00D0765E" w:rsidP="00A34C8C">
            <w:pPr>
              <w:pStyle w:val="TableCell0"/>
              <w:numPr>
                <w:ilvl w:val="0"/>
                <w:numId w:val="43"/>
              </w:numPr>
              <w:ind w:left="288" w:hanging="288"/>
              <w:rPr>
                <w:sz w:val="16"/>
                <w:szCs w:val="16"/>
              </w:rPr>
            </w:pPr>
            <w:r w:rsidRPr="00FA21D4">
              <w:rPr>
                <w:sz w:val="16"/>
                <w:szCs w:val="16"/>
              </w:rPr>
              <w:t>Require early identification. [19]</w:t>
            </w:r>
          </w:p>
        </w:tc>
      </w:tr>
    </w:tbl>
    <w:p w14:paraId="00CF1C78" w14:textId="77777777" w:rsidR="00D0765E" w:rsidRPr="00FA21D4" w:rsidRDefault="00D0765E" w:rsidP="00D0765E"/>
    <w:p w14:paraId="6D8756A3" w14:textId="77777777" w:rsidR="001A2127" w:rsidRPr="0053647E" w:rsidRDefault="001A2127" w:rsidP="002F718C">
      <w:pPr>
        <w:rPr>
          <w:lang w:eastAsia="zh-CN"/>
        </w:rPr>
      </w:pPr>
    </w:p>
    <w:sectPr w:rsidR="001A2127" w:rsidRPr="005364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0F40" w14:textId="77777777" w:rsidR="0087003E" w:rsidRDefault="0087003E">
      <w:r>
        <w:separator/>
      </w:r>
    </w:p>
  </w:endnote>
  <w:endnote w:type="continuationSeparator" w:id="0">
    <w:p w14:paraId="19B1BDF6" w14:textId="77777777" w:rsidR="0087003E" w:rsidRDefault="0087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F2F95" w14:textId="77777777" w:rsidR="0087003E" w:rsidRDefault="0087003E">
      <w:r>
        <w:separator/>
      </w:r>
    </w:p>
  </w:footnote>
  <w:footnote w:type="continuationSeparator" w:id="0">
    <w:p w14:paraId="49FDE256" w14:textId="77777777" w:rsidR="0087003E" w:rsidRDefault="00870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13C2C"/>
    <w:multiLevelType w:val="hybridMultilevel"/>
    <w:tmpl w:val="746CB63C"/>
    <w:lvl w:ilvl="0" w:tplc="762AC9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5253E"/>
    <w:multiLevelType w:val="hybridMultilevel"/>
    <w:tmpl w:val="8DEC1DBA"/>
    <w:lvl w:ilvl="0" w:tplc="9B18760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92035A"/>
    <w:multiLevelType w:val="hybridMultilevel"/>
    <w:tmpl w:val="B5C608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A5D83"/>
    <w:multiLevelType w:val="hybridMultilevel"/>
    <w:tmpl w:val="8D9AB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431B0"/>
    <w:multiLevelType w:val="hybridMultilevel"/>
    <w:tmpl w:val="2AAEA614"/>
    <w:lvl w:ilvl="0" w:tplc="229AD72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36495FEC"/>
    <w:multiLevelType w:val="hybridMultilevel"/>
    <w:tmpl w:val="FEAC9798"/>
    <w:lvl w:ilvl="0" w:tplc="503EB8FA">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A24DFC"/>
    <w:multiLevelType w:val="hybridMultilevel"/>
    <w:tmpl w:val="2A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F01392D"/>
    <w:multiLevelType w:val="hybridMultilevel"/>
    <w:tmpl w:val="8A54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9B68AE"/>
    <w:multiLevelType w:val="hybridMultilevel"/>
    <w:tmpl w:val="86421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32"/>
  </w:num>
  <w:num w:numId="4">
    <w:abstractNumId w:val="38"/>
  </w:num>
  <w:num w:numId="5">
    <w:abstractNumId w:val="22"/>
  </w:num>
  <w:num w:numId="6">
    <w:abstractNumId w:val="8"/>
  </w:num>
  <w:num w:numId="7">
    <w:abstractNumId w:val="9"/>
  </w:num>
  <w:num w:numId="8">
    <w:abstractNumId w:val="29"/>
  </w:num>
  <w:num w:numId="9">
    <w:abstractNumId w:val="28"/>
  </w:num>
  <w:num w:numId="10">
    <w:abstractNumId w:val="2"/>
  </w:num>
  <w:num w:numId="11">
    <w:abstractNumId w:val="26"/>
  </w:num>
  <w:num w:numId="12">
    <w:abstractNumId w:val="3"/>
  </w:num>
  <w:num w:numId="13">
    <w:abstractNumId w:val="0"/>
  </w:num>
  <w:num w:numId="14">
    <w:abstractNumId w:val="24"/>
  </w:num>
  <w:num w:numId="15">
    <w:abstractNumId w:val="14"/>
  </w:num>
  <w:num w:numId="16">
    <w:abstractNumId w:val="30"/>
  </w:num>
  <w:num w:numId="17">
    <w:abstractNumId w:val="39"/>
  </w:num>
  <w:num w:numId="18">
    <w:abstractNumId w:val="12"/>
  </w:num>
  <w:num w:numId="19">
    <w:abstractNumId w:val="1"/>
  </w:num>
  <w:num w:numId="20">
    <w:abstractNumId w:val="35"/>
  </w:num>
  <w:num w:numId="21">
    <w:abstractNumId w:val="20"/>
  </w:num>
  <w:num w:numId="22">
    <w:abstractNumId w:val="1"/>
  </w:num>
  <w:num w:numId="23">
    <w:abstractNumId w:val="16"/>
  </w:num>
  <w:num w:numId="24">
    <w:abstractNumId w:val="18"/>
  </w:num>
  <w:num w:numId="25">
    <w:abstractNumId w:val="27"/>
  </w:num>
  <w:num w:numId="26">
    <w:abstractNumId w:val="33"/>
  </w:num>
  <w:num w:numId="27">
    <w:abstractNumId w:val="41"/>
  </w:num>
  <w:num w:numId="28">
    <w:abstractNumId w:val="25"/>
  </w:num>
  <w:num w:numId="29">
    <w:abstractNumId w:val="36"/>
  </w:num>
  <w:num w:numId="30">
    <w:abstractNumId w:val="15"/>
  </w:num>
  <w:num w:numId="31">
    <w:abstractNumId w:val="40"/>
  </w:num>
  <w:num w:numId="32">
    <w:abstractNumId w:val="6"/>
  </w:num>
  <w:num w:numId="33">
    <w:abstractNumId w:val="42"/>
  </w:num>
  <w:num w:numId="34">
    <w:abstractNumId w:val="4"/>
  </w:num>
  <w:num w:numId="35">
    <w:abstractNumId w:val="31"/>
  </w:num>
  <w:num w:numId="36">
    <w:abstractNumId w:val="7"/>
  </w:num>
  <w:num w:numId="37">
    <w:abstractNumId w:val="37"/>
  </w:num>
  <w:num w:numId="38">
    <w:abstractNumId w:val="10"/>
  </w:num>
  <w:num w:numId="39">
    <w:abstractNumId w:val="13"/>
  </w:num>
  <w:num w:numId="40">
    <w:abstractNumId w:val="23"/>
  </w:num>
  <w:num w:numId="41">
    <w:abstractNumId w:val="19"/>
  </w:num>
  <w:num w:numId="42">
    <w:abstractNumId w:val="34"/>
  </w:num>
  <w:num w:numId="43">
    <w:abstractNumId w:val="11"/>
  </w:num>
  <w:num w:numId="44">
    <w:abstractNumId w:val="5"/>
  </w:num>
  <w:num w:numId="45">
    <w:abstractNumId w:val="17"/>
  </w:num>
  <w:num w:numId="4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BEE"/>
    <w:rsid w:val="00027C82"/>
    <w:rsid w:val="0003024C"/>
    <w:rsid w:val="00030533"/>
    <w:rsid w:val="0003083D"/>
    <w:rsid w:val="0003095F"/>
    <w:rsid w:val="00031ADB"/>
    <w:rsid w:val="00032056"/>
    <w:rsid w:val="000328CA"/>
    <w:rsid w:val="00032E40"/>
    <w:rsid w:val="0003376B"/>
    <w:rsid w:val="000344E1"/>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D7"/>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7913"/>
    <w:rsid w:val="00087F03"/>
    <w:rsid w:val="00087FD5"/>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21"/>
    <w:rsid w:val="000A1441"/>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C8"/>
    <w:rsid w:val="000D36AE"/>
    <w:rsid w:val="000D38A1"/>
    <w:rsid w:val="000D3C4B"/>
    <w:rsid w:val="000D4211"/>
    <w:rsid w:val="000D4B26"/>
    <w:rsid w:val="000D4C4E"/>
    <w:rsid w:val="000D502B"/>
    <w:rsid w:val="000D5077"/>
    <w:rsid w:val="000D51C3"/>
    <w:rsid w:val="000D5362"/>
    <w:rsid w:val="000D57F8"/>
    <w:rsid w:val="000D5851"/>
    <w:rsid w:val="000D5C60"/>
    <w:rsid w:val="000D694B"/>
    <w:rsid w:val="000D715A"/>
    <w:rsid w:val="000D71E2"/>
    <w:rsid w:val="000D73A5"/>
    <w:rsid w:val="000D78F4"/>
    <w:rsid w:val="000E025B"/>
    <w:rsid w:val="000E07D6"/>
    <w:rsid w:val="000E0D7C"/>
    <w:rsid w:val="000E12C1"/>
    <w:rsid w:val="000E1380"/>
    <w:rsid w:val="000E18DF"/>
    <w:rsid w:val="000E1A27"/>
    <w:rsid w:val="000E1CC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17CC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0D2"/>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3FED"/>
    <w:rsid w:val="00134184"/>
    <w:rsid w:val="00134B88"/>
    <w:rsid w:val="00135A01"/>
    <w:rsid w:val="0013636C"/>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9E0"/>
    <w:rsid w:val="00144D8F"/>
    <w:rsid w:val="00144DCF"/>
    <w:rsid w:val="001453EC"/>
    <w:rsid w:val="00145C74"/>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127"/>
    <w:rsid w:val="001A23CE"/>
    <w:rsid w:val="001A2C89"/>
    <w:rsid w:val="001A3BB2"/>
    <w:rsid w:val="001A488C"/>
    <w:rsid w:val="001A4965"/>
    <w:rsid w:val="001A4D5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56E"/>
    <w:rsid w:val="001B463A"/>
    <w:rsid w:val="001B466C"/>
    <w:rsid w:val="001B4E6D"/>
    <w:rsid w:val="001B4F34"/>
    <w:rsid w:val="001B52EC"/>
    <w:rsid w:val="001B554A"/>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946"/>
    <w:rsid w:val="001C3EE9"/>
    <w:rsid w:val="001C3FA4"/>
    <w:rsid w:val="001C3FAF"/>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BF1"/>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2C6"/>
    <w:rsid w:val="0022565B"/>
    <w:rsid w:val="00225905"/>
    <w:rsid w:val="00225A6A"/>
    <w:rsid w:val="00225AC7"/>
    <w:rsid w:val="00225ACC"/>
    <w:rsid w:val="00225DE1"/>
    <w:rsid w:val="0022780F"/>
    <w:rsid w:val="00227DBD"/>
    <w:rsid w:val="00230F88"/>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CE1"/>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CAB"/>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77A83"/>
    <w:rsid w:val="00280AB1"/>
    <w:rsid w:val="002811A6"/>
    <w:rsid w:val="00281274"/>
    <w:rsid w:val="00281730"/>
    <w:rsid w:val="002822B5"/>
    <w:rsid w:val="00282A9D"/>
    <w:rsid w:val="0028344F"/>
    <w:rsid w:val="00283571"/>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A7D"/>
    <w:rsid w:val="002B0BC8"/>
    <w:rsid w:val="002B1A69"/>
    <w:rsid w:val="002B1BD3"/>
    <w:rsid w:val="002B1F96"/>
    <w:rsid w:val="002B20D7"/>
    <w:rsid w:val="002B2141"/>
    <w:rsid w:val="002B2723"/>
    <w:rsid w:val="002B2778"/>
    <w:rsid w:val="002B2DBC"/>
    <w:rsid w:val="002B2E4A"/>
    <w:rsid w:val="002B303A"/>
    <w:rsid w:val="002B3066"/>
    <w:rsid w:val="002B41ED"/>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421"/>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3E5"/>
    <w:rsid w:val="00314A18"/>
    <w:rsid w:val="00316DFF"/>
    <w:rsid w:val="003178DA"/>
    <w:rsid w:val="00317DB8"/>
    <w:rsid w:val="00317E6F"/>
    <w:rsid w:val="00320085"/>
    <w:rsid w:val="003203AC"/>
    <w:rsid w:val="00320618"/>
    <w:rsid w:val="00320F61"/>
    <w:rsid w:val="0032100B"/>
    <w:rsid w:val="003210C4"/>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9B8"/>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4A93"/>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9C8"/>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5FD7"/>
    <w:rsid w:val="003B63A4"/>
    <w:rsid w:val="003B68FE"/>
    <w:rsid w:val="003B6D7D"/>
    <w:rsid w:val="003B7D7E"/>
    <w:rsid w:val="003C04B9"/>
    <w:rsid w:val="003C1012"/>
    <w:rsid w:val="003C11C9"/>
    <w:rsid w:val="003C1229"/>
    <w:rsid w:val="003C149B"/>
    <w:rsid w:val="003C1FD4"/>
    <w:rsid w:val="003C213D"/>
    <w:rsid w:val="003C243C"/>
    <w:rsid w:val="003C25AD"/>
    <w:rsid w:val="003C291D"/>
    <w:rsid w:val="003C298B"/>
    <w:rsid w:val="003C2B3A"/>
    <w:rsid w:val="003C2D21"/>
    <w:rsid w:val="003C3559"/>
    <w:rsid w:val="003C4135"/>
    <w:rsid w:val="003C4503"/>
    <w:rsid w:val="003C52AA"/>
    <w:rsid w:val="003C56F7"/>
    <w:rsid w:val="003C5E58"/>
    <w:rsid w:val="003C5E6B"/>
    <w:rsid w:val="003C5ED6"/>
    <w:rsid w:val="003C645E"/>
    <w:rsid w:val="003C652F"/>
    <w:rsid w:val="003C6B63"/>
    <w:rsid w:val="003C6B81"/>
    <w:rsid w:val="003C7AD7"/>
    <w:rsid w:val="003D0936"/>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3F796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A69"/>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5D9"/>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517A"/>
    <w:rsid w:val="004F52B6"/>
    <w:rsid w:val="004F5479"/>
    <w:rsid w:val="004F5EEE"/>
    <w:rsid w:val="004F6C73"/>
    <w:rsid w:val="004F7289"/>
    <w:rsid w:val="004F7528"/>
    <w:rsid w:val="004F7BCA"/>
    <w:rsid w:val="004F7D89"/>
    <w:rsid w:val="0050060A"/>
    <w:rsid w:val="00501981"/>
    <w:rsid w:val="00501A85"/>
    <w:rsid w:val="00501BB3"/>
    <w:rsid w:val="005021DD"/>
    <w:rsid w:val="005026CA"/>
    <w:rsid w:val="00502ACF"/>
    <w:rsid w:val="00502B72"/>
    <w:rsid w:val="00502D50"/>
    <w:rsid w:val="00502FB1"/>
    <w:rsid w:val="0050376D"/>
    <w:rsid w:val="005037CB"/>
    <w:rsid w:val="00504009"/>
    <w:rsid w:val="00504BC1"/>
    <w:rsid w:val="00504D67"/>
    <w:rsid w:val="00505134"/>
    <w:rsid w:val="005056C9"/>
    <w:rsid w:val="00505C04"/>
    <w:rsid w:val="005062B1"/>
    <w:rsid w:val="00506853"/>
    <w:rsid w:val="00506CF3"/>
    <w:rsid w:val="005076EC"/>
    <w:rsid w:val="005109C3"/>
    <w:rsid w:val="00511277"/>
    <w:rsid w:val="005114B7"/>
    <w:rsid w:val="005118E5"/>
    <w:rsid w:val="00511F15"/>
    <w:rsid w:val="0051318C"/>
    <w:rsid w:val="0051344E"/>
    <w:rsid w:val="005140F5"/>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371E"/>
    <w:rsid w:val="00524204"/>
    <w:rsid w:val="00524489"/>
    <w:rsid w:val="00524545"/>
    <w:rsid w:val="00524937"/>
    <w:rsid w:val="005255BF"/>
    <w:rsid w:val="005257DE"/>
    <w:rsid w:val="00525CCD"/>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47E"/>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A63"/>
    <w:rsid w:val="00590DA6"/>
    <w:rsid w:val="00590FF4"/>
    <w:rsid w:val="005910E3"/>
    <w:rsid w:val="00591C7D"/>
    <w:rsid w:val="0059239D"/>
    <w:rsid w:val="00592A47"/>
    <w:rsid w:val="00592B03"/>
    <w:rsid w:val="005935FD"/>
    <w:rsid w:val="00593AB9"/>
    <w:rsid w:val="0059491C"/>
    <w:rsid w:val="005949A6"/>
    <w:rsid w:val="00594ABB"/>
    <w:rsid w:val="00594BCB"/>
    <w:rsid w:val="00594D1C"/>
    <w:rsid w:val="00594E36"/>
    <w:rsid w:val="00594F0A"/>
    <w:rsid w:val="00595255"/>
    <w:rsid w:val="0059525E"/>
    <w:rsid w:val="00595887"/>
    <w:rsid w:val="00596123"/>
    <w:rsid w:val="005961F7"/>
    <w:rsid w:val="005962AD"/>
    <w:rsid w:val="005964BE"/>
    <w:rsid w:val="00596504"/>
    <w:rsid w:val="00596B9C"/>
    <w:rsid w:val="00597442"/>
    <w:rsid w:val="005979A9"/>
    <w:rsid w:val="005A033B"/>
    <w:rsid w:val="005A04BA"/>
    <w:rsid w:val="005A054D"/>
    <w:rsid w:val="005A0A46"/>
    <w:rsid w:val="005A10B9"/>
    <w:rsid w:val="005A11EA"/>
    <w:rsid w:val="005A1BF0"/>
    <w:rsid w:val="005A1DB7"/>
    <w:rsid w:val="005A269F"/>
    <w:rsid w:val="005A305E"/>
    <w:rsid w:val="005A30BB"/>
    <w:rsid w:val="005A3887"/>
    <w:rsid w:val="005A3E23"/>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34E"/>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00B"/>
    <w:rsid w:val="005C5967"/>
    <w:rsid w:val="005C5CCE"/>
    <w:rsid w:val="005C658D"/>
    <w:rsid w:val="005C67E4"/>
    <w:rsid w:val="005C6C52"/>
    <w:rsid w:val="005C6E4A"/>
    <w:rsid w:val="005C712D"/>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B3F"/>
    <w:rsid w:val="005E1FBC"/>
    <w:rsid w:val="005E234A"/>
    <w:rsid w:val="005E2867"/>
    <w:rsid w:val="005E35CC"/>
    <w:rsid w:val="005E371E"/>
    <w:rsid w:val="005E3A43"/>
    <w:rsid w:val="005E4140"/>
    <w:rsid w:val="005E53F9"/>
    <w:rsid w:val="005E5BB6"/>
    <w:rsid w:val="005E5E9E"/>
    <w:rsid w:val="005E705C"/>
    <w:rsid w:val="005E7614"/>
    <w:rsid w:val="005E775D"/>
    <w:rsid w:val="005F0551"/>
    <w:rsid w:val="005F0A43"/>
    <w:rsid w:val="005F0E91"/>
    <w:rsid w:val="005F1498"/>
    <w:rsid w:val="005F18FC"/>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1C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717"/>
    <w:rsid w:val="00610D72"/>
    <w:rsid w:val="006130F7"/>
    <w:rsid w:val="00613AF8"/>
    <w:rsid w:val="00613D8E"/>
    <w:rsid w:val="006142E0"/>
    <w:rsid w:val="0061444B"/>
    <w:rsid w:val="00614454"/>
    <w:rsid w:val="00616112"/>
    <w:rsid w:val="00616375"/>
    <w:rsid w:val="00616768"/>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174"/>
    <w:rsid w:val="00624211"/>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47B"/>
    <w:rsid w:val="0063793A"/>
    <w:rsid w:val="00637C5D"/>
    <w:rsid w:val="00641457"/>
    <w:rsid w:val="006425F7"/>
    <w:rsid w:val="00643607"/>
    <w:rsid w:val="00643660"/>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600E"/>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4FA"/>
    <w:rsid w:val="00697733"/>
    <w:rsid w:val="006A112B"/>
    <w:rsid w:val="006A126B"/>
    <w:rsid w:val="006A139F"/>
    <w:rsid w:val="006A254E"/>
    <w:rsid w:val="006A285F"/>
    <w:rsid w:val="006A2B68"/>
    <w:rsid w:val="006A2C30"/>
    <w:rsid w:val="006A301C"/>
    <w:rsid w:val="006A307F"/>
    <w:rsid w:val="006A36DB"/>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2C1"/>
    <w:rsid w:val="006D6450"/>
    <w:rsid w:val="006D6939"/>
    <w:rsid w:val="006D6B77"/>
    <w:rsid w:val="006D6F42"/>
    <w:rsid w:val="006D75A1"/>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09A2"/>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3EC"/>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9CB"/>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852"/>
    <w:rsid w:val="007329EF"/>
    <w:rsid w:val="0073327A"/>
    <w:rsid w:val="00733E84"/>
    <w:rsid w:val="00734539"/>
    <w:rsid w:val="007347A5"/>
    <w:rsid w:val="00734EBE"/>
    <w:rsid w:val="00734F68"/>
    <w:rsid w:val="00735549"/>
    <w:rsid w:val="00735CC8"/>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6C6"/>
    <w:rsid w:val="00761A5B"/>
    <w:rsid w:val="00761FDA"/>
    <w:rsid w:val="007620E8"/>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DC1"/>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1F3"/>
    <w:rsid w:val="007B44D9"/>
    <w:rsid w:val="007B4E18"/>
    <w:rsid w:val="007B5018"/>
    <w:rsid w:val="007B52CD"/>
    <w:rsid w:val="007B6A88"/>
    <w:rsid w:val="007B74F9"/>
    <w:rsid w:val="007B774F"/>
    <w:rsid w:val="007B7DC1"/>
    <w:rsid w:val="007B7EDB"/>
    <w:rsid w:val="007C015D"/>
    <w:rsid w:val="007C0718"/>
    <w:rsid w:val="007C0A02"/>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AD"/>
    <w:rsid w:val="007C70BF"/>
    <w:rsid w:val="007C7BB9"/>
    <w:rsid w:val="007C7ECA"/>
    <w:rsid w:val="007D01D9"/>
    <w:rsid w:val="007D0BB4"/>
    <w:rsid w:val="007D1C9B"/>
    <w:rsid w:val="007D229A"/>
    <w:rsid w:val="007D26F2"/>
    <w:rsid w:val="007D2A8D"/>
    <w:rsid w:val="007D2F44"/>
    <w:rsid w:val="007D2F4D"/>
    <w:rsid w:val="007D3C97"/>
    <w:rsid w:val="007D4178"/>
    <w:rsid w:val="007D4C5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504"/>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3A4"/>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B"/>
    <w:rsid w:val="00832F5C"/>
    <w:rsid w:val="00833E76"/>
    <w:rsid w:val="00834046"/>
    <w:rsid w:val="00834489"/>
    <w:rsid w:val="00834A34"/>
    <w:rsid w:val="00834DE6"/>
    <w:rsid w:val="00834ECD"/>
    <w:rsid w:val="008359E0"/>
    <w:rsid w:val="008365B1"/>
    <w:rsid w:val="0083689A"/>
    <w:rsid w:val="008376F6"/>
    <w:rsid w:val="00837D5B"/>
    <w:rsid w:val="00837E96"/>
    <w:rsid w:val="008401DE"/>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196E"/>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4D9"/>
    <w:rsid w:val="00882B01"/>
    <w:rsid w:val="00882C12"/>
    <w:rsid w:val="008833E8"/>
    <w:rsid w:val="00885457"/>
    <w:rsid w:val="00886333"/>
    <w:rsid w:val="008865C8"/>
    <w:rsid w:val="00886E7E"/>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2FE"/>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62"/>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16F2A"/>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1BEB"/>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1E23"/>
    <w:rsid w:val="00952253"/>
    <w:rsid w:val="0095380C"/>
    <w:rsid w:val="009540C0"/>
    <w:rsid w:val="00954353"/>
    <w:rsid w:val="00955C0A"/>
    <w:rsid w:val="00955C4F"/>
    <w:rsid w:val="00956109"/>
    <w:rsid w:val="00956861"/>
    <w:rsid w:val="009575AA"/>
    <w:rsid w:val="00957945"/>
    <w:rsid w:val="00960980"/>
    <w:rsid w:val="00960CE7"/>
    <w:rsid w:val="009610FE"/>
    <w:rsid w:val="00961262"/>
    <w:rsid w:val="00961A13"/>
    <w:rsid w:val="0096229D"/>
    <w:rsid w:val="00962EB2"/>
    <w:rsid w:val="00962F6F"/>
    <w:rsid w:val="00963B86"/>
    <w:rsid w:val="00964777"/>
    <w:rsid w:val="009657F1"/>
    <w:rsid w:val="00965C8A"/>
    <w:rsid w:val="0096625D"/>
    <w:rsid w:val="0096648B"/>
    <w:rsid w:val="009664F5"/>
    <w:rsid w:val="00966D6F"/>
    <w:rsid w:val="009677F0"/>
    <w:rsid w:val="00967E37"/>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DEC"/>
    <w:rsid w:val="009B1EF9"/>
    <w:rsid w:val="009B24E0"/>
    <w:rsid w:val="009B262F"/>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B7E83"/>
    <w:rsid w:val="009C0074"/>
    <w:rsid w:val="009C0564"/>
    <w:rsid w:val="009C0E42"/>
    <w:rsid w:val="009C0F04"/>
    <w:rsid w:val="009C1096"/>
    <w:rsid w:val="009C17DA"/>
    <w:rsid w:val="009C1DA0"/>
    <w:rsid w:val="009C2685"/>
    <w:rsid w:val="009C2CE0"/>
    <w:rsid w:val="009C33D7"/>
    <w:rsid w:val="009C37ED"/>
    <w:rsid w:val="009C39BC"/>
    <w:rsid w:val="009C3A66"/>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2A63"/>
    <w:rsid w:val="00A33172"/>
    <w:rsid w:val="00A3358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40C79"/>
    <w:rsid w:val="00A41278"/>
    <w:rsid w:val="00A41B09"/>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C95"/>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860"/>
    <w:rsid w:val="00AD4D2A"/>
    <w:rsid w:val="00AD542F"/>
    <w:rsid w:val="00AD5FBE"/>
    <w:rsid w:val="00AD6141"/>
    <w:rsid w:val="00AD6598"/>
    <w:rsid w:val="00AD6795"/>
    <w:rsid w:val="00AD7305"/>
    <w:rsid w:val="00AD75B2"/>
    <w:rsid w:val="00AD7D6C"/>
    <w:rsid w:val="00AD7E09"/>
    <w:rsid w:val="00AD7E64"/>
    <w:rsid w:val="00AE0206"/>
    <w:rsid w:val="00AE0A8C"/>
    <w:rsid w:val="00AE0C56"/>
    <w:rsid w:val="00AE10E1"/>
    <w:rsid w:val="00AE141B"/>
    <w:rsid w:val="00AE149E"/>
    <w:rsid w:val="00AE1A1D"/>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0F0D"/>
    <w:rsid w:val="00AF1528"/>
    <w:rsid w:val="00AF1C6C"/>
    <w:rsid w:val="00AF2148"/>
    <w:rsid w:val="00AF25D5"/>
    <w:rsid w:val="00AF26F1"/>
    <w:rsid w:val="00AF2AFC"/>
    <w:rsid w:val="00AF3457"/>
    <w:rsid w:val="00AF3563"/>
    <w:rsid w:val="00AF3DBB"/>
    <w:rsid w:val="00AF4394"/>
    <w:rsid w:val="00AF4B8D"/>
    <w:rsid w:val="00AF4FF7"/>
    <w:rsid w:val="00AF5021"/>
    <w:rsid w:val="00AF5194"/>
    <w:rsid w:val="00AF53EF"/>
    <w:rsid w:val="00AF54B9"/>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58C"/>
    <w:rsid w:val="00B25762"/>
    <w:rsid w:val="00B25981"/>
    <w:rsid w:val="00B25B40"/>
    <w:rsid w:val="00B25FDE"/>
    <w:rsid w:val="00B26AB0"/>
    <w:rsid w:val="00B26AD2"/>
    <w:rsid w:val="00B26CA2"/>
    <w:rsid w:val="00B27086"/>
    <w:rsid w:val="00B2746D"/>
    <w:rsid w:val="00B27947"/>
    <w:rsid w:val="00B30181"/>
    <w:rsid w:val="00B30B44"/>
    <w:rsid w:val="00B30B4E"/>
    <w:rsid w:val="00B31246"/>
    <w:rsid w:val="00B315E3"/>
    <w:rsid w:val="00B319C7"/>
    <w:rsid w:val="00B31D6D"/>
    <w:rsid w:val="00B32347"/>
    <w:rsid w:val="00B326FF"/>
    <w:rsid w:val="00B32864"/>
    <w:rsid w:val="00B32EAB"/>
    <w:rsid w:val="00B3378D"/>
    <w:rsid w:val="00B33CEE"/>
    <w:rsid w:val="00B340AA"/>
    <w:rsid w:val="00B3455B"/>
    <w:rsid w:val="00B34A9F"/>
    <w:rsid w:val="00B34B80"/>
    <w:rsid w:val="00B3501B"/>
    <w:rsid w:val="00B351DF"/>
    <w:rsid w:val="00B35CDA"/>
    <w:rsid w:val="00B3690B"/>
    <w:rsid w:val="00B37039"/>
    <w:rsid w:val="00B372F2"/>
    <w:rsid w:val="00B37D97"/>
    <w:rsid w:val="00B4050D"/>
    <w:rsid w:val="00B40BC3"/>
    <w:rsid w:val="00B411BD"/>
    <w:rsid w:val="00B41559"/>
    <w:rsid w:val="00B418E8"/>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E08"/>
    <w:rsid w:val="00B70F4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C0F"/>
    <w:rsid w:val="00BD0F02"/>
    <w:rsid w:val="00BD16CA"/>
    <w:rsid w:val="00BD28AA"/>
    <w:rsid w:val="00BD2F3B"/>
    <w:rsid w:val="00BD3038"/>
    <w:rsid w:val="00BD3372"/>
    <w:rsid w:val="00BD4708"/>
    <w:rsid w:val="00BD50AA"/>
    <w:rsid w:val="00BD5135"/>
    <w:rsid w:val="00BD596B"/>
    <w:rsid w:val="00BD5F7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0C1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385A"/>
    <w:rsid w:val="00C3400F"/>
    <w:rsid w:val="00C344A0"/>
    <w:rsid w:val="00C34B64"/>
    <w:rsid w:val="00C34C36"/>
    <w:rsid w:val="00C352B3"/>
    <w:rsid w:val="00C3654C"/>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76F"/>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5178"/>
    <w:rsid w:val="00C55751"/>
    <w:rsid w:val="00C55832"/>
    <w:rsid w:val="00C55E7C"/>
    <w:rsid w:val="00C5615F"/>
    <w:rsid w:val="00C563F5"/>
    <w:rsid w:val="00C5675D"/>
    <w:rsid w:val="00C56DDA"/>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233"/>
    <w:rsid w:val="00C91DE3"/>
    <w:rsid w:val="00C92C7F"/>
    <w:rsid w:val="00C9369D"/>
    <w:rsid w:val="00C9383D"/>
    <w:rsid w:val="00C944FA"/>
    <w:rsid w:val="00C95854"/>
    <w:rsid w:val="00C959FD"/>
    <w:rsid w:val="00C95D24"/>
    <w:rsid w:val="00C95EFF"/>
    <w:rsid w:val="00C9661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A7C89"/>
    <w:rsid w:val="00CB008E"/>
    <w:rsid w:val="00CB01ED"/>
    <w:rsid w:val="00CB01FA"/>
    <w:rsid w:val="00CB0737"/>
    <w:rsid w:val="00CB095A"/>
    <w:rsid w:val="00CB097A"/>
    <w:rsid w:val="00CB0E3E"/>
    <w:rsid w:val="00CB1BF3"/>
    <w:rsid w:val="00CB24A2"/>
    <w:rsid w:val="00CB26EC"/>
    <w:rsid w:val="00CB2881"/>
    <w:rsid w:val="00CB2D2A"/>
    <w:rsid w:val="00CB3808"/>
    <w:rsid w:val="00CB4793"/>
    <w:rsid w:val="00CB514C"/>
    <w:rsid w:val="00CB54A6"/>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671D"/>
    <w:rsid w:val="00CC70D9"/>
    <w:rsid w:val="00CC737C"/>
    <w:rsid w:val="00CC737E"/>
    <w:rsid w:val="00CD0643"/>
    <w:rsid w:val="00CD087D"/>
    <w:rsid w:val="00CD0F5D"/>
    <w:rsid w:val="00CD1C0B"/>
    <w:rsid w:val="00CD239A"/>
    <w:rsid w:val="00CD2C65"/>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C45"/>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99E"/>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04D"/>
    <w:rsid w:val="00D44994"/>
    <w:rsid w:val="00D44E40"/>
    <w:rsid w:val="00D450A6"/>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9D4"/>
    <w:rsid w:val="00D61B79"/>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58D"/>
    <w:rsid w:val="00D67733"/>
    <w:rsid w:val="00D67823"/>
    <w:rsid w:val="00D679CF"/>
    <w:rsid w:val="00D679D3"/>
    <w:rsid w:val="00D70A36"/>
    <w:rsid w:val="00D713D7"/>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CC6"/>
    <w:rsid w:val="00D76FAE"/>
    <w:rsid w:val="00D77040"/>
    <w:rsid w:val="00D777D7"/>
    <w:rsid w:val="00D77948"/>
    <w:rsid w:val="00D807ED"/>
    <w:rsid w:val="00D80AB8"/>
    <w:rsid w:val="00D80E06"/>
    <w:rsid w:val="00D80FEC"/>
    <w:rsid w:val="00D81792"/>
    <w:rsid w:val="00D819B1"/>
    <w:rsid w:val="00D81B37"/>
    <w:rsid w:val="00D81BA1"/>
    <w:rsid w:val="00D81C16"/>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3C3"/>
    <w:rsid w:val="00D92B24"/>
    <w:rsid w:val="00D92C29"/>
    <w:rsid w:val="00D93252"/>
    <w:rsid w:val="00D936E2"/>
    <w:rsid w:val="00D93D35"/>
    <w:rsid w:val="00D945B3"/>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DA5"/>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3D0"/>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6B2"/>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350"/>
    <w:rsid w:val="00E30808"/>
    <w:rsid w:val="00E3117A"/>
    <w:rsid w:val="00E311C3"/>
    <w:rsid w:val="00E3138E"/>
    <w:rsid w:val="00E32532"/>
    <w:rsid w:val="00E32D62"/>
    <w:rsid w:val="00E339DC"/>
    <w:rsid w:val="00E33E15"/>
    <w:rsid w:val="00E33F04"/>
    <w:rsid w:val="00E352B0"/>
    <w:rsid w:val="00E353A4"/>
    <w:rsid w:val="00E35923"/>
    <w:rsid w:val="00E361B8"/>
    <w:rsid w:val="00E36A1B"/>
    <w:rsid w:val="00E37653"/>
    <w:rsid w:val="00E37DDE"/>
    <w:rsid w:val="00E40876"/>
    <w:rsid w:val="00E40949"/>
    <w:rsid w:val="00E40C38"/>
    <w:rsid w:val="00E40CCD"/>
    <w:rsid w:val="00E418F2"/>
    <w:rsid w:val="00E42428"/>
    <w:rsid w:val="00E429ED"/>
    <w:rsid w:val="00E43F37"/>
    <w:rsid w:val="00E441E6"/>
    <w:rsid w:val="00E4481D"/>
    <w:rsid w:val="00E450ED"/>
    <w:rsid w:val="00E467B6"/>
    <w:rsid w:val="00E46C47"/>
    <w:rsid w:val="00E46E56"/>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3EA"/>
    <w:rsid w:val="00E95524"/>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7AA"/>
    <w:rsid w:val="00ED162F"/>
    <w:rsid w:val="00ED1738"/>
    <w:rsid w:val="00ED2AE0"/>
    <w:rsid w:val="00ED2E52"/>
    <w:rsid w:val="00ED3024"/>
    <w:rsid w:val="00ED3161"/>
    <w:rsid w:val="00ED31DB"/>
    <w:rsid w:val="00ED3BB8"/>
    <w:rsid w:val="00ED3C2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46"/>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0B2C"/>
    <w:rsid w:val="00F50EE3"/>
    <w:rsid w:val="00F512B2"/>
    <w:rsid w:val="00F5283D"/>
    <w:rsid w:val="00F52ABA"/>
    <w:rsid w:val="00F52BC7"/>
    <w:rsid w:val="00F53BF4"/>
    <w:rsid w:val="00F54266"/>
    <w:rsid w:val="00F55043"/>
    <w:rsid w:val="00F561DD"/>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2AA"/>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50B5"/>
    <w:rsid w:val="00F950FE"/>
    <w:rsid w:val="00F9513F"/>
    <w:rsid w:val="00F951B3"/>
    <w:rsid w:val="00F956A6"/>
    <w:rsid w:val="00F95CDA"/>
    <w:rsid w:val="00F960D6"/>
    <w:rsid w:val="00F9632B"/>
    <w:rsid w:val="00F96440"/>
    <w:rsid w:val="00F96727"/>
    <w:rsid w:val="00F96CDF"/>
    <w:rsid w:val="00F96F76"/>
    <w:rsid w:val="00F96F7D"/>
    <w:rsid w:val="00F97120"/>
    <w:rsid w:val="00F97908"/>
    <w:rsid w:val="00F97B43"/>
    <w:rsid w:val="00FA04D0"/>
    <w:rsid w:val="00FA07F8"/>
    <w:rsid w:val="00FA105C"/>
    <w:rsid w:val="00FA1475"/>
    <w:rsid w:val="00FA148A"/>
    <w:rsid w:val="00FA17C1"/>
    <w:rsid w:val="00FA21D4"/>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4338"/>
    <w:rsid w:val="00FB46D2"/>
    <w:rsid w:val="00FB477E"/>
    <w:rsid w:val="00FB494F"/>
    <w:rsid w:val="00FB4C2A"/>
    <w:rsid w:val="00FB4C9C"/>
    <w:rsid w:val="00FB5148"/>
    <w:rsid w:val="00FB570B"/>
    <w:rsid w:val="00FB6165"/>
    <w:rsid w:val="00FB6D70"/>
    <w:rsid w:val="00FB739C"/>
    <w:rsid w:val="00FB78E7"/>
    <w:rsid w:val="00FC0150"/>
    <w:rsid w:val="00FC03AB"/>
    <w:rsid w:val="00FC1563"/>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3C70"/>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FB9"/>
    <w:rsid w:val="00FE719A"/>
    <w:rsid w:val="00FE7549"/>
    <w:rsid w:val="00FE7BCC"/>
    <w:rsid w:val="00FE7CA0"/>
    <w:rsid w:val="00FF0832"/>
    <w:rsid w:val="00FF1153"/>
    <w:rsid w:val="00FF126D"/>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B1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80C69"/>
    <w:pPr>
      <w:autoSpaceDE/>
      <w:autoSpaceDN/>
      <w:adjustRightInd/>
      <w:snapToGrid/>
      <w:spacing w:line="259" w:lineRule="auto"/>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80C69"/>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1E1982"/>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4262</Words>
  <Characters>24298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2</cp:revision>
  <cp:lastPrinted>2007-06-18T23:08:00Z</cp:lastPrinted>
  <dcterms:created xsi:type="dcterms:W3CDTF">2021-05-11T21:48:00Z</dcterms:created>
  <dcterms:modified xsi:type="dcterms:W3CDTF">2021-05-11T21:48:00Z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(3)GuGdWjSfFuPhm5SHIfh94HAt5wO/iTq355H1ZgaMwGzGp6ZApJFzJ00fCIhonH72QXn3I/bZ
OybrzBioq1nFB21dQoPT9h9m7MPncVa7lnVMLT0KcQ26wM8H4ovn0qd+PGtxyZDkMI7dlWth
taRdbZx/2Ws+mCqLq13wIiykLMY73A7qeVBQ1rDHxeVYr1WY0G9K0KgmOlJrvgvPeiAuKAqG
FBfB7UU+/lD0BsdU3I</vt:lpwstr>
  </property>
  <property fmtid="{D5CDD505-2E9C-101B-9397-08002B2CF9AE}" pid="13" name="_2015_ms_pID_725343_00">
    <vt:lpwstr>_2015_ms_pID_725343</vt:lpwstr>
  </property>
  <property fmtid="{D5CDD505-2E9C-101B-9397-08002B2CF9AE}" pid="14" name="_2015_ms_pID_7253431">
    <vt:lpwstr>GsA2z/r4qIQGzvkpahWbs2Gzi/BIb3s6xssUEAscGk9QeLupzcUkG3
YhFOGiMlyFuYl5xV6xPn9OyNO1YG7piGL86JlML+g2ZX3dGCI3Sx+j9x/KRDZ1AECRyED+mR
19kIRvytk8BaVngCEsyDdnBlviBc5+O0PpPKzbkWaX6sFd40AYuBRWYvYCQHc3/Ct9TvDUZi
ZxBiWhH/RP+vC3Tnsgcl/kXXAKNLEsAGGNBE</vt:lpwstr>
  </property>
  <property fmtid="{D5CDD505-2E9C-101B-9397-08002B2CF9AE}" pid="15" name="_2015_ms_pID_7253431_00">
    <vt:lpwstr>_2015_ms_pID_7253431</vt:lpwstr>
  </property>
  <property fmtid="{D5CDD505-2E9C-101B-9397-08002B2CF9AE}" pid="16" name="_2015_ms_pID_7253432">
    <vt:lpwstr>FSW8IyeABJ0C06dHfugQTvWV1I4yLa++GLO8
XmWz4y8Q1FuLh9pmV+dIq66/8BX1kQ==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