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34018" w14:textId="1CEDDE23" w:rsidR="00CC1484" w:rsidRPr="003D6722" w:rsidRDefault="00CC1484" w:rsidP="00CC1484">
      <w:pPr>
        <w:ind w:firstLineChars="0" w:firstLine="0"/>
        <w:rPr>
          <w:rFonts w:ascii="Arial" w:hAnsi="Arial"/>
          <w:b/>
          <w:sz w:val="24"/>
          <w:szCs w:val="24"/>
          <w:lang w:val="en-GB" w:eastAsia="en-US"/>
        </w:rPr>
      </w:pPr>
      <w:r w:rsidRPr="003D6722">
        <w:rPr>
          <w:rFonts w:ascii="Arial" w:hAnsi="Arial"/>
          <w:b/>
          <w:sz w:val="24"/>
          <w:szCs w:val="24"/>
          <w:lang w:val="en-GB" w:eastAsia="en-US"/>
        </w:rPr>
        <w:t>3GPP TSG RAN WG1 #104b-e</w:t>
      </w:r>
      <w:r w:rsidRPr="003D6722">
        <w:rPr>
          <w:rFonts w:ascii="Arial" w:hAnsi="Arial"/>
          <w:b/>
          <w:sz w:val="24"/>
          <w:szCs w:val="24"/>
          <w:lang w:val="en-GB" w:eastAsia="en-US"/>
        </w:rPr>
        <w:tab/>
      </w:r>
      <w:r w:rsidRPr="003D6722">
        <w:rPr>
          <w:rFonts w:ascii="Arial" w:hAnsi="Arial"/>
          <w:b/>
          <w:sz w:val="24"/>
          <w:szCs w:val="24"/>
          <w:lang w:val="en-GB" w:eastAsia="en-US"/>
        </w:rPr>
        <w:tab/>
      </w:r>
      <w:r w:rsidRPr="003D6722">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sidRPr="003D6722">
        <w:rPr>
          <w:rFonts w:ascii="Arial" w:hAnsi="Arial"/>
          <w:b/>
          <w:sz w:val="24"/>
          <w:szCs w:val="24"/>
          <w:lang w:val="en-GB" w:eastAsia="en-US"/>
        </w:rPr>
        <w:t>R1-210343</w:t>
      </w:r>
      <w:r>
        <w:rPr>
          <w:rFonts w:ascii="Arial" w:hAnsi="Arial"/>
          <w:b/>
          <w:sz w:val="24"/>
          <w:szCs w:val="24"/>
          <w:lang w:val="en-GB" w:eastAsia="en-US"/>
        </w:rPr>
        <w:t>9</w:t>
      </w:r>
    </w:p>
    <w:p w14:paraId="5BDEC3A4" w14:textId="77777777" w:rsidR="00CC1484" w:rsidRPr="00302569" w:rsidRDefault="00CC1484" w:rsidP="00CC1484">
      <w:pPr>
        <w:ind w:firstLineChars="0" w:firstLine="0"/>
        <w:rPr>
          <w:rFonts w:ascii="Arial" w:hAnsi="Arial" w:cs="Arial"/>
          <w:b/>
          <w:sz w:val="22"/>
          <w:lang w:eastAsia="zh-CN"/>
        </w:rPr>
      </w:pPr>
      <w:r w:rsidRPr="003D6722">
        <w:rPr>
          <w:rFonts w:ascii="Arial" w:hAnsi="Arial"/>
          <w:b/>
          <w:sz w:val="24"/>
          <w:szCs w:val="24"/>
          <w:lang w:val="en-GB" w:eastAsia="en-US"/>
        </w:rPr>
        <w:t>e-Meeting, April 12th – 20th, 2021</w:t>
      </w:r>
    </w:p>
    <w:p w14:paraId="3BB0A7BA" w14:textId="77777777" w:rsidR="006C63CF" w:rsidRPr="00302569" w:rsidRDefault="006C63CF" w:rsidP="006C551E">
      <w:pPr>
        <w:ind w:firstLineChars="0" w:firstLine="0"/>
        <w:rPr>
          <w:rFonts w:ascii="Arial" w:hAnsi="Arial" w:cs="Arial"/>
          <w:b/>
          <w:sz w:val="22"/>
          <w:lang w:eastAsia="zh-CN"/>
        </w:rPr>
      </w:pPr>
    </w:p>
    <w:p w14:paraId="705F5AB1" w14:textId="70DFFCCF"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430889">
        <w:rPr>
          <w:rFonts w:ascii="Arial" w:hAnsi="Arial" w:cs="Arial"/>
          <w:sz w:val="22"/>
        </w:rPr>
        <w:t>14.</w:t>
      </w:r>
      <w:r w:rsidR="001806CF">
        <w:rPr>
          <w:rFonts w:ascii="Arial" w:hAnsi="Arial" w:cs="Arial"/>
          <w:sz w:val="22"/>
        </w:rPr>
        <w:t>3</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102F0624"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30889">
        <w:rPr>
          <w:rFonts w:ascii="Arial" w:hAnsi="Arial" w:cs="Arial"/>
          <w:color w:val="000000"/>
          <w:sz w:val="22"/>
          <w:szCs w:val="22"/>
        </w:rPr>
        <w:t xml:space="preserve">XR </w:t>
      </w:r>
      <w:r w:rsidR="001806CF">
        <w:rPr>
          <w:rFonts w:ascii="Arial" w:hAnsi="Arial" w:cs="Arial"/>
          <w:color w:val="000000"/>
          <w:sz w:val="22"/>
          <w:szCs w:val="22"/>
        </w:rPr>
        <w:t>Initial Performance Results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B369ACB" w14:textId="3A3BB10F" w:rsidR="00EA65BB" w:rsidRPr="00EA65BB" w:rsidRDefault="00EA65BB" w:rsidP="00774C25">
      <w:pPr>
        <w:spacing w:after="0"/>
        <w:ind w:firstLine="220"/>
        <w:rPr>
          <w:rFonts w:ascii="Calibri" w:hAnsi="Calibri" w:cs="Calibri"/>
          <w:bCs/>
          <w:sz w:val="22"/>
          <w:szCs w:val="22"/>
        </w:rPr>
      </w:pPr>
      <w:r w:rsidRPr="00EA65BB">
        <w:rPr>
          <w:rFonts w:ascii="Calibri" w:hAnsi="Calibri" w:cs="Calibri"/>
          <w:bCs/>
          <w:sz w:val="22"/>
          <w:szCs w:val="22"/>
        </w:rPr>
        <w:t xml:space="preserve">A Study Item on XR evaluations for NR has been approved in RAN meeting #88e [1] with the following objectives:  </w:t>
      </w:r>
    </w:p>
    <w:p w14:paraId="08DD2F32"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Confirm XR and Cloud Gaming applications of interest</w:t>
      </w:r>
    </w:p>
    <w:p w14:paraId="286855A6"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the traffic model for each application of interest taking outcome of SA WG4 work as input, including considering different upper layer assumptions, e.g. rendering latency, codec compression capability etc.</w:t>
      </w:r>
    </w:p>
    <w:p w14:paraId="45AA9BE5"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evaluation methodology to assess XR and CG performance along with identification of KPIs of interest for relevant deployment scenarios</w:t>
      </w:r>
    </w:p>
    <w:p w14:paraId="11DCE605" w14:textId="202063B3" w:rsidR="00EA65BB" w:rsidRPr="00774C25" w:rsidRDefault="00EA65BB" w:rsidP="00774C25">
      <w:pPr>
        <w:pStyle w:val="ListParagraph"/>
        <w:numPr>
          <w:ilvl w:val="0"/>
          <w:numId w:val="22"/>
        </w:numPr>
        <w:spacing w:before="0" w:line="240" w:lineRule="auto"/>
        <w:ind w:left="284" w:firstLineChars="0" w:firstLine="200"/>
        <w:jc w:val="left"/>
        <w:rPr>
          <w:rFonts w:cs="Calibri"/>
          <w:bCs/>
        </w:rPr>
      </w:pPr>
      <w:r w:rsidRPr="00EA65BB">
        <w:rPr>
          <w:rFonts w:cs="Calibri"/>
          <w:bCs/>
        </w:rPr>
        <w:t xml:space="preserve">Once traffic model and evaluation methodologies are agreed, carry out performance evaluations towards characterization of identified KPIs </w:t>
      </w:r>
    </w:p>
    <w:p w14:paraId="627112C0"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The following applications are to be considered as starting points for this study: </w:t>
      </w:r>
    </w:p>
    <w:p w14:paraId="26E92DC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VR1: “Viewport dependent streaming”</w:t>
      </w:r>
    </w:p>
    <w:p w14:paraId="5A8E504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VR2: “Split Rendering: Viewport rendering with Time Warp in device”</w:t>
      </w:r>
    </w:p>
    <w:p w14:paraId="20AAD950"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AR1: “XR Distributed Computing”</w:t>
      </w:r>
    </w:p>
    <w:p w14:paraId="555F8EE7"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AR2: “XR Conversational”</w:t>
      </w:r>
    </w:p>
    <w:p w14:paraId="4DFA20A3"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CG: Cloud Gaming</w:t>
      </w:r>
    </w:p>
    <w:p w14:paraId="465FD0A4" w14:textId="5B2CA73C"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Note: Use cases in quotes are from TR26.928.</w:t>
      </w:r>
    </w:p>
    <w:p w14:paraId="64D4037C"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following traffic parameters for the different applications are to be considered as starting point for the study:</w:t>
      </w:r>
    </w:p>
    <w:p w14:paraId="34969912"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characteristics</w:t>
      </w:r>
      <w:r w:rsidRPr="00EA65BB">
        <w:rPr>
          <w:rFonts w:ascii="Calibri" w:hAnsi="Calibri" w:cs="Calibri"/>
          <w:bCs/>
          <w:sz w:val="22"/>
          <w:szCs w:val="22"/>
        </w:rPr>
        <w:t>:</w:t>
      </w:r>
    </w:p>
    <w:p w14:paraId="107B0608"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Size distribution (e.g., Pareto with given parameters)</w:t>
      </w:r>
    </w:p>
    <w:p w14:paraId="5AA3271D"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arrival time distribution (e.g., Periodic every 1/60 seconds)</w:t>
      </w:r>
    </w:p>
    <w:p w14:paraId="402064F1"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requirements</w:t>
      </w:r>
      <w:r w:rsidRPr="00EA65BB">
        <w:rPr>
          <w:rFonts w:ascii="Calibri" w:hAnsi="Calibri" w:cs="Calibri"/>
          <w:bCs/>
          <w:sz w:val="22"/>
          <w:szCs w:val="22"/>
        </w:rPr>
        <w:t xml:space="preserve">: </w:t>
      </w:r>
    </w:p>
    <w:p w14:paraId="35CD507C"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Round-trip-time or UL and DL one-way Packet delay budget (PDB)</w:t>
      </w:r>
    </w:p>
    <w:p w14:paraId="22FDB2F5" w14:textId="6E2F50A8" w:rsidR="00EA65BB" w:rsidRPr="00774C25" w:rsidRDefault="00EA65BB" w:rsidP="00774C25">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Packet error rate (PER)</w:t>
      </w:r>
    </w:p>
    <w:p w14:paraId="38314D5A" w14:textId="327B9146"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objective of this study item are as follows:</w:t>
      </w:r>
    </w:p>
    <w:p w14:paraId="56714498"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Note 1: eURLLC SI/WI work relevant to XR should be taken into consideration.</w:t>
      </w:r>
    </w:p>
    <w:p w14:paraId="152F8F74" w14:textId="28363764" w:rsidR="00EA65BB" w:rsidRDefault="00EA65BB" w:rsidP="00774C25">
      <w:pPr>
        <w:ind w:left="332" w:firstLine="220"/>
        <w:rPr>
          <w:rFonts w:ascii="Calibri" w:hAnsi="Calibri" w:cs="Calibri"/>
          <w:sz w:val="22"/>
          <w:szCs w:val="22"/>
        </w:rPr>
      </w:pPr>
      <w:r w:rsidRPr="00EA65BB">
        <w:rPr>
          <w:rFonts w:ascii="Calibri" w:hAnsi="Calibri" w:cs="Calibri"/>
          <w:sz w:val="22"/>
          <w:szCs w:val="22"/>
        </w:rPr>
        <w:t xml:space="preserve">Note 2: Traffic model for the performance evaluation shall be based on the standardization in SA WG4 </w:t>
      </w:r>
    </w:p>
    <w:p w14:paraId="2118AFC3" w14:textId="77777777" w:rsidR="001806CF" w:rsidRDefault="001806CF" w:rsidP="00EA65BB">
      <w:pPr>
        <w:ind w:firstLine="220"/>
        <w:rPr>
          <w:rFonts w:ascii="Calibri" w:hAnsi="Calibri" w:cs="Calibri"/>
          <w:sz w:val="22"/>
          <w:szCs w:val="22"/>
        </w:rPr>
      </w:pPr>
    </w:p>
    <w:p w14:paraId="17803EAF" w14:textId="4A6BB557" w:rsidR="00EA65BB" w:rsidRDefault="00EA65BB" w:rsidP="00EA65BB">
      <w:pPr>
        <w:ind w:firstLine="220"/>
        <w:rPr>
          <w:rFonts w:ascii="Calibri" w:hAnsi="Calibri" w:cs="Calibri"/>
          <w:sz w:val="22"/>
          <w:szCs w:val="22"/>
        </w:rPr>
      </w:pPr>
      <w:r w:rsidRPr="00EA65BB">
        <w:rPr>
          <w:rFonts w:ascii="Calibri" w:hAnsi="Calibri" w:cs="Calibri"/>
          <w:sz w:val="22"/>
          <w:szCs w:val="22"/>
        </w:rPr>
        <w:t xml:space="preserve">In this contribution, </w:t>
      </w:r>
      <w:r>
        <w:rPr>
          <w:rFonts w:ascii="Calibri" w:hAnsi="Calibri" w:cs="Calibri"/>
          <w:sz w:val="22"/>
          <w:szCs w:val="22"/>
        </w:rPr>
        <w:t xml:space="preserve">we </w:t>
      </w:r>
      <w:r w:rsidR="001806CF">
        <w:rPr>
          <w:rFonts w:ascii="Calibri" w:hAnsi="Calibri" w:cs="Calibri"/>
          <w:sz w:val="22"/>
          <w:szCs w:val="22"/>
        </w:rPr>
        <w:t>present initial XR performance results.</w:t>
      </w:r>
    </w:p>
    <w:p w14:paraId="298B8A6C" w14:textId="77777777" w:rsidR="00551133" w:rsidRPr="00EA65BB" w:rsidRDefault="00551133" w:rsidP="001806CF">
      <w:pPr>
        <w:ind w:firstLineChars="90" w:firstLine="198"/>
        <w:rPr>
          <w:rFonts w:ascii="Calibri" w:hAnsi="Calibri" w:cs="Calibri"/>
          <w:sz w:val="22"/>
          <w:szCs w:val="22"/>
        </w:rPr>
      </w:pPr>
    </w:p>
    <w:p w14:paraId="26C87E01" w14:textId="27935EE3" w:rsidR="00EA65BB" w:rsidRDefault="001305A4" w:rsidP="001305A4">
      <w:pPr>
        <w:pStyle w:val="Heading1"/>
      </w:pPr>
      <w:r>
        <w:lastRenderedPageBreak/>
        <w:t xml:space="preserve">XR </w:t>
      </w:r>
      <w:r w:rsidR="001806CF">
        <w:t>Performance Results</w:t>
      </w:r>
    </w:p>
    <w:p w14:paraId="399F276E" w14:textId="5F618821" w:rsidR="006F535F" w:rsidRDefault="001806CF" w:rsidP="00774C25">
      <w:pPr>
        <w:ind w:firstLineChars="0" w:firstLine="0"/>
        <w:rPr>
          <w:rFonts w:ascii="Calibri" w:hAnsi="Calibri" w:cs="Calibri"/>
          <w:sz w:val="22"/>
          <w:szCs w:val="22"/>
          <w:lang w:val="en-GB" w:eastAsia="en-US"/>
        </w:rPr>
      </w:pPr>
      <w:r>
        <w:rPr>
          <w:rFonts w:ascii="Calibri" w:hAnsi="Calibri" w:cs="Calibri"/>
          <w:sz w:val="22"/>
          <w:szCs w:val="22"/>
          <w:lang w:val="en-GB" w:eastAsia="en-US"/>
        </w:rPr>
        <w:t xml:space="preserve">In addition to the </w:t>
      </w:r>
      <w:r w:rsidR="00CC1484">
        <w:rPr>
          <w:rFonts w:ascii="Calibri" w:hAnsi="Calibri" w:cs="Calibri"/>
          <w:sz w:val="22"/>
          <w:szCs w:val="22"/>
          <w:lang w:val="en-GB" w:eastAsia="en-US"/>
        </w:rPr>
        <w:t>evaluation assumption made during RAN1#103-e, d</w:t>
      </w:r>
      <w:r w:rsidR="00551133">
        <w:rPr>
          <w:rFonts w:ascii="Calibri" w:hAnsi="Calibri" w:cs="Calibri"/>
          <w:sz w:val="22"/>
          <w:szCs w:val="22"/>
          <w:lang w:val="en-GB" w:eastAsia="en-US"/>
        </w:rPr>
        <w:t>uring RAN1#104-e the following agreements were made</w:t>
      </w:r>
      <w:r w:rsidR="00CC1484">
        <w:rPr>
          <w:rFonts w:ascii="Calibri" w:hAnsi="Calibri" w:cs="Calibri"/>
          <w:sz w:val="22"/>
          <w:szCs w:val="22"/>
          <w:lang w:val="en-GB" w:eastAsia="en-US"/>
        </w:rPr>
        <w:t>:</w:t>
      </w:r>
    </w:p>
    <w:p w14:paraId="3BB05206" w14:textId="77777777" w:rsidR="00CC1484" w:rsidRPr="00D84605" w:rsidRDefault="00CC1484" w:rsidP="00CC1484">
      <w:pPr>
        <w:rPr>
          <w:rFonts w:ascii="Calibri" w:hAnsi="Calibri" w:cs="Calibri"/>
          <w:lang w:eastAsia="zh-CN"/>
        </w:rPr>
      </w:pPr>
      <w:r w:rsidRPr="00D84605">
        <w:rPr>
          <w:highlight w:val="green"/>
          <w:lang w:eastAsia="zh-CN"/>
        </w:rPr>
        <w:t>Agreement</w:t>
      </w:r>
      <w:r w:rsidRPr="00D84605">
        <w:rPr>
          <w:lang w:eastAsia="zh-CN"/>
        </w:rPr>
        <w:t>: adopt following update for TDD configuration for XR/CG evaluation</w:t>
      </w:r>
    </w:p>
    <w:p w14:paraId="76479508" w14:textId="77777777" w:rsidR="00CC1484" w:rsidRPr="00D84605" w:rsidRDefault="00CC1484" w:rsidP="00CC1484">
      <w:pPr>
        <w:numPr>
          <w:ilvl w:val="0"/>
          <w:numId w:val="27"/>
        </w:numPr>
        <w:spacing w:before="0" w:after="0" w:line="240" w:lineRule="auto"/>
        <w:ind w:firstLineChars="0"/>
        <w:jc w:val="left"/>
        <w:rPr>
          <w:rFonts w:eastAsia="Times New Roman"/>
          <w:lang w:eastAsia="zh-CN"/>
        </w:rPr>
      </w:pPr>
      <w:r w:rsidRPr="00D84605">
        <w:rPr>
          <w:rFonts w:eastAsia="Times New Roman"/>
          <w:lang w:eastAsia="zh-CN"/>
        </w:rPr>
        <w:t>FR1:</w:t>
      </w:r>
    </w:p>
    <w:p w14:paraId="332D407A" w14:textId="77777777" w:rsidR="00CC1484" w:rsidRPr="00D84605" w:rsidRDefault="00CC1484" w:rsidP="00CC1484">
      <w:pPr>
        <w:numPr>
          <w:ilvl w:val="1"/>
          <w:numId w:val="28"/>
        </w:numPr>
        <w:spacing w:before="0" w:after="0" w:line="240" w:lineRule="auto"/>
        <w:ind w:firstLineChars="0"/>
        <w:jc w:val="left"/>
        <w:rPr>
          <w:rFonts w:eastAsia="Times New Roman"/>
          <w:lang w:eastAsia="zh-CN"/>
        </w:rPr>
      </w:pPr>
      <w:r w:rsidRPr="00D84605">
        <w:rPr>
          <w:rFonts w:eastAsia="Times New Roman"/>
          <w:lang w:eastAsia="zh-CN"/>
        </w:rPr>
        <w:t>Option 1: DDDSU</w:t>
      </w:r>
    </w:p>
    <w:p w14:paraId="6A0F69CD" w14:textId="77777777" w:rsidR="00CC1484" w:rsidRPr="00D84605" w:rsidRDefault="00CC1484" w:rsidP="00CC1484">
      <w:pPr>
        <w:numPr>
          <w:ilvl w:val="1"/>
          <w:numId w:val="28"/>
        </w:numPr>
        <w:spacing w:before="0" w:after="0" w:line="240" w:lineRule="auto"/>
        <w:ind w:firstLineChars="0"/>
        <w:jc w:val="left"/>
        <w:rPr>
          <w:rFonts w:eastAsia="Times New Roman"/>
          <w:lang w:eastAsia="zh-CN"/>
        </w:rPr>
      </w:pPr>
      <w:r w:rsidRPr="00D84605">
        <w:rPr>
          <w:rFonts w:eastAsia="Times New Roman"/>
          <w:lang w:eastAsia="zh-CN"/>
        </w:rPr>
        <w:t>Option 2: DDDUU</w:t>
      </w:r>
    </w:p>
    <w:p w14:paraId="6C5AC35F" w14:textId="77777777" w:rsidR="00CC1484" w:rsidRPr="00D84605" w:rsidRDefault="00CC1484" w:rsidP="00CC1484">
      <w:pPr>
        <w:numPr>
          <w:ilvl w:val="0"/>
          <w:numId w:val="29"/>
        </w:numPr>
        <w:spacing w:before="0" w:after="0" w:line="240" w:lineRule="auto"/>
        <w:ind w:firstLineChars="0"/>
        <w:jc w:val="left"/>
        <w:rPr>
          <w:rFonts w:eastAsia="Times New Roman"/>
          <w:lang w:eastAsia="zh-CN"/>
        </w:rPr>
      </w:pPr>
      <w:r w:rsidRPr="00D84605">
        <w:rPr>
          <w:rFonts w:eastAsia="Times New Roman"/>
          <w:lang w:eastAsia="zh-CN"/>
        </w:rPr>
        <w:t>FR2:</w:t>
      </w:r>
    </w:p>
    <w:p w14:paraId="710614E9" w14:textId="77777777" w:rsidR="00CC1484" w:rsidRPr="00D84605" w:rsidRDefault="00CC1484" w:rsidP="00CC1484">
      <w:pPr>
        <w:numPr>
          <w:ilvl w:val="1"/>
          <w:numId w:val="30"/>
        </w:numPr>
        <w:spacing w:before="0" w:after="0" w:line="240" w:lineRule="auto"/>
        <w:ind w:firstLineChars="0"/>
        <w:jc w:val="left"/>
        <w:rPr>
          <w:rFonts w:eastAsia="Times New Roman"/>
          <w:lang w:eastAsia="zh-CN"/>
        </w:rPr>
      </w:pPr>
      <w:r w:rsidRPr="00D84605">
        <w:rPr>
          <w:rFonts w:eastAsia="Times New Roman"/>
          <w:lang w:eastAsia="zh-CN"/>
        </w:rPr>
        <w:t>Option 1: DDDSU</w:t>
      </w:r>
    </w:p>
    <w:p w14:paraId="115D2329" w14:textId="77777777" w:rsidR="00CC1484" w:rsidRPr="00D84605" w:rsidRDefault="00CC1484" w:rsidP="00CC1484">
      <w:pPr>
        <w:numPr>
          <w:ilvl w:val="1"/>
          <w:numId w:val="30"/>
        </w:numPr>
        <w:spacing w:before="0" w:after="0" w:line="240" w:lineRule="auto"/>
        <w:ind w:firstLineChars="0"/>
        <w:jc w:val="left"/>
        <w:rPr>
          <w:rFonts w:eastAsia="Times New Roman"/>
          <w:lang w:eastAsia="zh-CN"/>
        </w:rPr>
      </w:pPr>
      <w:r w:rsidRPr="00D84605">
        <w:rPr>
          <w:rFonts w:eastAsia="Times New Roman"/>
          <w:lang w:eastAsia="zh-CN"/>
        </w:rPr>
        <w:t>Option 2: DDDUU</w:t>
      </w:r>
    </w:p>
    <w:p w14:paraId="3D1AA0C1" w14:textId="77777777" w:rsidR="00CC1484" w:rsidRPr="00D84605" w:rsidRDefault="00CC1484" w:rsidP="00CC1484">
      <w:pPr>
        <w:rPr>
          <w:rFonts w:eastAsia="Calibri"/>
          <w:lang w:eastAsia="zh-CN"/>
        </w:rPr>
      </w:pPr>
      <w:r w:rsidRPr="00D84605">
        <w:rPr>
          <w:lang w:eastAsia="zh-CN"/>
        </w:rPr>
        <w:t>Detailed S slot format is 10D:2F:2U. Other S slot format(s) can also be optionally evaluated.</w:t>
      </w:r>
    </w:p>
    <w:p w14:paraId="4195E32E" w14:textId="77777777" w:rsidR="00CC1484" w:rsidRPr="00D84605" w:rsidRDefault="00CC1484" w:rsidP="00CC1484">
      <w:pPr>
        <w:rPr>
          <w:lang w:eastAsia="zh-CN"/>
        </w:rPr>
      </w:pPr>
      <w:r w:rsidRPr="00D84605">
        <w:rPr>
          <w:lang w:eastAsia="zh-CN"/>
        </w:rPr>
        <w:t>Further clarify that for option 2 for FR1/FR2, there is [2]-symbol gap at the end of third “D” slot of  DDDUU.</w:t>
      </w:r>
    </w:p>
    <w:p w14:paraId="2E393819" w14:textId="77777777" w:rsidR="00CC1484" w:rsidRPr="00D84605" w:rsidRDefault="00CC1484" w:rsidP="00CC1484">
      <w:pPr>
        <w:rPr>
          <w:lang w:eastAsia="zh-CN"/>
        </w:rPr>
      </w:pPr>
      <w:r w:rsidRPr="00D84605">
        <w:rPr>
          <w:lang w:eastAsia="zh-CN"/>
        </w:rPr>
        <w:t>FFS whether or not to differentiate the two options (e.g., mandatory vs. optional)</w:t>
      </w:r>
    </w:p>
    <w:p w14:paraId="6429EF7F" w14:textId="77777777" w:rsidR="00CC1484" w:rsidRDefault="00CC1484" w:rsidP="00CC1484">
      <w:pPr>
        <w:spacing w:after="120"/>
        <w:rPr>
          <w:lang w:eastAsia="zh-CN"/>
        </w:rPr>
      </w:pPr>
    </w:p>
    <w:p w14:paraId="37D5C1DD" w14:textId="77777777" w:rsidR="00CC1484" w:rsidRPr="00431711" w:rsidRDefault="00CC1484" w:rsidP="00CC1484">
      <w:pPr>
        <w:spacing w:after="120"/>
        <w:rPr>
          <w:lang w:eastAsia="zh-CN"/>
        </w:rPr>
      </w:pPr>
      <w:r w:rsidRPr="00431711">
        <w:rPr>
          <w:highlight w:val="green"/>
          <w:lang w:eastAsia="zh-CN"/>
        </w:rPr>
        <w:t>Agreements</w:t>
      </w:r>
      <w:r w:rsidRPr="00431711">
        <w:rPr>
          <w:b/>
          <w:bCs/>
          <w:lang w:eastAsia="zh-CN"/>
        </w:rPr>
        <w:t>:</w:t>
      </w:r>
      <w:r w:rsidRPr="00431711">
        <w:rPr>
          <w:lang w:eastAsia="zh-CN"/>
        </w:rPr>
        <w:t xml:space="preserve"> For XR evaluation, ideal channel estimation can be optionally evaluated.</w:t>
      </w:r>
    </w:p>
    <w:p w14:paraId="1E7B1640" w14:textId="77777777" w:rsidR="00CC1484" w:rsidRPr="00C47B17" w:rsidRDefault="00CC1484" w:rsidP="00CC1484">
      <w:pPr>
        <w:rPr>
          <w:color w:val="000000"/>
          <w:lang w:eastAsia="zh-CN"/>
        </w:rPr>
      </w:pPr>
      <w:r w:rsidRPr="00C47B17">
        <w:rPr>
          <w:highlight w:val="green"/>
          <w:lang w:eastAsia="zh-CN"/>
        </w:rPr>
        <w:t>Agreements</w:t>
      </w:r>
      <w:r w:rsidRPr="00C47B17">
        <w:rPr>
          <w:b/>
          <w:bCs/>
          <w:lang w:eastAsia="zh-CN"/>
        </w:rPr>
        <w:t>:</w:t>
      </w:r>
      <w:r w:rsidRPr="00C47B17">
        <w:rPr>
          <w:color w:val="000000"/>
          <w:lang w:eastAsia="zh-CN"/>
        </w:rPr>
        <w:t>System bandwidth for XR/CG evaluations are as follows.</w:t>
      </w:r>
    </w:p>
    <w:p w14:paraId="73115C5B" w14:textId="77777777" w:rsidR="00CC1484" w:rsidRPr="00C47B17" w:rsidRDefault="00CC1484" w:rsidP="00CC1484">
      <w:pPr>
        <w:numPr>
          <w:ilvl w:val="0"/>
          <w:numId w:val="31"/>
        </w:numPr>
        <w:spacing w:before="0" w:after="0" w:line="240" w:lineRule="auto"/>
        <w:ind w:firstLineChars="0"/>
        <w:jc w:val="left"/>
        <w:rPr>
          <w:rFonts w:eastAsia="Times New Roman"/>
          <w:color w:val="000000"/>
          <w:lang w:eastAsia="zh-CN"/>
        </w:rPr>
      </w:pPr>
      <w:r w:rsidRPr="00C47B17">
        <w:rPr>
          <w:rFonts w:eastAsia="Times New Roman"/>
          <w:color w:val="000000"/>
          <w:lang w:eastAsia="zh-CN"/>
        </w:rPr>
        <w:t>For FR1,</w:t>
      </w:r>
    </w:p>
    <w:p w14:paraId="7C10F75B" w14:textId="77777777" w:rsidR="00CC1484" w:rsidRPr="00C47B17" w:rsidRDefault="00CC1484" w:rsidP="00CC1484">
      <w:pPr>
        <w:numPr>
          <w:ilvl w:val="1"/>
          <w:numId w:val="32"/>
        </w:numPr>
        <w:spacing w:before="0" w:after="0" w:line="240" w:lineRule="auto"/>
        <w:ind w:firstLineChars="0"/>
        <w:jc w:val="left"/>
        <w:rPr>
          <w:rFonts w:eastAsia="Times New Roman"/>
          <w:color w:val="000000"/>
          <w:lang w:eastAsia="zh-CN"/>
        </w:rPr>
      </w:pPr>
      <w:r w:rsidRPr="00C47B17">
        <w:rPr>
          <w:rFonts w:eastAsia="Times New Roman"/>
          <w:color w:val="000000"/>
          <w:lang w:eastAsia="zh-CN"/>
        </w:rPr>
        <w:t>Baseline: 100 MHz</w:t>
      </w:r>
    </w:p>
    <w:p w14:paraId="31EE5845" w14:textId="77777777" w:rsidR="00CC1484" w:rsidRPr="00C47B17" w:rsidRDefault="00CC1484" w:rsidP="00CC1484">
      <w:pPr>
        <w:numPr>
          <w:ilvl w:val="1"/>
          <w:numId w:val="32"/>
        </w:numPr>
        <w:spacing w:before="0" w:after="0" w:line="240" w:lineRule="auto"/>
        <w:ind w:firstLineChars="0"/>
        <w:jc w:val="left"/>
        <w:rPr>
          <w:rFonts w:eastAsia="Times New Roman"/>
          <w:color w:val="000000"/>
          <w:lang w:eastAsia="zh-CN"/>
        </w:rPr>
      </w:pPr>
      <w:r w:rsidRPr="00C47B17">
        <w:rPr>
          <w:rFonts w:eastAsia="Times New Roman"/>
          <w:color w:val="000000"/>
          <w:lang w:eastAsia="zh-CN"/>
        </w:rPr>
        <w:t>Optional: 20/40 MHz, 2*100 MHz with CA</w:t>
      </w:r>
    </w:p>
    <w:p w14:paraId="1FBD0C6F" w14:textId="77777777" w:rsidR="00CC1484" w:rsidRPr="00C47B17" w:rsidRDefault="00CC1484" w:rsidP="00CC1484">
      <w:pPr>
        <w:numPr>
          <w:ilvl w:val="0"/>
          <w:numId w:val="33"/>
        </w:numPr>
        <w:spacing w:before="0" w:after="0" w:line="240" w:lineRule="auto"/>
        <w:ind w:firstLineChars="0"/>
        <w:jc w:val="left"/>
        <w:rPr>
          <w:rFonts w:eastAsia="Times New Roman"/>
          <w:color w:val="000000"/>
          <w:lang w:eastAsia="zh-CN"/>
        </w:rPr>
      </w:pPr>
      <w:r w:rsidRPr="00C47B17">
        <w:rPr>
          <w:rFonts w:eastAsia="Times New Roman"/>
          <w:color w:val="000000"/>
          <w:lang w:eastAsia="zh-CN"/>
        </w:rPr>
        <w:t>FR2</w:t>
      </w:r>
    </w:p>
    <w:p w14:paraId="3292CF19" w14:textId="77777777" w:rsidR="00CC1484" w:rsidRPr="00C47B17" w:rsidRDefault="00CC1484" w:rsidP="00CC1484">
      <w:pPr>
        <w:numPr>
          <w:ilvl w:val="1"/>
          <w:numId w:val="33"/>
        </w:numPr>
        <w:spacing w:before="0" w:after="0" w:line="240" w:lineRule="auto"/>
        <w:ind w:firstLineChars="0"/>
        <w:jc w:val="left"/>
        <w:rPr>
          <w:rFonts w:eastAsia="Times New Roman"/>
          <w:color w:val="000000"/>
          <w:lang w:eastAsia="zh-CN"/>
        </w:rPr>
      </w:pPr>
      <w:r w:rsidRPr="00C47B17">
        <w:rPr>
          <w:rFonts w:eastAsia="Times New Roman"/>
          <w:color w:val="000000"/>
          <w:lang w:eastAsia="zh-CN"/>
        </w:rPr>
        <w:t>Option 1: 100 MHz</w:t>
      </w:r>
    </w:p>
    <w:p w14:paraId="451FC494" w14:textId="77777777" w:rsidR="00CC1484" w:rsidRPr="00C47B17" w:rsidRDefault="00CC1484" w:rsidP="00CC1484">
      <w:pPr>
        <w:numPr>
          <w:ilvl w:val="1"/>
          <w:numId w:val="33"/>
        </w:numPr>
        <w:spacing w:before="0" w:after="0" w:line="240" w:lineRule="auto"/>
        <w:ind w:firstLineChars="0"/>
        <w:jc w:val="left"/>
        <w:rPr>
          <w:rFonts w:eastAsia="Times New Roman"/>
          <w:color w:val="000000"/>
          <w:lang w:eastAsia="zh-CN"/>
        </w:rPr>
      </w:pPr>
      <w:r w:rsidRPr="00C47B17">
        <w:rPr>
          <w:rFonts w:eastAsia="Times New Roman"/>
          <w:color w:val="000000"/>
          <w:lang w:eastAsia="zh-CN"/>
        </w:rPr>
        <w:t>Option 2: 400 MHz</w:t>
      </w:r>
    </w:p>
    <w:p w14:paraId="6EC53B14" w14:textId="77777777" w:rsidR="00CC1484" w:rsidRPr="00C47B17" w:rsidRDefault="00CC1484" w:rsidP="00CC1484">
      <w:pPr>
        <w:rPr>
          <w:rFonts w:eastAsia="Calibri"/>
          <w:color w:val="000000"/>
          <w:lang w:eastAsia="zh-CN"/>
        </w:rPr>
      </w:pPr>
      <w:r w:rsidRPr="00C47B17">
        <w:rPr>
          <w:color w:val="000000"/>
          <w:lang w:eastAsia="zh-CN"/>
        </w:rPr>
        <w:t>Companies should report the CA setting if CA is adopted.</w:t>
      </w:r>
    </w:p>
    <w:p w14:paraId="1F785BE3" w14:textId="77777777" w:rsidR="00CC1484" w:rsidRPr="00C47B17" w:rsidRDefault="00CC1484" w:rsidP="00CC1484">
      <w:pPr>
        <w:rPr>
          <w:color w:val="000000"/>
          <w:lang w:eastAsia="zh-CN"/>
        </w:rPr>
      </w:pPr>
      <w:r w:rsidRPr="00C47B17">
        <w:rPr>
          <w:color w:val="000000"/>
          <w:lang w:eastAsia="zh-CN"/>
        </w:rPr>
        <w:t xml:space="preserve">Other system bandwidth can also be </w:t>
      </w:r>
      <w:r w:rsidRPr="00C47B17">
        <w:rPr>
          <w:lang w:eastAsia="zh-CN"/>
        </w:rPr>
        <w:t xml:space="preserve">optionally </w:t>
      </w:r>
      <w:r w:rsidRPr="00C47B17">
        <w:rPr>
          <w:color w:val="000000"/>
          <w:lang w:eastAsia="zh-CN"/>
        </w:rPr>
        <w:t>evaluated.</w:t>
      </w:r>
    </w:p>
    <w:p w14:paraId="6769E369" w14:textId="77777777" w:rsidR="00CC1484" w:rsidRPr="00431711" w:rsidRDefault="00CC1484" w:rsidP="00CC1484">
      <w:pPr>
        <w:ind w:firstLine="320"/>
        <w:rPr>
          <w:color w:val="000000"/>
          <w:sz w:val="32"/>
          <w:szCs w:val="40"/>
          <w:lang w:eastAsia="zh-CN"/>
        </w:rPr>
      </w:pPr>
    </w:p>
    <w:p w14:paraId="64462C14" w14:textId="77777777" w:rsidR="00CC1484" w:rsidRPr="00024C5B" w:rsidRDefault="00CC1484" w:rsidP="00CC1484">
      <w:pPr>
        <w:rPr>
          <w:lang w:eastAsia="zh-CN"/>
        </w:rPr>
      </w:pPr>
      <w:r w:rsidRPr="00024C5B">
        <w:rPr>
          <w:highlight w:val="green"/>
          <w:lang w:eastAsia="zh-CN"/>
        </w:rPr>
        <w:t>Agreements</w:t>
      </w:r>
      <w:r w:rsidRPr="00024C5B">
        <w:rPr>
          <w:b/>
          <w:bCs/>
          <w:lang w:eastAsia="zh-CN"/>
        </w:rPr>
        <w:t>:</w:t>
      </w:r>
      <w:r w:rsidRPr="00024C5B">
        <w:rPr>
          <w:lang w:eastAsia="zh-CN"/>
        </w:rPr>
        <w:t>For outdoor scenarios, the BS antenna parameters are as</w:t>
      </w:r>
    </w:p>
    <w:p w14:paraId="7315DB8C" w14:textId="77777777" w:rsidR="00CC1484" w:rsidRPr="00024C5B" w:rsidRDefault="00CC1484" w:rsidP="00CC1484">
      <w:pPr>
        <w:numPr>
          <w:ilvl w:val="0"/>
          <w:numId w:val="34"/>
        </w:numPr>
        <w:spacing w:before="0" w:after="0" w:line="240" w:lineRule="auto"/>
        <w:ind w:firstLineChars="0"/>
        <w:jc w:val="left"/>
        <w:rPr>
          <w:rFonts w:ascii="Calibri" w:hAnsi="Calibri" w:cs="Calibri"/>
          <w:lang w:eastAsia="zh-CN"/>
        </w:rPr>
      </w:pPr>
      <w:r w:rsidRPr="00024C5B">
        <w:rPr>
          <w:lang w:eastAsia="zh-CN"/>
        </w:rPr>
        <w:t>Option 1: 64 TxRU, (M, N, P, Mg, Ng; Mp, Np) = (8,8,2,1,1;4,8)</w:t>
      </w:r>
    </w:p>
    <w:p w14:paraId="2894735C" w14:textId="77777777" w:rsidR="00CC1484" w:rsidRPr="00024C5B" w:rsidRDefault="00CC1484" w:rsidP="00CC1484">
      <w:pPr>
        <w:numPr>
          <w:ilvl w:val="0"/>
          <w:numId w:val="34"/>
        </w:numPr>
        <w:spacing w:before="0" w:after="0" w:line="240" w:lineRule="auto"/>
        <w:ind w:firstLineChars="0"/>
        <w:jc w:val="left"/>
        <w:rPr>
          <w:lang w:eastAsia="zh-CN"/>
        </w:rPr>
      </w:pPr>
      <w:r w:rsidRPr="00024C5B">
        <w:rPr>
          <w:lang w:eastAsia="zh-CN"/>
        </w:rPr>
        <w:t>Option 2: 32 TxRU, (M, N, P, Mg, Ng; Mp, Np) = (8,2,2,1,1,8,2)</w:t>
      </w:r>
    </w:p>
    <w:p w14:paraId="621A60AB" w14:textId="77777777" w:rsidR="00CC1484" w:rsidRPr="00024C5B" w:rsidRDefault="00CC1484" w:rsidP="00CC1484">
      <w:pPr>
        <w:rPr>
          <w:lang w:eastAsia="zh-CN"/>
        </w:rPr>
      </w:pPr>
      <w:r w:rsidRPr="00024C5B">
        <w:rPr>
          <w:lang w:eastAsia="zh-CN"/>
        </w:rPr>
        <w:t xml:space="preserve">Company to report the BS antenna parameters for XR/CG evaluation. </w:t>
      </w:r>
    </w:p>
    <w:p w14:paraId="28FB6E91" w14:textId="77777777" w:rsidR="00CC1484" w:rsidRPr="00024C5B" w:rsidRDefault="00CC1484" w:rsidP="00CC1484">
      <w:pPr>
        <w:rPr>
          <w:lang w:eastAsia="zh-CN"/>
        </w:rPr>
      </w:pPr>
      <w:r w:rsidRPr="00024C5B">
        <w:rPr>
          <w:lang w:eastAsia="zh-CN"/>
        </w:rPr>
        <w:t>Other BS antenna parameters can also be optionally evaluated.</w:t>
      </w:r>
    </w:p>
    <w:p w14:paraId="50CD8079" w14:textId="77777777" w:rsidR="00CC1484" w:rsidRDefault="00CC1484" w:rsidP="00CC1484">
      <w:pPr>
        <w:rPr>
          <w:lang w:eastAsia="zh-CN"/>
        </w:rPr>
      </w:pPr>
    </w:p>
    <w:p w14:paraId="76C68CF4" w14:textId="77777777" w:rsidR="00CC1484" w:rsidRPr="0024149C" w:rsidRDefault="00CC1484" w:rsidP="00CC1484">
      <w:pPr>
        <w:rPr>
          <w:lang w:eastAsia="zh-CN"/>
        </w:rPr>
      </w:pPr>
      <w:r w:rsidRPr="0024149C">
        <w:rPr>
          <w:highlight w:val="green"/>
          <w:lang w:eastAsia="zh-CN"/>
        </w:rPr>
        <w:t>Agreements</w:t>
      </w:r>
      <w:r w:rsidRPr="0024149C">
        <w:rPr>
          <w:b/>
          <w:bCs/>
          <w:lang w:eastAsia="zh-CN"/>
        </w:rPr>
        <w:t>:</w:t>
      </w:r>
      <w:r w:rsidRPr="0024149C">
        <w:rPr>
          <w:lang w:eastAsia="zh-CN"/>
        </w:rPr>
        <w:t>For FR2, UE antenna parameters for XR/CG evaluations are as follows.</w:t>
      </w:r>
    </w:p>
    <w:p w14:paraId="3A1A552B" w14:textId="77777777" w:rsidR="00CC1484" w:rsidRPr="0024149C" w:rsidRDefault="00CC1484" w:rsidP="00CC1484">
      <w:pPr>
        <w:numPr>
          <w:ilvl w:val="0"/>
          <w:numId w:val="35"/>
        </w:numPr>
        <w:spacing w:before="0" w:after="0" w:line="240" w:lineRule="auto"/>
        <w:ind w:firstLineChars="0"/>
        <w:jc w:val="left"/>
        <w:rPr>
          <w:lang w:eastAsia="zh-CN"/>
        </w:rPr>
      </w:pPr>
      <w:r w:rsidRPr="0024149C">
        <w:rPr>
          <w:lang w:eastAsia="zh-CN"/>
        </w:rPr>
        <w:t>Option 1 (Follow Rel-17 evaluation methodology for FeMIMO in R1-2007151)</w:t>
      </w:r>
    </w:p>
    <w:p w14:paraId="1F421516" w14:textId="77777777" w:rsidR="00CC1484" w:rsidRPr="0024149C" w:rsidRDefault="00CC1484" w:rsidP="00CC1484">
      <w:pPr>
        <w:numPr>
          <w:ilvl w:val="1"/>
          <w:numId w:val="35"/>
        </w:numPr>
        <w:spacing w:before="0" w:after="0" w:line="240" w:lineRule="auto"/>
        <w:ind w:firstLineChars="0"/>
        <w:jc w:val="left"/>
        <w:rPr>
          <w:lang w:eastAsia="zh-CN"/>
        </w:rPr>
      </w:pPr>
      <w:r w:rsidRPr="0024149C">
        <w:rPr>
          <w:lang w:eastAsia="zh-CN"/>
        </w:rPr>
        <w:t>(M, N, P)=(1, 4, 2), 3 panels (left, right, top)</w:t>
      </w:r>
    </w:p>
    <w:p w14:paraId="452FA4E4" w14:textId="77777777" w:rsidR="00CC1484" w:rsidRPr="0024149C" w:rsidRDefault="00CC1484" w:rsidP="00CC1484">
      <w:pPr>
        <w:numPr>
          <w:ilvl w:val="0"/>
          <w:numId w:val="35"/>
        </w:numPr>
        <w:spacing w:before="0" w:after="0" w:line="240" w:lineRule="auto"/>
        <w:ind w:firstLineChars="0"/>
        <w:jc w:val="left"/>
        <w:rPr>
          <w:lang w:eastAsia="zh-CN"/>
        </w:rPr>
      </w:pPr>
      <w:r w:rsidRPr="0024149C">
        <w:rPr>
          <w:lang w:eastAsia="zh-CN"/>
        </w:rPr>
        <w:t>Option 2 (from TR 38.802 – developed in Rel-14)</w:t>
      </w:r>
    </w:p>
    <w:p w14:paraId="4FD585A2" w14:textId="77777777" w:rsidR="00CC1484" w:rsidRPr="0024149C" w:rsidRDefault="00CC1484" w:rsidP="00CC1484">
      <w:pPr>
        <w:numPr>
          <w:ilvl w:val="1"/>
          <w:numId w:val="35"/>
        </w:numPr>
        <w:spacing w:before="0" w:after="0" w:line="240" w:lineRule="auto"/>
        <w:ind w:firstLineChars="0"/>
        <w:jc w:val="left"/>
        <w:rPr>
          <w:lang w:eastAsia="zh-CN"/>
        </w:rPr>
      </w:pPr>
      <w:r w:rsidRPr="0024149C">
        <w:rPr>
          <w:lang w:eastAsia="zh-CN"/>
        </w:rPr>
        <w:t>4Tx/4Rx: (M, N, P, Mg, Ng; Mp, Np) = (2,4,2,1,2;1,2), (dH,dV) = (0.5, 0.5)λ, the polarization angles are 0° and 90°</w:t>
      </w:r>
    </w:p>
    <w:p w14:paraId="4D748AA4" w14:textId="77777777" w:rsidR="00CC1484" w:rsidRPr="0024149C" w:rsidRDefault="00CC1484" w:rsidP="00CC1484">
      <w:pPr>
        <w:rPr>
          <w:lang w:eastAsia="zh-CN"/>
        </w:rPr>
      </w:pPr>
      <w:r w:rsidRPr="0024149C">
        <w:rPr>
          <w:lang w:eastAsia="zh-CN"/>
        </w:rPr>
        <w:t xml:space="preserve">Company to report the UE antenna parameters for XR/CG evaluation. </w:t>
      </w:r>
    </w:p>
    <w:p w14:paraId="0AF799E9" w14:textId="77777777" w:rsidR="00CC1484" w:rsidRPr="0024149C" w:rsidRDefault="00CC1484" w:rsidP="00CC1484">
      <w:pPr>
        <w:rPr>
          <w:lang w:eastAsia="zh-CN"/>
        </w:rPr>
      </w:pPr>
      <w:r w:rsidRPr="0024149C">
        <w:rPr>
          <w:lang w:eastAsia="zh-CN"/>
        </w:rPr>
        <w:t>Other UE antenna parameters can also be optionally evaluated.</w:t>
      </w:r>
    </w:p>
    <w:p w14:paraId="57D83B70" w14:textId="77777777" w:rsidR="00CC1484" w:rsidRPr="0024149C" w:rsidRDefault="00CC1484" w:rsidP="00CC1484">
      <w:pPr>
        <w:ind w:firstLine="320"/>
        <w:rPr>
          <w:sz w:val="32"/>
          <w:szCs w:val="40"/>
          <w:lang w:eastAsia="zh-CN"/>
        </w:rPr>
      </w:pPr>
    </w:p>
    <w:p w14:paraId="1D6D0F95" w14:textId="77777777" w:rsidR="00CC1484" w:rsidRPr="00066B62" w:rsidRDefault="00CC1484" w:rsidP="00CC1484">
      <w:pPr>
        <w:rPr>
          <w:lang w:eastAsia="zh-CN"/>
        </w:rPr>
      </w:pPr>
      <w:r w:rsidRPr="00066B62">
        <w:rPr>
          <w:highlight w:val="green"/>
          <w:lang w:eastAsia="zh-CN"/>
        </w:rPr>
        <w:t>Agreements</w:t>
      </w:r>
      <w:r w:rsidRPr="00066B62">
        <w:rPr>
          <w:b/>
          <w:bCs/>
          <w:lang w:eastAsia="zh-CN"/>
        </w:rPr>
        <w:t xml:space="preserve">: </w:t>
      </w:r>
      <w:r w:rsidRPr="00066B62">
        <w:rPr>
          <w:lang w:eastAsia="zh-CN"/>
        </w:rPr>
        <w:t>For XR/CG evaluation, adopt following assumptions for BS height for Urban Macro</w:t>
      </w:r>
    </w:p>
    <w:tbl>
      <w:tblPr>
        <w:tblW w:w="0" w:type="auto"/>
        <w:tblCellMar>
          <w:left w:w="0" w:type="dxa"/>
          <w:right w:w="0" w:type="dxa"/>
        </w:tblCellMar>
        <w:tblLook w:val="04A0" w:firstRow="1" w:lastRow="0" w:firstColumn="1" w:lastColumn="0" w:noHBand="0" w:noVBand="1"/>
      </w:tblPr>
      <w:tblGrid>
        <w:gridCol w:w="1877"/>
        <w:gridCol w:w="2368"/>
      </w:tblGrid>
      <w:tr w:rsidR="00CC1484" w:rsidRPr="00066B62" w14:paraId="0F84E60B" w14:textId="77777777" w:rsidTr="008B3D78">
        <w:trPr>
          <w:trHeight w:val="53"/>
        </w:trPr>
        <w:tc>
          <w:tcPr>
            <w:tcW w:w="1877"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7BFB7D13" w14:textId="77777777" w:rsidR="00CC1484" w:rsidRPr="00066B62" w:rsidRDefault="00CC1484" w:rsidP="008B3D78">
            <w:pPr>
              <w:pStyle w:val="xmsonormal0"/>
              <w:rPr>
                <w:rFonts w:ascii="Arial" w:hAnsi="Arial" w:cs="Arial"/>
                <w:sz w:val="20"/>
                <w:szCs w:val="20"/>
              </w:rPr>
            </w:pPr>
            <w:r w:rsidRPr="00066B62">
              <w:rPr>
                <w:rFonts w:ascii="Arial" w:hAnsi="Arial" w:cs="Arial"/>
                <w:b/>
                <w:bCs/>
                <w:sz w:val="20"/>
                <w:szCs w:val="20"/>
              </w:rPr>
              <w:t>Paramete</w:t>
            </w:r>
            <w:r w:rsidRPr="00066B62">
              <w:rPr>
                <w:rFonts w:ascii="Arial" w:hAnsi="Arial" w:cs="Arial"/>
                <w:b/>
                <w:bCs/>
                <w:color w:val="000000"/>
                <w:sz w:val="20"/>
                <w:szCs w:val="20"/>
              </w:rPr>
              <w:t>r</w:t>
            </w:r>
          </w:p>
        </w:tc>
        <w:tc>
          <w:tcPr>
            <w:tcW w:w="236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9FA39B6" w14:textId="77777777" w:rsidR="00CC1484" w:rsidRPr="00066B62" w:rsidRDefault="00CC1484" w:rsidP="008B3D78">
            <w:pPr>
              <w:pStyle w:val="xmsonormal0"/>
              <w:rPr>
                <w:rFonts w:ascii="Arial" w:hAnsi="Arial" w:cs="Arial"/>
                <w:b/>
                <w:bCs/>
                <w:color w:val="000000"/>
                <w:sz w:val="20"/>
                <w:szCs w:val="20"/>
              </w:rPr>
            </w:pPr>
            <w:r w:rsidRPr="00066B62">
              <w:rPr>
                <w:rFonts w:ascii="Arial" w:hAnsi="Arial" w:cs="Arial"/>
                <w:b/>
                <w:bCs/>
                <w:color w:val="000000"/>
                <w:sz w:val="20"/>
                <w:szCs w:val="20"/>
              </w:rPr>
              <w:t>Proposed value</w:t>
            </w:r>
          </w:p>
        </w:tc>
      </w:tr>
      <w:tr w:rsidR="00CC1484" w:rsidRPr="00066B62" w14:paraId="4A51A4A8" w14:textId="77777777" w:rsidTr="008B3D78">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879EF43" w14:textId="77777777" w:rsidR="00CC1484" w:rsidRPr="00066B62" w:rsidRDefault="00CC1484" w:rsidP="008B3D78">
            <w:pPr>
              <w:rPr>
                <w:rFonts w:ascii="Arial" w:eastAsia="Calibri" w:hAnsi="Arial" w:cs="Arial"/>
              </w:rPr>
            </w:pPr>
          </w:p>
        </w:tc>
        <w:tc>
          <w:tcPr>
            <w:tcW w:w="236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78DCD12D" w14:textId="77777777" w:rsidR="00CC1484" w:rsidRPr="00066B62" w:rsidRDefault="00CC1484" w:rsidP="008B3D78">
            <w:pPr>
              <w:pStyle w:val="xmsonormal0"/>
              <w:rPr>
                <w:rFonts w:ascii="Arial" w:hAnsi="Arial" w:cs="Arial"/>
                <w:b/>
                <w:bCs/>
                <w:color w:val="000000"/>
                <w:sz w:val="20"/>
                <w:szCs w:val="20"/>
              </w:rPr>
            </w:pPr>
            <w:r w:rsidRPr="00066B62">
              <w:rPr>
                <w:rFonts w:ascii="Arial" w:hAnsi="Arial" w:cs="Arial"/>
                <w:b/>
                <w:bCs/>
                <w:color w:val="000000"/>
                <w:sz w:val="20"/>
                <w:szCs w:val="20"/>
              </w:rPr>
              <w:t>Urban Macro (FR1)</w:t>
            </w:r>
          </w:p>
        </w:tc>
      </w:tr>
      <w:tr w:rsidR="00CC1484" w:rsidRPr="00066B62" w14:paraId="57DC5497" w14:textId="77777777" w:rsidTr="008B3D78">
        <w:trPr>
          <w:trHeight w:val="5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69DDE" w14:textId="77777777" w:rsidR="00CC1484" w:rsidRPr="00066B62" w:rsidRDefault="00CC1484" w:rsidP="008B3D78">
            <w:pPr>
              <w:pStyle w:val="xmsonormal0"/>
              <w:rPr>
                <w:rFonts w:ascii="Arial" w:hAnsi="Arial" w:cs="Arial"/>
                <w:sz w:val="20"/>
                <w:szCs w:val="20"/>
              </w:rPr>
            </w:pPr>
            <w:r w:rsidRPr="00066B62">
              <w:rPr>
                <w:rFonts w:ascii="Arial" w:hAnsi="Arial" w:cs="Arial"/>
                <w:sz w:val="20"/>
                <w:szCs w:val="20"/>
              </w:rPr>
              <w:t>BS height</w:t>
            </w:r>
          </w:p>
        </w:tc>
        <w:tc>
          <w:tcPr>
            <w:tcW w:w="2368" w:type="dxa"/>
            <w:tcBorders>
              <w:top w:val="nil"/>
              <w:left w:val="nil"/>
              <w:bottom w:val="single" w:sz="8" w:space="0" w:color="auto"/>
              <w:right w:val="single" w:sz="8" w:space="0" w:color="auto"/>
            </w:tcBorders>
            <w:noWrap/>
            <w:tcMar>
              <w:top w:w="0" w:type="dxa"/>
              <w:left w:w="108" w:type="dxa"/>
              <w:bottom w:w="0" w:type="dxa"/>
              <w:right w:w="108" w:type="dxa"/>
            </w:tcMar>
            <w:hideMark/>
          </w:tcPr>
          <w:p w14:paraId="19832983" w14:textId="77777777" w:rsidR="00CC1484" w:rsidRPr="00066B62" w:rsidRDefault="00CC1484" w:rsidP="008B3D78">
            <w:pPr>
              <w:pStyle w:val="xmsonormal0"/>
              <w:rPr>
                <w:rFonts w:ascii="Arial" w:hAnsi="Arial" w:cs="Arial"/>
                <w:color w:val="FF0000"/>
                <w:sz w:val="20"/>
                <w:szCs w:val="20"/>
              </w:rPr>
            </w:pPr>
            <w:r w:rsidRPr="00066B62">
              <w:rPr>
                <w:rFonts w:ascii="Arial" w:hAnsi="Arial" w:cs="Arial"/>
                <w:color w:val="000000"/>
                <w:sz w:val="20"/>
                <w:szCs w:val="20"/>
              </w:rPr>
              <w:t>25m</w:t>
            </w:r>
          </w:p>
        </w:tc>
      </w:tr>
    </w:tbl>
    <w:p w14:paraId="3AA60211" w14:textId="77777777" w:rsidR="00CC1484" w:rsidRPr="00066B62" w:rsidRDefault="00CC1484" w:rsidP="00CC1484">
      <w:pPr>
        <w:rPr>
          <w:rFonts w:ascii="Calibri" w:eastAsia="Calibri" w:hAnsi="Calibri" w:cs="Calibri"/>
          <w:lang w:eastAsia="zh-CN"/>
        </w:rPr>
      </w:pPr>
    </w:p>
    <w:p w14:paraId="0DAA1E85" w14:textId="77777777" w:rsidR="00CC1484" w:rsidRPr="00066B62" w:rsidRDefault="00CC1484" w:rsidP="00CC1484">
      <w:pPr>
        <w:spacing w:after="120"/>
        <w:rPr>
          <w:lang w:eastAsia="zh-CN"/>
        </w:rPr>
      </w:pPr>
      <w:r w:rsidRPr="00066B62">
        <w:rPr>
          <w:highlight w:val="green"/>
          <w:lang w:eastAsia="zh-CN"/>
        </w:rPr>
        <w:t>Agreements</w:t>
      </w:r>
      <w:r w:rsidRPr="00066B62">
        <w:rPr>
          <w:b/>
          <w:bCs/>
          <w:lang w:eastAsia="zh-CN"/>
        </w:rPr>
        <w:t>:</w:t>
      </w:r>
      <w:r w:rsidRPr="00066B62">
        <w:rPr>
          <w:lang w:eastAsia="zh-CN"/>
        </w:rPr>
        <w:t>For Dense urban and Urban Macro, the UE height for indoor UEs is updated as following based on Table 6-1 in TR 36.873.</w:t>
      </w:r>
    </w:p>
    <w:tbl>
      <w:tblPr>
        <w:tblW w:w="0" w:type="auto"/>
        <w:tblCellMar>
          <w:left w:w="0" w:type="dxa"/>
          <w:right w:w="0" w:type="dxa"/>
        </w:tblCellMar>
        <w:tblLook w:val="04A0" w:firstRow="1" w:lastRow="0" w:firstColumn="1" w:lastColumn="0" w:noHBand="0" w:noVBand="1"/>
      </w:tblPr>
      <w:tblGrid>
        <w:gridCol w:w="2646"/>
        <w:gridCol w:w="2049"/>
        <w:gridCol w:w="2578"/>
      </w:tblGrid>
      <w:tr w:rsidR="00CC1484" w:rsidRPr="00066B62" w14:paraId="6FE8658B" w14:textId="77777777" w:rsidTr="008B3D78">
        <w:trPr>
          <w:cantSplit/>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52618DB6" w14:textId="77777777" w:rsidR="00CC1484" w:rsidRPr="00066B62" w:rsidRDefault="00CC1484" w:rsidP="008B3D78">
            <w:pPr>
              <w:keepNext/>
              <w:spacing w:line="252" w:lineRule="auto"/>
              <w:jc w:val="center"/>
              <w:rPr>
                <w:rFonts w:ascii="Arial" w:hAnsi="Arial" w:cs="Arial"/>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03865E35" w14:textId="77777777" w:rsidR="00CC1484" w:rsidRPr="00066B62" w:rsidRDefault="00CC1484" w:rsidP="008B3D78">
            <w:pPr>
              <w:keepNext/>
              <w:spacing w:line="252" w:lineRule="auto"/>
              <w:jc w:val="center"/>
              <w:rPr>
                <w:rFonts w:ascii="Arial" w:hAnsi="Arial" w:cs="Arial"/>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54D8B79F" w14:textId="77777777" w:rsidR="00CC1484" w:rsidRPr="00066B62" w:rsidRDefault="00CC1484" w:rsidP="008B3D78">
            <w:pPr>
              <w:keepNext/>
              <w:spacing w:line="252" w:lineRule="auto"/>
              <w:jc w:val="center"/>
              <w:rPr>
                <w:rFonts w:ascii="Arial" w:hAnsi="Arial" w:cs="Arial"/>
              </w:rPr>
            </w:pPr>
            <w:r w:rsidRPr="00066B62">
              <w:rPr>
                <w:rFonts w:ascii="Arial" w:hAnsi="Arial" w:cs="Arial"/>
                <w:color w:val="000000"/>
              </w:rPr>
              <w:t>Urban Micro</w:t>
            </w:r>
            <w:r w:rsidRPr="00066B62">
              <w:rPr>
                <w:rFonts w:ascii="Arial" w:hAnsi="Arial" w:cs="Arial"/>
                <w:color w:val="FF0000"/>
              </w:rPr>
              <w:t>/Macro</w:t>
            </w:r>
            <w:r w:rsidRPr="00066B62">
              <w:rPr>
                <w:rFonts w:ascii="Arial" w:hAnsi="Arial" w:cs="Arial"/>
                <w:color w:val="000000"/>
              </w:rPr>
              <w:t xml:space="preserve"> cell </w:t>
            </w:r>
          </w:p>
          <w:p w14:paraId="19093A96" w14:textId="77777777" w:rsidR="00CC1484" w:rsidRPr="00066B62" w:rsidRDefault="00CC1484" w:rsidP="008B3D78">
            <w:pPr>
              <w:keepNext/>
              <w:spacing w:line="252" w:lineRule="auto"/>
              <w:jc w:val="center"/>
              <w:rPr>
                <w:rFonts w:ascii="Arial" w:hAnsi="Arial" w:cs="Arial"/>
              </w:rPr>
            </w:pPr>
            <w:r w:rsidRPr="00066B62">
              <w:rPr>
                <w:rFonts w:ascii="Arial" w:hAnsi="Arial" w:cs="Arial"/>
                <w:color w:val="000000"/>
              </w:rPr>
              <w:t>with high UE density</w:t>
            </w:r>
          </w:p>
          <w:p w14:paraId="12194E95" w14:textId="77777777" w:rsidR="00CC1484" w:rsidRPr="00066B62" w:rsidRDefault="00CC1484" w:rsidP="008B3D78">
            <w:pPr>
              <w:keepNext/>
              <w:spacing w:line="252" w:lineRule="auto"/>
              <w:jc w:val="center"/>
              <w:rPr>
                <w:rFonts w:ascii="Arial" w:hAnsi="Arial" w:cs="Arial"/>
              </w:rPr>
            </w:pPr>
            <w:r w:rsidRPr="00066B62">
              <w:rPr>
                <w:rFonts w:ascii="Arial" w:hAnsi="Arial" w:cs="Arial"/>
                <w:color w:val="000000"/>
              </w:rPr>
              <w:t>(3D-UMi)</w:t>
            </w:r>
            <w:r w:rsidRPr="00066B62">
              <w:rPr>
                <w:rFonts w:ascii="Arial" w:hAnsi="Arial" w:cs="Arial"/>
                <w:color w:val="FF0000"/>
              </w:rPr>
              <w:t xml:space="preserve"> /(3D-UMa)</w:t>
            </w:r>
          </w:p>
        </w:tc>
      </w:tr>
      <w:tr w:rsidR="00CC1484" w:rsidRPr="00066B62" w14:paraId="422B445B" w14:textId="77777777" w:rsidTr="008B3D78">
        <w:trPr>
          <w:cantSplit/>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8C8746" w14:textId="77777777" w:rsidR="00CC1484" w:rsidRPr="00066B62" w:rsidRDefault="00CC1484" w:rsidP="008B3D78">
            <w:pPr>
              <w:keepNext/>
              <w:spacing w:line="252" w:lineRule="auto"/>
              <w:rPr>
                <w:rFonts w:ascii="Arial" w:hAnsi="Arial" w:cs="Arial"/>
              </w:rPr>
            </w:pPr>
            <w:r w:rsidRPr="00066B62">
              <w:rPr>
                <w:rFonts w:ascii="Arial" w:hAnsi="Arial" w:cs="Arial"/>
              </w:rPr>
              <w:t>UE height (</w:t>
            </w:r>
            <w:r w:rsidRPr="00066B62">
              <w:rPr>
                <w:rFonts w:ascii="Arial" w:hAnsi="Arial" w:cs="Arial"/>
                <w:i/>
                <w:iCs/>
              </w:rPr>
              <w:t>h</w:t>
            </w:r>
            <w:r w:rsidRPr="00066B62">
              <w:rPr>
                <w:rFonts w:ascii="Arial" w:hAnsi="Arial" w:cs="Arial"/>
                <w:i/>
                <w:iCs/>
                <w:vertAlign w:val="subscript"/>
              </w:rPr>
              <w:t>UT</w:t>
            </w:r>
            <w:r w:rsidRPr="00066B62">
              <w:rPr>
                <w:rFonts w:ascii="Arial" w:hAnsi="Arial" w:cs="Arial"/>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E52FC" w14:textId="77777777" w:rsidR="00CC1484" w:rsidRPr="00066B62" w:rsidRDefault="00CC1484" w:rsidP="008B3D78">
            <w:pPr>
              <w:keepNext/>
              <w:spacing w:line="252" w:lineRule="auto"/>
              <w:jc w:val="center"/>
              <w:rPr>
                <w:rFonts w:ascii="Arial" w:hAnsi="Arial" w:cs="Arial"/>
              </w:rPr>
            </w:pPr>
            <w:r w:rsidRPr="00066B62">
              <w:rPr>
                <w:rFonts w:ascii="Arial" w:hAnsi="Arial" w:cs="Arial"/>
              </w:rPr>
              <w:t>general equation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325D1F" w14:textId="77777777" w:rsidR="00CC1484" w:rsidRPr="00066B62" w:rsidRDefault="00CC1484" w:rsidP="008B3D78">
            <w:pPr>
              <w:keepNext/>
              <w:spacing w:line="252" w:lineRule="auto"/>
              <w:jc w:val="center"/>
              <w:rPr>
                <w:rFonts w:ascii="Arial" w:hAnsi="Arial" w:cs="Arial"/>
              </w:rPr>
            </w:pPr>
            <w:r w:rsidRPr="00066B62">
              <w:rPr>
                <w:rFonts w:ascii="Arial" w:hAnsi="Arial" w:cs="Arial"/>
                <w:i/>
                <w:iCs/>
              </w:rPr>
              <w:t>h</w:t>
            </w:r>
            <w:r w:rsidRPr="00066B62">
              <w:rPr>
                <w:rFonts w:ascii="Arial" w:hAnsi="Arial" w:cs="Arial"/>
                <w:i/>
                <w:iCs/>
                <w:vertAlign w:val="subscript"/>
              </w:rPr>
              <w:t>UT</w:t>
            </w:r>
            <w:r w:rsidRPr="00066B62">
              <w:rPr>
                <w:rFonts w:ascii="Arial" w:hAnsi="Arial" w:cs="Arial"/>
              </w:rPr>
              <w:t>=3(</w:t>
            </w:r>
            <w:r w:rsidRPr="00066B62">
              <w:rPr>
                <w:rFonts w:ascii="Arial" w:hAnsi="Arial" w:cs="Arial"/>
                <w:i/>
                <w:iCs/>
              </w:rPr>
              <w:t>n</w:t>
            </w:r>
            <w:r w:rsidRPr="00066B62">
              <w:rPr>
                <w:rFonts w:ascii="Arial" w:hAnsi="Arial" w:cs="Arial"/>
                <w:i/>
                <w:iCs/>
                <w:vertAlign w:val="subscript"/>
              </w:rPr>
              <w:t>fl</w:t>
            </w:r>
            <w:r w:rsidRPr="00066B62">
              <w:rPr>
                <w:rFonts w:ascii="Arial" w:hAnsi="Arial" w:cs="Arial"/>
              </w:rPr>
              <w:t xml:space="preserve"> – 1) + 1.5</w:t>
            </w:r>
          </w:p>
        </w:tc>
      </w:tr>
      <w:tr w:rsidR="00CC1484" w:rsidRPr="00066B62" w14:paraId="4482917A" w14:textId="77777777" w:rsidTr="008B3D78">
        <w:trPr>
          <w:cantSplit/>
        </w:trPr>
        <w:tc>
          <w:tcPr>
            <w:tcW w:w="0" w:type="auto"/>
            <w:vMerge/>
            <w:tcBorders>
              <w:top w:val="nil"/>
              <w:left w:val="single" w:sz="8" w:space="0" w:color="auto"/>
              <w:bottom w:val="single" w:sz="8" w:space="0" w:color="auto"/>
              <w:right w:val="single" w:sz="8" w:space="0" w:color="auto"/>
            </w:tcBorders>
            <w:vAlign w:val="center"/>
            <w:hideMark/>
          </w:tcPr>
          <w:p w14:paraId="10EA2596" w14:textId="77777777" w:rsidR="00CC1484" w:rsidRPr="00066B62" w:rsidRDefault="00CC1484" w:rsidP="008B3D78">
            <w:pPr>
              <w:rPr>
                <w:rFonts w:ascii="Arial" w:eastAsia="Calibri"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0ACC2" w14:textId="77777777" w:rsidR="00CC1484" w:rsidRPr="00066B62" w:rsidRDefault="00CC1484" w:rsidP="008B3D78">
            <w:pPr>
              <w:keepNext/>
              <w:spacing w:line="252" w:lineRule="auto"/>
              <w:jc w:val="center"/>
              <w:rPr>
                <w:rFonts w:ascii="Arial" w:hAnsi="Arial" w:cs="Arial"/>
              </w:rPr>
            </w:pPr>
            <w:r w:rsidRPr="00066B62">
              <w:rPr>
                <w:rFonts w:ascii="Arial" w:hAnsi="Arial" w:cs="Arial"/>
                <w:i/>
                <w:iCs/>
              </w:rPr>
              <w:t>n</w:t>
            </w:r>
            <w:r w:rsidRPr="00066B62">
              <w:rPr>
                <w:rFonts w:ascii="Arial" w:hAnsi="Arial" w:cs="Arial"/>
                <w:i/>
                <w:iCs/>
                <w:vertAlign w:val="subscript"/>
              </w:rPr>
              <w:t>fl</w:t>
            </w:r>
            <w:r w:rsidRPr="00066B62">
              <w:rPr>
                <w:rFonts w:ascii="Arial" w:hAnsi="Arial" w:cs="Arial"/>
              </w:rPr>
              <w:t xml:space="preserve"> for outdoor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049F8" w14:textId="77777777" w:rsidR="00CC1484" w:rsidRPr="00066B62" w:rsidRDefault="00CC1484" w:rsidP="008B3D78">
            <w:pPr>
              <w:keepNext/>
              <w:spacing w:line="252" w:lineRule="auto"/>
              <w:jc w:val="center"/>
              <w:rPr>
                <w:rFonts w:ascii="Arial" w:hAnsi="Arial" w:cs="Arial"/>
              </w:rPr>
            </w:pPr>
            <w:r w:rsidRPr="00066B62">
              <w:rPr>
                <w:rFonts w:ascii="Arial" w:hAnsi="Arial" w:cs="Arial"/>
              </w:rPr>
              <w:t>1</w:t>
            </w:r>
          </w:p>
        </w:tc>
      </w:tr>
      <w:tr w:rsidR="00CC1484" w:rsidRPr="00066B62" w14:paraId="18A52FD5" w14:textId="77777777" w:rsidTr="008B3D78">
        <w:trPr>
          <w:cantSplit/>
        </w:trPr>
        <w:tc>
          <w:tcPr>
            <w:tcW w:w="0" w:type="auto"/>
            <w:vMerge/>
            <w:tcBorders>
              <w:top w:val="nil"/>
              <w:left w:val="single" w:sz="8" w:space="0" w:color="auto"/>
              <w:bottom w:val="single" w:sz="8" w:space="0" w:color="auto"/>
              <w:right w:val="single" w:sz="8" w:space="0" w:color="auto"/>
            </w:tcBorders>
            <w:vAlign w:val="center"/>
            <w:hideMark/>
          </w:tcPr>
          <w:p w14:paraId="6013D2C1" w14:textId="77777777" w:rsidR="00CC1484" w:rsidRPr="00066B62" w:rsidRDefault="00CC1484" w:rsidP="008B3D78">
            <w:pPr>
              <w:rPr>
                <w:rFonts w:ascii="Arial" w:eastAsia="Calibri"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89235B" w14:textId="77777777" w:rsidR="00CC1484" w:rsidRPr="00066B62" w:rsidRDefault="00CC1484" w:rsidP="008B3D78">
            <w:pPr>
              <w:keepNext/>
              <w:spacing w:line="252" w:lineRule="auto"/>
              <w:jc w:val="center"/>
              <w:rPr>
                <w:rFonts w:ascii="Arial" w:hAnsi="Arial" w:cs="Arial"/>
              </w:rPr>
            </w:pPr>
            <w:r w:rsidRPr="00066B62">
              <w:rPr>
                <w:rFonts w:ascii="Arial" w:hAnsi="Arial" w:cs="Arial"/>
                <w:i/>
                <w:iCs/>
              </w:rPr>
              <w:t>n</w:t>
            </w:r>
            <w:r w:rsidRPr="00066B62">
              <w:rPr>
                <w:rFonts w:ascii="Arial" w:hAnsi="Arial" w:cs="Arial"/>
                <w:i/>
                <w:iCs/>
                <w:vertAlign w:val="subscript"/>
              </w:rPr>
              <w:t>fl</w:t>
            </w:r>
            <w:r w:rsidRPr="00066B62">
              <w:rPr>
                <w:rFonts w:ascii="Arial" w:hAnsi="Arial" w:cs="Arial"/>
              </w:rPr>
              <w:t xml:space="preserve"> for indoor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1E53D1" w14:textId="77777777" w:rsidR="00CC1484" w:rsidRPr="00066B62" w:rsidRDefault="00CC1484" w:rsidP="008B3D78">
            <w:pPr>
              <w:keepNext/>
              <w:spacing w:line="252" w:lineRule="auto"/>
              <w:jc w:val="center"/>
              <w:rPr>
                <w:rFonts w:ascii="Arial" w:hAnsi="Arial" w:cs="Arial"/>
              </w:rPr>
            </w:pPr>
            <w:r w:rsidRPr="00066B62">
              <w:rPr>
                <w:rFonts w:ascii="Arial" w:hAnsi="Arial" w:cs="Arial"/>
                <w:i/>
                <w:iCs/>
              </w:rPr>
              <w:t>n</w:t>
            </w:r>
            <w:r w:rsidRPr="00066B62">
              <w:rPr>
                <w:rFonts w:ascii="Arial" w:hAnsi="Arial" w:cs="Arial"/>
                <w:i/>
                <w:iCs/>
                <w:vertAlign w:val="subscript"/>
              </w:rPr>
              <w:t xml:space="preserve">fl </w:t>
            </w:r>
            <w:r w:rsidRPr="00066B62">
              <w:rPr>
                <w:rFonts w:ascii="Arial" w:hAnsi="Arial" w:cs="Arial"/>
              </w:rPr>
              <w:t>~ uniform(1,</w:t>
            </w:r>
            <w:r w:rsidRPr="00066B62">
              <w:rPr>
                <w:rFonts w:ascii="Arial" w:hAnsi="Arial" w:cs="Arial"/>
                <w:i/>
                <w:iCs/>
              </w:rPr>
              <w:t>N</w:t>
            </w:r>
            <w:r w:rsidRPr="00066B62">
              <w:rPr>
                <w:rFonts w:ascii="Arial" w:hAnsi="Arial" w:cs="Arial"/>
                <w:i/>
                <w:iCs/>
                <w:vertAlign w:val="subscript"/>
              </w:rPr>
              <w:t>fl</w:t>
            </w:r>
            <w:r w:rsidRPr="00066B62">
              <w:rPr>
                <w:rFonts w:ascii="Arial" w:hAnsi="Arial" w:cs="Arial"/>
              </w:rPr>
              <w:t>) where</w:t>
            </w:r>
          </w:p>
          <w:p w14:paraId="79825935" w14:textId="77777777" w:rsidR="00CC1484" w:rsidRPr="00066B62" w:rsidRDefault="00CC1484" w:rsidP="008B3D78">
            <w:pPr>
              <w:keepNext/>
              <w:spacing w:line="252" w:lineRule="auto"/>
              <w:jc w:val="center"/>
              <w:rPr>
                <w:rFonts w:ascii="Arial" w:hAnsi="Arial" w:cs="Arial"/>
              </w:rPr>
            </w:pPr>
            <w:r w:rsidRPr="00066B62">
              <w:rPr>
                <w:rFonts w:ascii="Arial" w:hAnsi="Arial" w:cs="Arial"/>
                <w:i/>
                <w:iCs/>
              </w:rPr>
              <w:t>N</w:t>
            </w:r>
            <w:r w:rsidRPr="00066B62">
              <w:rPr>
                <w:rFonts w:ascii="Arial" w:hAnsi="Arial" w:cs="Arial"/>
                <w:i/>
                <w:iCs/>
                <w:vertAlign w:val="subscript"/>
              </w:rPr>
              <w:t>fl</w:t>
            </w:r>
            <w:r w:rsidRPr="00066B62">
              <w:rPr>
                <w:rFonts w:ascii="Arial" w:hAnsi="Arial" w:cs="Arial"/>
              </w:rPr>
              <w:t xml:space="preserve"> ~ uniform(4,8)</w:t>
            </w:r>
          </w:p>
        </w:tc>
      </w:tr>
    </w:tbl>
    <w:p w14:paraId="1428AF4F" w14:textId="77777777" w:rsidR="00CC1484" w:rsidRPr="00066B62" w:rsidRDefault="00CC1484" w:rsidP="00CC1484">
      <w:pPr>
        <w:rPr>
          <w:rFonts w:ascii="Calibri" w:eastAsia="Calibri" w:hAnsi="Calibri" w:cs="Calibri"/>
          <w:lang w:eastAsia="zh-CN"/>
        </w:rPr>
      </w:pPr>
    </w:p>
    <w:p w14:paraId="77DA34A0" w14:textId="77777777" w:rsidR="00CC1484" w:rsidRPr="00DA3794" w:rsidRDefault="00CC1484" w:rsidP="00CC1484">
      <w:pPr>
        <w:rPr>
          <w:rFonts w:eastAsia="Calibri"/>
          <w:lang w:eastAsia="zh-CN"/>
        </w:rPr>
      </w:pPr>
    </w:p>
    <w:p w14:paraId="0921D08B" w14:textId="77777777" w:rsidR="00CC1484" w:rsidRPr="009D5D1B" w:rsidRDefault="00CC1484" w:rsidP="00CC1484">
      <w:pPr>
        <w:rPr>
          <w:lang w:eastAsia="zh-CN"/>
        </w:rPr>
      </w:pPr>
      <w:r w:rsidRPr="009D5D1B">
        <w:rPr>
          <w:highlight w:val="green"/>
          <w:lang w:eastAsia="zh-CN"/>
        </w:rPr>
        <w:t>Agreements</w:t>
      </w:r>
      <w:r w:rsidRPr="009D5D1B">
        <w:rPr>
          <w:b/>
          <w:bCs/>
          <w:lang w:eastAsia="zh-CN"/>
        </w:rPr>
        <w:t>:</w:t>
      </w:r>
      <w:r w:rsidRPr="009D5D1B">
        <w:rPr>
          <w:lang w:eastAsia="zh-CN"/>
        </w:rPr>
        <w:t xml:space="preserve">At least for XR/CG capacity evaluation, for DL and UL </w:t>
      </w:r>
    </w:p>
    <w:p w14:paraId="714A260E" w14:textId="77777777" w:rsidR="00CC1484" w:rsidRPr="009D5D1B" w:rsidRDefault="00CC1484" w:rsidP="00CC1484">
      <w:pPr>
        <w:numPr>
          <w:ilvl w:val="0"/>
          <w:numId w:val="37"/>
        </w:numPr>
        <w:spacing w:before="0" w:after="0" w:line="252" w:lineRule="auto"/>
        <w:ind w:firstLineChars="0"/>
        <w:rPr>
          <w:lang w:eastAsia="zh-CN"/>
        </w:rPr>
      </w:pPr>
      <w:r w:rsidRPr="009D5D1B">
        <w:rPr>
          <w:lang w:eastAsia="zh-CN"/>
        </w:rPr>
        <w:t>Baseline: DL and UL performances are evaluated independently</w:t>
      </w:r>
    </w:p>
    <w:p w14:paraId="44A2E4D1" w14:textId="77777777" w:rsidR="00CC1484" w:rsidRPr="009D5D1B" w:rsidRDefault="00CC1484" w:rsidP="00CC1484">
      <w:pPr>
        <w:numPr>
          <w:ilvl w:val="0"/>
          <w:numId w:val="37"/>
        </w:numPr>
        <w:spacing w:before="0" w:after="0" w:line="252" w:lineRule="auto"/>
        <w:ind w:firstLineChars="0"/>
        <w:rPr>
          <w:lang w:eastAsia="zh-CN"/>
        </w:rPr>
      </w:pPr>
      <w:r w:rsidRPr="009D5D1B">
        <w:rPr>
          <w:lang w:eastAsia="zh-CN"/>
        </w:rPr>
        <w:t xml:space="preserve">Optional: DL and UL performance are evaluated together </w:t>
      </w:r>
    </w:p>
    <w:p w14:paraId="3830F7F9" w14:textId="77777777" w:rsidR="00CC1484" w:rsidRPr="009D5D1B" w:rsidRDefault="00CC1484" w:rsidP="00CC1484">
      <w:pPr>
        <w:numPr>
          <w:ilvl w:val="0"/>
          <w:numId w:val="37"/>
        </w:numPr>
        <w:spacing w:before="0" w:after="0" w:line="252" w:lineRule="auto"/>
        <w:ind w:firstLineChars="0"/>
        <w:rPr>
          <w:lang w:eastAsia="zh-CN"/>
        </w:rPr>
      </w:pPr>
      <w:r w:rsidRPr="009D5D1B">
        <w:rPr>
          <w:lang w:eastAsia="zh-CN"/>
        </w:rPr>
        <w:t>FFS details both the baseline and the optional evaluations</w:t>
      </w:r>
    </w:p>
    <w:p w14:paraId="49A5E153" w14:textId="77777777" w:rsidR="00CC1484" w:rsidRDefault="00CC1484" w:rsidP="00CC1484">
      <w:pPr>
        <w:rPr>
          <w:lang w:eastAsia="zh-CN"/>
        </w:rPr>
      </w:pPr>
    </w:p>
    <w:p w14:paraId="7BC20D22" w14:textId="77777777" w:rsidR="00CC1484" w:rsidRDefault="00CC1484" w:rsidP="00CC1484">
      <w:pPr>
        <w:rPr>
          <w:lang w:eastAsia="zh-CN"/>
        </w:rPr>
      </w:pPr>
    </w:p>
    <w:p w14:paraId="5E7EC557" w14:textId="77777777" w:rsidR="00CC1484" w:rsidRPr="00C945D5" w:rsidRDefault="00CC1484" w:rsidP="00CC1484">
      <w:pPr>
        <w:spacing w:line="252" w:lineRule="auto"/>
        <w:rPr>
          <w:rFonts w:ascii="Calibri" w:hAnsi="Calibri"/>
          <w:lang w:eastAsia="zh-CN"/>
        </w:rPr>
      </w:pPr>
      <w:r w:rsidRPr="00C945D5">
        <w:rPr>
          <w:highlight w:val="green"/>
          <w:lang w:eastAsia="zh-CN"/>
        </w:rPr>
        <w:t>Agreements</w:t>
      </w:r>
      <w:r w:rsidRPr="00C945D5">
        <w:rPr>
          <w:rStyle w:val="Strong"/>
          <w:lang w:eastAsia="zh-CN"/>
        </w:rPr>
        <w:t>:</w:t>
      </w:r>
      <w:r w:rsidRPr="00C945D5">
        <w:rPr>
          <w:lang w:eastAsia="zh-CN"/>
        </w:rPr>
        <w:t xml:space="preserve"> For Dense urban for XR/CG evaluation, update the agreement in RAN1 #103e for channel model as follows.</w:t>
      </w:r>
    </w:p>
    <w:p w14:paraId="40657B57" w14:textId="77777777" w:rsidR="00CC1484" w:rsidRPr="00C945D5" w:rsidRDefault="00CC1484" w:rsidP="00CC1484">
      <w:pPr>
        <w:numPr>
          <w:ilvl w:val="0"/>
          <w:numId w:val="36"/>
        </w:numPr>
        <w:spacing w:before="0" w:after="0" w:line="252" w:lineRule="auto"/>
        <w:ind w:firstLineChars="0"/>
        <w:jc w:val="left"/>
        <w:rPr>
          <w:lang w:eastAsia="zh-CN"/>
        </w:rPr>
      </w:pPr>
      <w:r w:rsidRPr="00C945D5">
        <w:rPr>
          <w:lang w:eastAsia="zh-CN"/>
        </w:rPr>
        <w:t>Dense urban: FR1 and FR2</w:t>
      </w:r>
    </w:p>
    <w:p w14:paraId="10397F31" w14:textId="77777777" w:rsidR="00CC1484" w:rsidRPr="00C945D5" w:rsidRDefault="00CC1484" w:rsidP="00CC1484">
      <w:pPr>
        <w:numPr>
          <w:ilvl w:val="1"/>
          <w:numId w:val="36"/>
        </w:numPr>
        <w:spacing w:before="0" w:after="0" w:line="252" w:lineRule="auto"/>
        <w:ind w:firstLineChars="0"/>
        <w:jc w:val="left"/>
        <w:rPr>
          <w:lang w:eastAsia="zh-CN"/>
        </w:rPr>
      </w:pPr>
      <w:r w:rsidRPr="00C945D5">
        <w:rPr>
          <w:lang w:eastAsia="zh-CN"/>
        </w:rPr>
        <w:t xml:space="preserve">Channel model: </w:t>
      </w:r>
      <w:r w:rsidRPr="00C945D5">
        <w:rPr>
          <w:strike/>
          <w:color w:val="FF0000"/>
          <w:lang w:eastAsia="zh-CN"/>
        </w:rPr>
        <w:t>UMi</w:t>
      </w:r>
      <w:r w:rsidRPr="00C945D5">
        <w:rPr>
          <w:color w:val="FF0000"/>
          <w:lang w:eastAsia="zh-CN"/>
        </w:rPr>
        <w:t xml:space="preserve"> UMa</w:t>
      </w:r>
      <w:r w:rsidRPr="00C945D5">
        <w:rPr>
          <w:lang w:eastAsia="zh-CN"/>
        </w:rPr>
        <w:t xml:space="preserve">. Detailed definition of </w:t>
      </w:r>
      <w:r w:rsidRPr="00C945D5">
        <w:rPr>
          <w:strike/>
          <w:color w:val="FF0000"/>
          <w:lang w:eastAsia="zh-CN"/>
        </w:rPr>
        <w:t>UMi</w:t>
      </w:r>
      <w:r w:rsidRPr="00C945D5">
        <w:rPr>
          <w:color w:val="FF0000"/>
          <w:lang w:eastAsia="zh-CN"/>
        </w:rPr>
        <w:t xml:space="preserve"> UMa</w:t>
      </w:r>
      <w:r w:rsidRPr="00C945D5">
        <w:rPr>
          <w:lang w:eastAsia="zh-CN"/>
        </w:rPr>
        <w:t xml:space="preserve"> refers to TR 38.901.</w:t>
      </w:r>
    </w:p>
    <w:p w14:paraId="08D13254" w14:textId="77777777" w:rsidR="00CC1484" w:rsidRDefault="00CC1484" w:rsidP="00CC1484">
      <w:pPr>
        <w:spacing w:after="120" w:line="252" w:lineRule="auto"/>
        <w:rPr>
          <w:lang w:eastAsia="zh-CN"/>
        </w:rPr>
      </w:pPr>
      <w:r>
        <w:rPr>
          <w:lang w:eastAsia="zh-CN"/>
        </w:rPr>
        <w:t> </w:t>
      </w:r>
    </w:p>
    <w:p w14:paraId="5C84647B" w14:textId="77777777" w:rsidR="00CC1484" w:rsidRPr="00C945D5" w:rsidRDefault="00CC1484" w:rsidP="00CC1484">
      <w:pPr>
        <w:spacing w:line="252" w:lineRule="auto"/>
        <w:rPr>
          <w:lang w:eastAsia="zh-CN"/>
        </w:rPr>
      </w:pPr>
      <w:r w:rsidRPr="00C945D5">
        <w:rPr>
          <w:highlight w:val="green"/>
          <w:lang w:eastAsia="zh-CN"/>
        </w:rPr>
        <w:t>Agreements</w:t>
      </w:r>
      <w:r w:rsidRPr="00C945D5">
        <w:rPr>
          <w:lang w:eastAsia="zh-CN"/>
        </w:rPr>
        <w:t xml:space="preserve"> For XR/CG evaluation, adopt 12 degree for downtilt for Dense Urban in FR1.</w:t>
      </w:r>
    </w:p>
    <w:p w14:paraId="5E0FA3B7" w14:textId="77777777" w:rsidR="00CC1484" w:rsidRPr="00C945D5" w:rsidRDefault="00CC1484" w:rsidP="00CC1484">
      <w:pPr>
        <w:numPr>
          <w:ilvl w:val="0"/>
          <w:numId w:val="38"/>
        </w:numPr>
        <w:spacing w:before="100" w:beforeAutospacing="1" w:after="100" w:afterAutospacing="1" w:line="240" w:lineRule="auto"/>
        <w:ind w:firstLineChars="0"/>
        <w:jc w:val="left"/>
        <w:rPr>
          <w:rFonts w:eastAsia="Times New Roman"/>
          <w:lang w:eastAsia="zh-CN"/>
        </w:rPr>
      </w:pPr>
      <w:r w:rsidRPr="00C945D5">
        <w:rPr>
          <w:rFonts w:eastAsia="Times New Roman"/>
          <w:lang w:eastAsia="zh-CN"/>
        </w:rPr>
        <w:t>Other downtilt value can also be optionally evaluated</w:t>
      </w:r>
    </w:p>
    <w:p w14:paraId="1A4C669E" w14:textId="77777777" w:rsidR="00CC1484" w:rsidRDefault="00CC1484" w:rsidP="00CC1484">
      <w:pPr>
        <w:ind w:firstLineChars="0" w:firstLine="0"/>
        <w:jc w:val="left"/>
        <w:rPr>
          <w:rFonts w:cs="Calibri"/>
          <w:lang w:val="en-GB" w:eastAsia="en-US"/>
        </w:rPr>
      </w:pPr>
    </w:p>
    <w:p w14:paraId="5E1E77B4" w14:textId="0E338177" w:rsidR="00CC1484" w:rsidRPr="00CC1484" w:rsidRDefault="00CC1484" w:rsidP="00CC1484">
      <w:pPr>
        <w:ind w:firstLineChars="0" w:firstLine="0"/>
        <w:jc w:val="left"/>
        <w:rPr>
          <w:rFonts w:ascii="Calibri" w:hAnsi="Calibri" w:cs="Calibri"/>
          <w:sz w:val="22"/>
          <w:szCs w:val="22"/>
          <w:lang w:val="en-GB" w:eastAsia="en-US"/>
        </w:rPr>
      </w:pPr>
      <w:r w:rsidRPr="00CC1484">
        <w:rPr>
          <w:rFonts w:ascii="Calibri" w:hAnsi="Calibri" w:cs="Calibri"/>
          <w:sz w:val="22"/>
          <w:szCs w:val="22"/>
          <w:lang w:val="en-GB" w:eastAsia="en-US"/>
        </w:rPr>
        <w:t>Based on the baseline agreements and working assumptions for the DL and UL XR traffic models, Figure 1 shows the user experienced throughput as a function system load</w:t>
      </w:r>
      <w:r>
        <w:rPr>
          <w:rFonts w:ascii="Calibri" w:hAnsi="Calibri" w:cs="Calibri"/>
          <w:sz w:val="22"/>
          <w:szCs w:val="22"/>
          <w:lang w:val="en-GB" w:eastAsia="en-US"/>
        </w:rPr>
        <w:t xml:space="preserve"> for the FR1 dense urban scenario</w:t>
      </w:r>
      <w:r w:rsidRPr="00CC1484">
        <w:rPr>
          <w:rFonts w:ascii="Calibri" w:hAnsi="Calibri" w:cs="Calibri"/>
          <w:sz w:val="22"/>
          <w:szCs w:val="22"/>
          <w:lang w:val="en-GB" w:eastAsia="en-US"/>
        </w:rPr>
        <w:t>. The system load is varied by changing the number of users per cell and low/medium/high load corresponds to 10%/25%/60% resource utilization respectively.</w:t>
      </w:r>
    </w:p>
    <w:p w14:paraId="5752D650" w14:textId="3AE8198D" w:rsidR="00C72461" w:rsidRDefault="006A690E" w:rsidP="006A690E">
      <w:pPr>
        <w:ind w:firstLineChars="0" w:firstLine="0"/>
        <w:jc w:val="center"/>
        <w:rPr>
          <w:rFonts w:cs="Calibri"/>
          <w:b/>
          <w:bCs/>
          <w:lang w:eastAsia="en-US"/>
        </w:rPr>
      </w:pPr>
      <w:r w:rsidRPr="006A690E">
        <w:rPr>
          <w:rFonts w:cs="Calibri"/>
          <w:b/>
          <w:bCs/>
          <w:lang w:eastAsia="en-US"/>
        </w:rPr>
        <w:drawing>
          <wp:inline distT="0" distB="0" distL="0" distR="0" wp14:anchorId="32765B66" wp14:editId="1AEB700C">
            <wp:extent cx="2971398" cy="22284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81175" cy="2235805"/>
                    </a:xfrm>
                    <a:prstGeom prst="rect">
                      <a:avLst/>
                    </a:prstGeom>
                  </pic:spPr>
                </pic:pic>
              </a:graphicData>
            </a:graphic>
          </wp:inline>
        </w:drawing>
      </w:r>
      <w:r w:rsidR="006A2BCE" w:rsidRPr="006A2BCE">
        <w:rPr>
          <w:noProof/>
        </w:rPr>
        <w:t xml:space="preserve"> </w:t>
      </w:r>
      <w:r w:rsidR="006A2BCE" w:rsidRPr="006A2BCE">
        <w:rPr>
          <w:rFonts w:cs="Calibri"/>
          <w:b/>
          <w:bCs/>
          <w:lang w:eastAsia="en-US"/>
        </w:rPr>
        <w:drawing>
          <wp:inline distT="0" distB="0" distL="0" distR="0" wp14:anchorId="7B70C29A" wp14:editId="47DEB688">
            <wp:extent cx="2789026" cy="209169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02556" cy="2101845"/>
                    </a:xfrm>
                    <a:prstGeom prst="rect">
                      <a:avLst/>
                    </a:prstGeom>
                  </pic:spPr>
                </pic:pic>
              </a:graphicData>
            </a:graphic>
          </wp:inline>
        </w:drawing>
      </w:r>
    </w:p>
    <w:p w14:paraId="0609BA29" w14:textId="567070AC" w:rsidR="006A690E" w:rsidRDefault="006A690E" w:rsidP="006A690E">
      <w:pPr>
        <w:ind w:firstLineChars="0" w:firstLine="0"/>
        <w:jc w:val="center"/>
        <w:rPr>
          <w:rFonts w:ascii="Calibri" w:hAnsi="Calibri" w:cs="Calibri"/>
          <w:b/>
          <w:bCs/>
          <w:sz w:val="22"/>
          <w:szCs w:val="22"/>
          <w:lang w:val="en-GB" w:eastAsia="en-US"/>
        </w:rPr>
      </w:pPr>
      <w:r w:rsidRPr="006A690E">
        <w:rPr>
          <w:rFonts w:ascii="Calibri" w:hAnsi="Calibri" w:cs="Calibri"/>
          <w:b/>
          <w:bCs/>
          <w:sz w:val="22"/>
          <w:szCs w:val="22"/>
          <w:lang w:val="en-GB" w:eastAsia="en-US"/>
        </w:rPr>
        <w:t>Figure 1</w:t>
      </w:r>
      <w:r>
        <w:rPr>
          <w:rFonts w:ascii="Calibri" w:hAnsi="Calibri" w:cs="Calibri"/>
          <w:b/>
          <w:bCs/>
          <w:sz w:val="22"/>
          <w:szCs w:val="22"/>
          <w:lang w:val="en-GB" w:eastAsia="en-US"/>
        </w:rPr>
        <w:t xml:space="preserve">. </w:t>
      </w:r>
      <w:r w:rsidR="00CC1484">
        <w:rPr>
          <w:rFonts w:ascii="Calibri" w:hAnsi="Calibri" w:cs="Calibri"/>
          <w:b/>
          <w:bCs/>
          <w:sz w:val="22"/>
          <w:szCs w:val="22"/>
          <w:lang w:val="en-GB" w:eastAsia="en-US"/>
        </w:rPr>
        <w:t xml:space="preserve">FR1 </w:t>
      </w:r>
      <w:r>
        <w:rPr>
          <w:rFonts w:ascii="Calibri" w:hAnsi="Calibri" w:cs="Calibri"/>
          <w:b/>
          <w:bCs/>
          <w:sz w:val="22"/>
          <w:szCs w:val="22"/>
          <w:lang w:val="en-GB" w:eastAsia="en-US"/>
        </w:rPr>
        <w:t>DL and UL XR Traffic Model performance as a function of system load</w:t>
      </w:r>
    </w:p>
    <w:p w14:paraId="2B4D6AF0" w14:textId="0162254E" w:rsidR="00CC1484" w:rsidRDefault="00CC1484"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lastRenderedPageBreak/>
        <w:t>Additionally</w:t>
      </w:r>
      <w:r w:rsidRPr="00CC1484">
        <w:rPr>
          <w:rFonts w:ascii="Calibri" w:hAnsi="Calibri" w:cs="Calibri"/>
          <w:sz w:val="22"/>
          <w:szCs w:val="22"/>
          <w:lang w:val="en-GB" w:eastAsia="en-US"/>
        </w:rPr>
        <w:t xml:space="preserve">, Figure </w:t>
      </w:r>
      <w:r>
        <w:rPr>
          <w:rFonts w:ascii="Calibri" w:hAnsi="Calibri" w:cs="Calibri"/>
          <w:sz w:val="22"/>
          <w:szCs w:val="22"/>
          <w:lang w:val="en-GB" w:eastAsia="en-US"/>
        </w:rPr>
        <w:t>2</w:t>
      </w:r>
      <w:r w:rsidRPr="00CC1484">
        <w:rPr>
          <w:rFonts w:ascii="Calibri" w:hAnsi="Calibri" w:cs="Calibri"/>
          <w:sz w:val="22"/>
          <w:szCs w:val="22"/>
          <w:lang w:val="en-GB" w:eastAsia="en-US"/>
        </w:rPr>
        <w:t xml:space="preserve"> shows the user experienced throughput as a function system load</w:t>
      </w:r>
      <w:r>
        <w:rPr>
          <w:rFonts w:ascii="Calibri" w:hAnsi="Calibri" w:cs="Calibri"/>
          <w:sz w:val="22"/>
          <w:szCs w:val="22"/>
          <w:lang w:val="en-GB" w:eastAsia="en-US"/>
        </w:rPr>
        <w:t xml:space="preserve"> for the </w:t>
      </w:r>
      <w:r>
        <w:rPr>
          <w:rFonts w:ascii="Calibri" w:hAnsi="Calibri" w:cs="Calibri"/>
          <w:sz w:val="22"/>
          <w:szCs w:val="22"/>
          <w:lang w:val="en-GB" w:eastAsia="en-US"/>
        </w:rPr>
        <w:t>FR</w:t>
      </w:r>
      <w:r>
        <w:rPr>
          <w:rFonts w:ascii="Calibri" w:hAnsi="Calibri" w:cs="Calibri"/>
          <w:sz w:val="22"/>
          <w:szCs w:val="22"/>
          <w:lang w:val="en-GB" w:eastAsia="en-US"/>
        </w:rPr>
        <w:t>2</w:t>
      </w:r>
      <w:r>
        <w:rPr>
          <w:rFonts w:ascii="Calibri" w:hAnsi="Calibri" w:cs="Calibri"/>
          <w:sz w:val="22"/>
          <w:szCs w:val="22"/>
          <w:lang w:val="en-GB" w:eastAsia="en-US"/>
        </w:rPr>
        <w:t xml:space="preserve"> dense urban scenario</w:t>
      </w:r>
      <w:r w:rsidRPr="00CC1484">
        <w:rPr>
          <w:rFonts w:ascii="Calibri" w:hAnsi="Calibri" w:cs="Calibri"/>
          <w:sz w:val="22"/>
          <w:szCs w:val="22"/>
          <w:lang w:val="en-GB" w:eastAsia="en-US"/>
        </w:rPr>
        <w:t xml:space="preserve">. The system load is varied by changing the number of users per cell and low/medium/high load corresponds to </w:t>
      </w:r>
      <w:r w:rsidR="00A17BCA">
        <w:rPr>
          <w:rFonts w:ascii="Calibri" w:hAnsi="Calibri" w:cs="Calibri"/>
          <w:sz w:val="22"/>
          <w:szCs w:val="22"/>
          <w:lang w:val="en-GB" w:eastAsia="en-US"/>
        </w:rPr>
        <w:t>7</w:t>
      </w:r>
      <w:r w:rsidRPr="00CC1484">
        <w:rPr>
          <w:rFonts w:ascii="Calibri" w:hAnsi="Calibri" w:cs="Calibri"/>
          <w:sz w:val="22"/>
          <w:szCs w:val="22"/>
          <w:lang w:val="en-GB" w:eastAsia="en-US"/>
        </w:rPr>
        <w:t>%/</w:t>
      </w:r>
      <w:r w:rsidR="00A17BCA">
        <w:rPr>
          <w:rFonts w:ascii="Calibri" w:hAnsi="Calibri" w:cs="Calibri"/>
          <w:sz w:val="22"/>
          <w:szCs w:val="22"/>
          <w:lang w:val="en-GB" w:eastAsia="en-US"/>
        </w:rPr>
        <w:t>13</w:t>
      </w:r>
      <w:r w:rsidRPr="00CC1484">
        <w:rPr>
          <w:rFonts w:ascii="Calibri" w:hAnsi="Calibri" w:cs="Calibri"/>
          <w:sz w:val="22"/>
          <w:szCs w:val="22"/>
          <w:lang w:val="en-GB" w:eastAsia="en-US"/>
        </w:rPr>
        <w:t>%/</w:t>
      </w:r>
      <w:r w:rsidR="00A17BCA">
        <w:rPr>
          <w:rFonts w:ascii="Calibri" w:hAnsi="Calibri" w:cs="Calibri"/>
          <w:sz w:val="22"/>
          <w:szCs w:val="22"/>
          <w:lang w:val="en-GB" w:eastAsia="en-US"/>
        </w:rPr>
        <w:t>37</w:t>
      </w:r>
      <w:r w:rsidRPr="00CC1484">
        <w:rPr>
          <w:rFonts w:ascii="Calibri" w:hAnsi="Calibri" w:cs="Calibri"/>
          <w:sz w:val="22"/>
          <w:szCs w:val="22"/>
          <w:lang w:val="en-GB" w:eastAsia="en-US"/>
        </w:rPr>
        <w:t>% resource utilization respectively.</w:t>
      </w:r>
    </w:p>
    <w:p w14:paraId="2D3DD02B" w14:textId="77777777" w:rsidR="00A17BCA" w:rsidRPr="00CC1484" w:rsidRDefault="00A17BCA" w:rsidP="00CC1484">
      <w:pPr>
        <w:ind w:firstLineChars="0" w:firstLine="0"/>
        <w:jc w:val="left"/>
        <w:rPr>
          <w:rFonts w:ascii="Calibri" w:hAnsi="Calibri" w:cs="Calibri"/>
          <w:sz w:val="22"/>
          <w:szCs w:val="22"/>
          <w:lang w:val="en-GB" w:eastAsia="en-US"/>
        </w:rPr>
      </w:pPr>
    </w:p>
    <w:p w14:paraId="2B330789" w14:textId="1B393855" w:rsidR="006A690E" w:rsidRPr="006A690E" w:rsidRDefault="00A17BCA" w:rsidP="006A690E">
      <w:pPr>
        <w:ind w:firstLineChars="0" w:firstLine="0"/>
        <w:jc w:val="center"/>
        <w:rPr>
          <w:rFonts w:ascii="Calibri" w:hAnsi="Calibri" w:cs="Calibri"/>
          <w:b/>
          <w:bCs/>
          <w:sz w:val="22"/>
          <w:szCs w:val="22"/>
          <w:lang w:val="en-GB" w:eastAsia="en-US"/>
        </w:rPr>
      </w:pPr>
      <w:r w:rsidRPr="00A17BCA">
        <w:rPr>
          <w:rFonts w:ascii="Calibri" w:hAnsi="Calibri" w:cs="Calibri"/>
          <w:b/>
          <w:bCs/>
          <w:sz w:val="22"/>
          <w:szCs w:val="22"/>
          <w:lang w:val="en-GB" w:eastAsia="en-US"/>
        </w:rPr>
        <w:drawing>
          <wp:inline distT="0" distB="0" distL="0" distR="0" wp14:anchorId="42A28A6F" wp14:editId="77BBFD36">
            <wp:extent cx="2864313" cy="21481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69564" cy="2152099"/>
                    </a:xfrm>
                    <a:prstGeom prst="rect">
                      <a:avLst/>
                    </a:prstGeom>
                  </pic:spPr>
                </pic:pic>
              </a:graphicData>
            </a:graphic>
          </wp:inline>
        </w:drawing>
      </w:r>
      <w:r w:rsidRPr="00A17BCA">
        <w:rPr>
          <w:noProof/>
        </w:rPr>
        <w:t xml:space="preserve"> </w:t>
      </w:r>
      <w:r w:rsidRPr="00A17BCA">
        <w:rPr>
          <w:rFonts w:ascii="Calibri" w:hAnsi="Calibri" w:cs="Calibri"/>
          <w:b/>
          <w:bCs/>
          <w:sz w:val="22"/>
          <w:szCs w:val="22"/>
          <w:lang w:val="en-GB" w:eastAsia="en-US"/>
        </w:rPr>
        <w:drawing>
          <wp:inline distT="0" distB="0" distL="0" distR="0" wp14:anchorId="6CEB1D86" wp14:editId="1B2F51CF">
            <wp:extent cx="2779534" cy="208457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89705" cy="2092207"/>
                    </a:xfrm>
                    <a:prstGeom prst="rect">
                      <a:avLst/>
                    </a:prstGeom>
                  </pic:spPr>
                </pic:pic>
              </a:graphicData>
            </a:graphic>
          </wp:inline>
        </w:drawing>
      </w:r>
    </w:p>
    <w:p w14:paraId="1B847B10" w14:textId="0202C1FE" w:rsidR="00A17BCA" w:rsidRDefault="00A17BCA" w:rsidP="00A17BCA">
      <w:pPr>
        <w:ind w:firstLineChars="0" w:firstLine="0"/>
        <w:jc w:val="center"/>
        <w:rPr>
          <w:rFonts w:ascii="Calibri" w:hAnsi="Calibri" w:cs="Calibri"/>
          <w:b/>
          <w:bCs/>
          <w:sz w:val="22"/>
          <w:szCs w:val="22"/>
          <w:lang w:val="en-GB" w:eastAsia="en-US"/>
        </w:rPr>
      </w:pPr>
      <w:r w:rsidRPr="006A690E">
        <w:rPr>
          <w:rFonts w:ascii="Calibri" w:hAnsi="Calibri" w:cs="Calibri"/>
          <w:b/>
          <w:bCs/>
          <w:sz w:val="22"/>
          <w:szCs w:val="22"/>
          <w:lang w:val="en-GB" w:eastAsia="en-US"/>
        </w:rPr>
        <w:t xml:space="preserve">Figure </w:t>
      </w:r>
      <w:r>
        <w:rPr>
          <w:rFonts w:ascii="Calibri" w:hAnsi="Calibri" w:cs="Calibri"/>
          <w:b/>
          <w:bCs/>
          <w:sz w:val="22"/>
          <w:szCs w:val="22"/>
          <w:lang w:val="en-GB" w:eastAsia="en-US"/>
        </w:rPr>
        <w:t>2</w:t>
      </w:r>
      <w:r>
        <w:rPr>
          <w:rFonts w:ascii="Calibri" w:hAnsi="Calibri" w:cs="Calibri"/>
          <w:b/>
          <w:bCs/>
          <w:sz w:val="22"/>
          <w:szCs w:val="22"/>
          <w:lang w:val="en-GB" w:eastAsia="en-US"/>
        </w:rPr>
        <w:t>. FR</w:t>
      </w:r>
      <w:r>
        <w:rPr>
          <w:rFonts w:ascii="Calibri" w:hAnsi="Calibri" w:cs="Calibri"/>
          <w:b/>
          <w:bCs/>
          <w:sz w:val="22"/>
          <w:szCs w:val="22"/>
          <w:lang w:val="en-GB" w:eastAsia="en-US"/>
        </w:rPr>
        <w:t>2</w:t>
      </w:r>
      <w:r>
        <w:rPr>
          <w:rFonts w:ascii="Calibri" w:hAnsi="Calibri" w:cs="Calibri"/>
          <w:b/>
          <w:bCs/>
          <w:sz w:val="22"/>
          <w:szCs w:val="22"/>
          <w:lang w:val="en-GB" w:eastAsia="en-US"/>
        </w:rPr>
        <w:t xml:space="preserve"> DL and UL XR Traffic Model performance as a function of system load</w:t>
      </w:r>
    </w:p>
    <w:p w14:paraId="23A09A78" w14:textId="77777777" w:rsidR="00A17BCA" w:rsidRDefault="00A17BCA" w:rsidP="006A690E">
      <w:pPr>
        <w:ind w:firstLineChars="0" w:firstLine="0"/>
        <w:jc w:val="left"/>
        <w:rPr>
          <w:rFonts w:ascii="Calibri" w:hAnsi="Calibri" w:cs="Calibri"/>
          <w:sz w:val="22"/>
          <w:szCs w:val="22"/>
          <w:lang w:val="en-GB" w:eastAsia="en-US"/>
        </w:rPr>
      </w:pPr>
    </w:p>
    <w:p w14:paraId="6E9CFE67" w14:textId="3B51E0A5" w:rsidR="00A17BCA" w:rsidRDefault="006A690E" w:rsidP="006A690E">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Although these results are preliminary, some observations can already be obtained. For example, the </w:t>
      </w:r>
      <w:r w:rsidR="00B5423E">
        <w:rPr>
          <w:rFonts w:ascii="Calibri" w:hAnsi="Calibri" w:cs="Calibri"/>
          <w:sz w:val="22"/>
          <w:szCs w:val="22"/>
          <w:lang w:val="en-GB" w:eastAsia="en-US"/>
        </w:rPr>
        <w:t xml:space="preserve">range in performance varies significantly between DL and UL due to the different traffic models even at comparable resource utilization values. </w:t>
      </w:r>
      <w:r w:rsidR="00A17BCA">
        <w:rPr>
          <w:rFonts w:ascii="Calibri" w:hAnsi="Calibri" w:cs="Calibri"/>
          <w:sz w:val="22"/>
          <w:szCs w:val="22"/>
          <w:lang w:val="en-GB" w:eastAsia="en-US"/>
        </w:rPr>
        <w:t xml:space="preserve">Interestingly FR1 outperforms FR2 in the DL for low and medium loads, but not in the case of the high load scenario, which indicates that congestion/interference limits the number of satisfied XR users more quickly in FR1 compared to FR2. </w:t>
      </w:r>
    </w:p>
    <w:p w14:paraId="314371B8" w14:textId="77777777" w:rsidR="00A17BCA" w:rsidRDefault="00A17BCA" w:rsidP="00A17BCA">
      <w:pPr>
        <w:ind w:firstLineChars="0" w:firstLine="0"/>
        <w:rPr>
          <w:rFonts w:ascii="Calibri" w:hAnsi="Calibri" w:cs="Calibri"/>
          <w:sz w:val="22"/>
          <w:szCs w:val="22"/>
          <w:lang w:eastAsia="en-US"/>
        </w:rPr>
      </w:pPr>
      <w:r>
        <w:rPr>
          <w:rFonts w:ascii="Calibri" w:hAnsi="Calibri" w:cs="Calibri"/>
          <w:sz w:val="22"/>
          <w:szCs w:val="22"/>
          <w:lang w:eastAsia="en-US"/>
        </w:rPr>
        <w:t xml:space="preserve">This highlights the tradeoffs between frequency bands since in less dense environments with indoor users, coverage instead of capacity may be the main limiting factor. Evaluations of XR may want to consider different traffic model parameters/characteristics corresponding to different XR services or offered loads depending on the frequency band. </w:t>
      </w:r>
    </w:p>
    <w:p w14:paraId="036E5F3D" w14:textId="45EA49BC" w:rsidR="00A17BCA" w:rsidRDefault="00A17BCA" w:rsidP="00A17BCA">
      <w:pPr>
        <w:ind w:firstLineChars="0" w:firstLine="0"/>
        <w:rPr>
          <w:rFonts w:ascii="Calibri" w:hAnsi="Calibri" w:cs="Calibri"/>
          <w:b/>
          <w:bCs/>
          <w:sz w:val="22"/>
          <w:szCs w:val="22"/>
          <w:lang w:eastAsia="en-US"/>
        </w:rPr>
      </w:pPr>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sidR="00B217B4">
        <w:rPr>
          <w:rFonts w:ascii="Calibri" w:hAnsi="Calibri" w:cs="Calibri"/>
          <w:b/>
          <w:bCs/>
          <w:sz w:val="22"/>
          <w:szCs w:val="22"/>
          <w:lang w:eastAsia="en-US"/>
        </w:rPr>
        <w:t xml:space="preserve">For a given </w:t>
      </w:r>
      <w:r>
        <w:rPr>
          <w:rFonts w:ascii="Calibri" w:hAnsi="Calibri" w:cs="Calibri"/>
          <w:b/>
          <w:bCs/>
          <w:sz w:val="22"/>
          <w:szCs w:val="22"/>
          <w:lang w:eastAsia="en-US"/>
        </w:rPr>
        <w:t>traffic model</w:t>
      </w:r>
      <w:r w:rsidR="00B217B4">
        <w:rPr>
          <w:rFonts w:ascii="Calibri" w:hAnsi="Calibri" w:cs="Calibri"/>
          <w:b/>
          <w:bCs/>
          <w:sz w:val="22"/>
          <w:szCs w:val="22"/>
          <w:lang w:eastAsia="en-US"/>
        </w:rPr>
        <w:t xml:space="preserve"> and deployment scenario, </w:t>
      </w:r>
      <w:r>
        <w:rPr>
          <w:rFonts w:ascii="Calibri" w:hAnsi="Calibri" w:cs="Calibri"/>
          <w:b/>
          <w:bCs/>
          <w:sz w:val="22"/>
          <w:szCs w:val="22"/>
          <w:lang w:eastAsia="en-US"/>
        </w:rPr>
        <w:t>FR1 and FR2</w:t>
      </w:r>
      <w:r w:rsidR="00B217B4">
        <w:rPr>
          <w:rFonts w:ascii="Calibri" w:hAnsi="Calibri" w:cs="Calibri"/>
          <w:b/>
          <w:bCs/>
          <w:sz w:val="22"/>
          <w:szCs w:val="22"/>
          <w:lang w:eastAsia="en-US"/>
        </w:rPr>
        <w:t xml:space="preserve"> performance can vary significantly depending on the offered load and number of simultaneous users</w:t>
      </w:r>
      <w:r>
        <w:rPr>
          <w:rFonts w:ascii="Calibri" w:hAnsi="Calibri" w:cs="Calibri"/>
          <w:b/>
          <w:bCs/>
          <w:sz w:val="22"/>
          <w:szCs w:val="22"/>
          <w:lang w:eastAsia="en-US"/>
        </w:rPr>
        <w:t>.</w:t>
      </w:r>
    </w:p>
    <w:p w14:paraId="4F23F38E" w14:textId="77777777" w:rsidR="00A17BCA" w:rsidRDefault="00A17BCA" w:rsidP="006A690E">
      <w:pPr>
        <w:ind w:firstLineChars="0" w:firstLine="0"/>
        <w:jc w:val="left"/>
        <w:rPr>
          <w:rFonts w:ascii="Calibri" w:hAnsi="Calibri" w:cs="Calibri"/>
          <w:sz w:val="22"/>
          <w:szCs w:val="22"/>
          <w:lang w:val="en-GB" w:eastAsia="en-US"/>
        </w:rPr>
      </w:pPr>
    </w:p>
    <w:p w14:paraId="126490E2" w14:textId="2E222455" w:rsidR="006A690E" w:rsidRDefault="00A17BCA" w:rsidP="006A690E">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In addition, the UL performance in FR2 is significantly better than for FR1 and is not sensitive to traffic load, unlike FR1. This can be partially explained by the latency gains with the use of mini-slots in FR2 compared to FR1 as well as reduced interference due to beamforming at the UE. </w:t>
      </w:r>
    </w:p>
    <w:p w14:paraId="09A7002F" w14:textId="64793B75" w:rsidR="00A17BCA" w:rsidRPr="00774C25" w:rsidRDefault="00A17BCA" w:rsidP="00A17BCA">
      <w:pPr>
        <w:ind w:firstLineChars="0" w:firstLine="0"/>
        <w:rPr>
          <w:rFonts w:ascii="Calibri" w:hAnsi="Calibri" w:cs="Calibri"/>
          <w:sz w:val="22"/>
          <w:szCs w:val="22"/>
          <w:lang w:eastAsia="en-US"/>
        </w:rPr>
      </w:pPr>
      <w:r>
        <w:rPr>
          <w:rFonts w:ascii="Calibri" w:hAnsi="Calibri" w:cs="Calibri"/>
          <w:sz w:val="22"/>
          <w:szCs w:val="22"/>
          <w:lang w:eastAsia="en-US"/>
        </w:rPr>
        <w:t>This highlights as</w:t>
      </w:r>
      <w:r>
        <w:rPr>
          <w:rFonts w:ascii="Calibri" w:hAnsi="Calibri" w:cs="Calibri"/>
          <w:sz w:val="22"/>
          <w:szCs w:val="22"/>
          <w:lang w:eastAsia="en-US"/>
        </w:rPr>
        <w:t xml:space="preserve"> a practical consideration</w:t>
      </w:r>
      <w:r>
        <w:rPr>
          <w:rFonts w:ascii="Calibri" w:hAnsi="Calibri" w:cs="Calibri"/>
          <w:sz w:val="22"/>
          <w:szCs w:val="22"/>
          <w:lang w:eastAsia="en-US"/>
        </w:rPr>
        <w:t xml:space="preserve">, </w:t>
      </w:r>
      <w:r>
        <w:rPr>
          <w:rFonts w:ascii="Calibri" w:hAnsi="Calibri" w:cs="Calibri"/>
          <w:sz w:val="22"/>
          <w:szCs w:val="22"/>
          <w:lang w:eastAsia="en-US"/>
        </w:rPr>
        <w:t xml:space="preserve">the need to consider </w:t>
      </w:r>
      <w:r w:rsidRPr="00774C25">
        <w:rPr>
          <w:rFonts w:ascii="Calibri" w:hAnsi="Calibri" w:cs="Calibri"/>
          <w:sz w:val="22"/>
          <w:szCs w:val="22"/>
          <w:lang w:eastAsia="en-US"/>
        </w:rPr>
        <w:t xml:space="preserve">multi-connectivity between FR1 and FR2 for devices which support XR services since it provides service continuity and robustness inside and outside high capacity hotspots so evaluations for different frequency bands should not be done in total isolation. </w:t>
      </w:r>
    </w:p>
    <w:p w14:paraId="66BEB40F" w14:textId="045FB3B9" w:rsidR="00A17BCA" w:rsidRPr="00292EFB" w:rsidRDefault="00B217B4" w:rsidP="00A17BCA">
      <w:pPr>
        <w:ind w:firstLineChars="0" w:firstLine="0"/>
        <w:rPr>
          <w:rFonts w:ascii="Calibri" w:hAnsi="Calibri" w:cs="Calibri"/>
          <w:b/>
          <w:bCs/>
          <w:sz w:val="22"/>
          <w:szCs w:val="22"/>
          <w:lang w:eastAsia="en-US"/>
        </w:rPr>
      </w:pPr>
      <w:r>
        <w:rPr>
          <w:rFonts w:ascii="Calibri" w:hAnsi="Calibri" w:cs="Calibri"/>
          <w:b/>
          <w:bCs/>
          <w:sz w:val="22"/>
          <w:szCs w:val="22"/>
          <w:lang w:eastAsia="en-US"/>
        </w:rPr>
        <w:t>Observation 2</w:t>
      </w:r>
      <w:r w:rsidR="00A17BCA" w:rsidRPr="00292EFB">
        <w:rPr>
          <w:rFonts w:ascii="Calibri" w:hAnsi="Calibri" w:cs="Calibri"/>
          <w:b/>
          <w:bCs/>
          <w:sz w:val="22"/>
          <w:szCs w:val="22"/>
          <w:lang w:eastAsia="en-US"/>
        </w:rPr>
        <w:t xml:space="preserve">: </w:t>
      </w:r>
      <w:r>
        <w:rPr>
          <w:rFonts w:ascii="Calibri" w:hAnsi="Calibri" w:cs="Calibri"/>
          <w:b/>
          <w:bCs/>
          <w:sz w:val="22"/>
          <w:szCs w:val="22"/>
          <w:lang w:eastAsia="en-US"/>
        </w:rPr>
        <w:t>Optimizing XR performance for DL and UL jointly, especially in the context of multi-connectivity may be beneficial to support different tradeoffs for FR1 and FR2 deployments.</w:t>
      </w:r>
    </w:p>
    <w:p w14:paraId="7039C769" w14:textId="77777777" w:rsidR="006A690E" w:rsidRPr="006A690E" w:rsidRDefault="006A690E" w:rsidP="006A690E">
      <w:pPr>
        <w:ind w:firstLineChars="0" w:firstLine="0"/>
        <w:jc w:val="left"/>
        <w:rPr>
          <w:rFonts w:cs="Calibri"/>
          <w:lang w:eastAsia="en-US"/>
        </w:rPr>
      </w:pPr>
    </w:p>
    <w:p w14:paraId="6A5580A0" w14:textId="7149848B"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lastRenderedPageBreak/>
        <w:t>Conclusion</w:t>
      </w:r>
    </w:p>
    <w:p w14:paraId="35076D45" w14:textId="2D4277E7" w:rsidR="00D9047A" w:rsidRDefault="00682F0E" w:rsidP="00774C25">
      <w:pPr>
        <w:ind w:firstLineChars="0" w:firstLine="0"/>
        <w:rPr>
          <w:rFonts w:ascii="Calibri" w:hAnsi="Calibri" w:cs="Calibri"/>
          <w:sz w:val="22"/>
          <w:szCs w:val="22"/>
        </w:rPr>
      </w:pPr>
      <w:r w:rsidRPr="00774C25">
        <w:rPr>
          <w:rFonts w:ascii="Calibri" w:hAnsi="Calibri" w:cs="Calibri"/>
          <w:sz w:val="22"/>
          <w:szCs w:val="22"/>
        </w:rPr>
        <w:t xml:space="preserve">In this contribution, we </w:t>
      </w:r>
      <w:r w:rsidR="00B217B4">
        <w:rPr>
          <w:rFonts w:ascii="Calibri" w:hAnsi="Calibri" w:cs="Calibri"/>
          <w:sz w:val="22"/>
          <w:szCs w:val="22"/>
        </w:rPr>
        <w:t>provided initial performance evaluations for XR over NR</w:t>
      </w:r>
      <w:r w:rsidR="001305A4" w:rsidRPr="00774C25">
        <w:rPr>
          <w:rFonts w:ascii="Calibri" w:hAnsi="Calibri" w:cs="Calibri"/>
          <w:sz w:val="22"/>
          <w:szCs w:val="22"/>
        </w:rPr>
        <w:t>.</w:t>
      </w:r>
      <w:r w:rsidR="00774C25">
        <w:rPr>
          <w:rFonts w:ascii="Calibri" w:hAnsi="Calibri" w:cs="Calibri"/>
          <w:sz w:val="22"/>
          <w:szCs w:val="22"/>
        </w:rPr>
        <w:t xml:space="preserve"> </w:t>
      </w:r>
      <w:r w:rsidRPr="00774C25">
        <w:rPr>
          <w:rFonts w:ascii="Calibri" w:hAnsi="Calibri" w:cs="Calibri"/>
          <w:sz w:val="22"/>
          <w:szCs w:val="22"/>
        </w:rPr>
        <w:t xml:space="preserve">We made the following </w:t>
      </w:r>
      <w:r w:rsidR="00B217B4">
        <w:rPr>
          <w:rFonts w:ascii="Calibri" w:hAnsi="Calibri" w:cs="Calibri"/>
          <w:sz w:val="22"/>
          <w:szCs w:val="22"/>
        </w:rPr>
        <w:t>observations</w:t>
      </w:r>
      <w:r w:rsidR="001D4D6C">
        <w:rPr>
          <w:rFonts w:ascii="Calibri" w:hAnsi="Calibri" w:cs="Calibri"/>
          <w:sz w:val="22"/>
          <w:szCs w:val="22"/>
        </w:rPr>
        <w:t>:</w:t>
      </w:r>
    </w:p>
    <w:p w14:paraId="2C84B55E" w14:textId="77777777" w:rsidR="00B217B4" w:rsidRDefault="00B217B4" w:rsidP="00B217B4">
      <w:pPr>
        <w:ind w:firstLineChars="0" w:firstLine="0"/>
        <w:rPr>
          <w:rFonts w:ascii="Calibri" w:hAnsi="Calibri" w:cs="Calibri"/>
          <w:b/>
          <w:bCs/>
          <w:sz w:val="22"/>
          <w:szCs w:val="22"/>
          <w:lang w:eastAsia="en-US"/>
        </w:rPr>
      </w:pPr>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Pr>
          <w:rFonts w:ascii="Calibri" w:hAnsi="Calibri" w:cs="Calibri"/>
          <w:b/>
          <w:bCs/>
          <w:sz w:val="22"/>
          <w:szCs w:val="22"/>
          <w:lang w:eastAsia="en-US"/>
        </w:rPr>
        <w:t>For a given traffic model and deployment scenario, FR1 and FR2 performance can vary significantly depending on the offered load and number of simultaneous users.</w:t>
      </w:r>
    </w:p>
    <w:p w14:paraId="381D5F19" w14:textId="77777777" w:rsidR="00B217B4" w:rsidRPr="00292EFB" w:rsidRDefault="00B217B4" w:rsidP="00B217B4">
      <w:pPr>
        <w:ind w:firstLineChars="0" w:firstLine="0"/>
        <w:rPr>
          <w:rFonts w:ascii="Calibri" w:hAnsi="Calibri" w:cs="Calibri"/>
          <w:b/>
          <w:bCs/>
          <w:sz w:val="22"/>
          <w:szCs w:val="22"/>
          <w:lang w:eastAsia="en-US"/>
        </w:rPr>
      </w:pPr>
      <w:r>
        <w:rPr>
          <w:rFonts w:ascii="Calibri" w:hAnsi="Calibri" w:cs="Calibri"/>
          <w:b/>
          <w:bCs/>
          <w:sz w:val="22"/>
          <w:szCs w:val="22"/>
          <w:lang w:eastAsia="en-US"/>
        </w:rPr>
        <w:t>Observation 2</w:t>
      </w:r>
      <w:r w:rsidRPr="00292EFB">
        <w:rPr>
          <w:rFonts w:ascii="Calibri" w:hAnsi="Calibri" w:cs="Calibri"/>
          <w:b/>
          <w:bCs/>
          <w:sz w:val="22"/>
          <w:szCs w:val="22"/>
          <w:lang w:eastAsia="en-US"/>
        </w:rPr>
        <w:t xml:space="preserve">: </w:t>
      </w:r>
      <w:r>
        <w:rPr>
          <w:rFonts w:ascii="Calibri" w:hAnsi="Calibri" w:cs="Calibri"/>
          <w:b/>
          <w:bCs/>
          <w:sz w:val="22"/>
          <w:szCs w:val="22"/>
          <w:lang w:eastAsia="en-US"/>
        </w:rPr>
        <w:t>Optimizing XR performance for DL and UL jointly, especially in the context of multi-connectivity may be beneficial to support different tradeoffs for FR1 and FR2 deployments.</w:t>
      </w:r>
    </w:p>
    <w:p w14:paraId="69FEAF28" w14:textId="77777777" w:rsidR="00B217B4" w:rsidRPr="00774C25" w:rsidRDefault="00B217B4" w:rsidP="00774C25">
      <w:pPr>
        <w:ind w:firstLineChars="0" w:firstLine="0"/>
        <w:rPr>
          <w:rFonts w:ascii="Calibri" w:hAnsi="Calibri" w:cs="Calibri"/>
          <w:sz w:val="22"/>
          <w:szCs w:val="22"/>
        </w:rPr>
      </w:pPr>
    </w:p>
    <w:p w14:paraId="0563EE83" w14:textId="77777777" w:rsidR="00BA1D3B" w:rsidRDefault="00BA1D3B" w:rsidP="00682F0E">
      <w:pPr>
        <w:pStyle w:val="Heading1"/>
        <w:rPr>
          <w:lang w:val="en-US" w:eastAsia="ko-KR"/>
        </w:rPr>
      </w:pPr>
      <w:r w:rsidRPr="00F40EEC">
        <w:rPr>
          <w:rFonts w:hint="eastAsia"/>
          <w:lang w:val="en-US" w:eastAsia="ko-KR"/>
        </w:rPr>
        <w:t>References</w:t>
      </w:r>
    </w:p>
    <w:p w14:paraId="017BD647" w14:textId="5E79C508" w:rsidR="002A49FA" w:rsidRPr="00774C25" w:rsidRDefault="00682F0E" w:rsidP="00E0172F">
      <w:pPr>
        <w:spacing w:before="0" w:after="0" w:line="240" w:lineRule="auto"/>
        <w:ind w:firstLineChars="0" w:firstLine="0"/>
        <w:jc w:val="left"/>
        <w:rPr>
          <w:rFonts w:ascii="Calibri" w:hAnsi="Calibri" w:cs="Calibri"/>
        </w:rPr>
      </w:pPr>
      <w:r w:rsidRPr="00774C25">
        <w:rPr>
          <w:rFonts w:ascii="Calibri" w:hAnsi="Calibri" w:cs="Calibri"/>
        </w:rPr>
        <w:t xml:space="preserve">[1] </w:t>
      </w:r>
      <w:r w:rsidR="001305A4" w:rsidRPr="00774C25">
        <w:rPr>
          <w:rFonts w:ascii="Calibri" w:hAnsi="Calibri" w:cs="Calibri"/>
        </w:rPr>
        <w:t>RP-201145, Study on XR evaluations for NR, RAN #88e, June 29</w:t>
      </w:r>
      <w:r w:rsidR="001305A4" w:rsidRPr="00774C25">
        <w:rPr>
          <w:rFonts w:ascii="Calibri" w:hAnsi="Calibri" w:cs="Calibri"/>
          <w:vertAlign w:val="superscript"/>
        </w:rPr>
        <w:t>th</w:t>
      </w:r>
      <w:r w:rsidR="001305A4" w:rsidRPr="00774C25">
        <w:rPr>
          <w:rFonts w:ascii="Calibri" w:hAnsi="Calibri" w:cs="Calibri"/>
        </w:rPr>
        <w:t xml:space="preserve"> – July 3</w:t>
      </w:r>
      <w:r w:rsidR="001305A4" w:rsidRPr="00774C25">
        <w:rPr>
          <w:rFonts w:ascii="Calibri" w:hAnsi="Calibri" w:cs="Calibri"/>
          <w:vertAlign w:val="superscript"/>
        </w:rPr>
        <w:t>rd</w:t>
      </w:r>
      <w:r w:rsidR="00BB1519" w:rsidRPr="00774C25">
        <w:rPr>
          <w:rFonts w:ascii="Calibri" w:hAnsi="Calibri" w:cs="Calibri"/>
        </w:rPr>
        <w:t>, 2020</w:t>
      </w:r>
    </w:p>
    <w:p w14:paraId="492D46DE" w14:textId="0458DD18" w:rsidR="002A49FA" w:rsidRDefault="002A49FA" w:rsidP="002A49FA"/>
    <w:p w14:paraId="60268768" w14:textId="412588A2" w:rsidR="00E5623F" w:rsidRPr="002A49FA" w:rsidRDefault="002A49FA" w:rsidP="002A49FA">
      <w:pPr>
        <w:tabs>
          <w:tab w:val="left" w:pos="8987"/>
        </w:tabs>
      </w:pPr>
      <w:r>
        <w:tab/>
      </w:r>
    </w:p>
    <w:sectPr w:rsidR="00E5623F" w:rsidRPr="002A49FA"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A9982" w14:textId="77777777" w:rsidR="00F31E34" w:rsidRDefault="00F31E34" w:rsidP="007378B8">
      <w:r>
        <w:separator/>
      </w:r>
    </w:p>
  </w:endnote>
  <w:endnote w:type="continuationSeparator" w:id="0">
    <w:p w14:paraId="75A4BE6D" w14:textId="77777777" w:rsidR="00F31E34" w:rsidRDefault="00F31E34"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B4C5A" w14:textId="77777777" w:rsidR="00F31E34" w:rsidRDefault="00F31E34" w:rsidP="007378B8">
      <w:r>
        <w:separator/>
      </w:r>
    </w:p>
  </w:footnote>
  <w:footnote w:type="continuationSeparator" w:id="0">
    <w:p w14:paraId="16552053" w14:textId="77777777" w:rsidR="00F31E34" w:rsidRDefault="00F31E34"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F1467"/>
    <w:multiLevelType w:val="hybridMultilevel"/>
    <w:tmpl w:val="AD94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594A79"/>
    <w:multiLevelType w:val="hybridMultilevel"/>
    <w:tmpl w:val="F4F4C3AA"/>
    <w:lvl w:ilvl="0" w:tplc="0409000F">
      <w:start w:val="1"/>
      <w:numFmt w:val="decimal"/>
      <w:lvlText w:val="%1."/>
      <w:lvlJc w:val="left"/>
      <w:pPr>
        <w:ind w:left="-48" w:hanging="360"/>
      </w:pPr>
      <w:rPr>
        <w:rFonts w:hint="default"/>
      </w:rPr>
    </w:lvl>
    <w:lvl w:ilvl="1" w:tplc="04090019">
      <w:start w:val="1"/>
      <w:numFmt w:val="lowerLetter"/>
      <w:lvlText w:val="%2."/>
      <w:lvlJc w:val="left"/>
      <w:pPr>
        <w:ind w:left="672" w:hanging="360"/>
      </w:pPr>
    </w:lvl>
    <w:lvl w:ilvl="2" w:tplc="0409001B" w:tentative="1">
      <w:start w:val="1"/>
      <w:numFmt w:val="lowerRoman"/>
      <w:lvlText w:val="%3."/>
      <w:lvlJc w:val="right"/>
      <w:pPr>
        <w:ind w:left="1392" w:hanging="180"/>
      </w:pPr>
    </w:lvl>
    <w:lvl w:ilvl="3" w:tplc="0409000F" w:tentative="1">
      <w:start w:val="1"/>
      <w:numFmt w:val="decimal"/>
      <w:lvlText w:val="%4."/>
      <w:lvlJc w:val="left"/>
      <w:pPr>
        <w:ind w:left="2112" w:hanging="360"/>
      </w:pPr>
    </w:lvl>
    <w:lvl w:ilvl="4" w:tplc="04090019" w:tentative="1">
      <w:start w:val="1"/>
      <w:numFmt w:val="lowerLetter"/>
      <w:lvlText w:val="%5."/>
      <w:lvlJc w:val="left"/>
      <w:pPr>
        <w:ind w:left="2832" w:hanging="360"/>
      </w:pPr>
    </w:lvl>
    <w:lvl w:ilvl="5" w:tplc="0409001B" w:tentative="1">
      <w:start w:val="1"/>
      <w:numFmt w:val="lowerRoman"/>
      <w:lvlText w:val="%6."/>
      <w:lvlJc w:val="right"/>
      <w:pPr>
        <w:ind w:left="3552" w:hanging="180"/>
      </w:pPr>
    </w:lvl>
    <w:lvl w:ilvl="6" w:tplc="0409000F" w:tentative="1">
      <w:start w:val="1"/>
      <w:numFmt w:val="decimal"/>
      <w:lvlText w:val="%7."/>
      <w:lvlJc w:val="left"/>
      <w:pPr>
        <w:ind w:left="4272" w:hanging="360"/>
      </w:pPr>
    </w:lvl>
    <w:lvl w:ilvl="7" w:tplc="04090019" w:tentative="1">
      <w:start w:val="1"/>
      <w:numFmt w:val="lowerLetter"/>
      <w:lvlText w:val="%8."/>
      <w:lvlJc w:val="left"/>
      <w:pPr>
        <w:ind w:left="4992" w:hanging="360"/>
      </w:pPr>
    </w:lvl>
    <w:lvl w:ilvl="8" w:tplc="0409001B" w:tentative="1">
      <w:start w:val="1"/>
      <w:numFmt w:val="lowerRoman"/>
      <w:lvlText w:val="%9."/>
      <w:lvlJc w:val="right"/>
      <w:pPr>
        <w:ind w:left="5712" w:hanging="180"/>
      </w:pPr>
    </w:lvl>
  </w:abstractNum>
  <w:abstractNum w:abstractNumId="1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A3771C"/>
    <w:multiLevelType w:val="hybridMultilevel"/>
    <w:tmpl w:val="A066EEEE"/>
    <w:lvl w:ilvl="0" w:tplc="AD2882C0">
      <w:start w:val="1"/>
      <w:numFmt w:val="bullet"/>
      <w:lvlText w:val="-"/>
      <w:lvlJc w:val="left"/>
      <w:pPr>
        <w:tabs>
          <w:tab w:val="num" w:pos="720"/>
        </w:tabs>
        <w:ind w:left="720" w:hanging="360"/>
      </w:pPr>
      <w:rPr>
        <w:rFonts w:ascii="Times New Roman" w:hAnsi="Times New Roman" w:hint="default"/>
      </w:rPr>
    </w:lvl>
    <w:lvl w:ilvl="1" w:tplc="6962357E" w:tentative="1">
      <w:start w:val="1"/>
      <w:numFmt w:val="bullet"/>
      <w:lvlText w:val="-"/>
      <w:lvlJc w:val="left"/>
      <w:pPr>
        <w:tabs>
          <w:tab w:val="num" w:pos="1440"/>
        </w:tabs>
        <w:ind w:left="1440" w:hanging="360"/>
      </w:pPr>
      <w:rPr>
        <w:rFonts w:ascii="Times New Roman" w:hAnsi="Times New Roman" w:hint="default"/>
      </w:rPr>
    </w:lvl>
    <w:lvl w:ilvl="2" w:tplc="AE081F30" w:tentative="1">
      <w:start w:val="1"/>
      <w:numFmt w:val="bullet"/>
      <w:lvlText w:val="-"/>
      <w:lvlJc w:val="left"/>
      <w:pPr>
        <w:tabs>
          <w:tab w:val="num" w:pos="2160"/>
        </w:tabs>
        <w:ind w:left="2160" w:hanging="360"/>
      </w:pPr>
      <w:rPr>
        <w:rFonts w:ascii="Times New Roman" w:hAnsi="Times New Roman" w:hint="default"/>
      </w:rPr>
    </w:lvl>
    <w:lvl w:ilvl="3" w:tplc="BE228F48" w:tentative="1">
      <w:start w:val="1"/>
      <w:numFmt w:val="bullet"/>
      <w:lvlText w:val="-"/>
      <w:lvlJc w:val="left"/>
      <w:pPr>
        <w:tabs>
          <w:tab w:val="num" w:pos="2880"/>
        </w:tabs>
        <w:ind w:left="2880" w:hanging="360"/>
      </w:pPr>
      <w:rPr>
        <w:rFonts w:ascii="Times New Roman" w:hAnsi="Times New Roman" w:hint="default"/>
      </w:rPr>
    </w:lvl>
    <w:lvl w:ilvl="4" w:tplc="490A6F8A" w:tentative="1">
      <w:start w:val="1"/>
      <w:numFmt w:val="bullet"/>
      <w:lvlText w:val="-"/>
      <w:lvlJc w:val="left"/>
      <w:pPr>
        <w:tabs>
          <w:tab w:val="num" w:pos="3600"/>
        </w:tabs>
        <w:ind w:left="3600" w:hanging="360"/>
      </w:pPr>
      <w:rPr>
        <w:rFonts w:ascii="Times New Roman" w:hAnsi="Times New Roman" w:hint="default"/>
      </w:rPr>
    </w:lvl>
    <w:lvl w:ilvl="5" w:tplc="A07057DA" w:tentative="1">
      <w:start w:val="1"/>
      <w:numFmt w:val="bullet"/>
      <w:lvlText w:val="-"/>
      <w:lvlJc w:val="left"/>
      <w:pPr>
        <w:tabs>
          <w:tab w:val="num" w:pos="4320"/>
        </w:tabs>
        <w:ind w:left="4320" w:hanging="360"/>
      </w:pPr>
      <w:rPr>
        <w:rFonts w:ascii="Times New Roman" w:hAnsi="Times New Roman" w:hint="default"/>
      </w:rPr>
    </w:lvl>
    <w:lvl w:ilvl="6" w:tplc="D8721972" w:tentative="1">
      <w:start w:val="1"/>
      <w:numFmt w:val="bullet"/>
      <w:lvlText w:val="-"/>
      <w:lvlJc w:val="left"/>
      <w:pPr>
        <w:tabs>
          <w:tab w:val="num" w:pos="5040"/>
        </w:tabs>
        <w:ind w:left="5040" w:hanging="360"/>
      </w:pPr>
      <w:rPr>
        <w:rFonts w:ascii="Times New Roman" w:hAnsi="Times New Roman" w:hint="default"/>
      </w:rPr>
    </w:lvl>
    <w:lvl w:ilvl="7" w:tplc="82461DF4" w:tentative="1">
      <w:start w:val="1"/>
      <w:numFmt w:val="bullet"/>
      <w:lvlText w:val="-"/>
      <w:lvlJc w:val="left"/>
      <w:pPr>
        <w:tabs>
          <w:tab w:val="num" w:pos="5760"/>
        </w:tabs>
        <w:ind w:left="5760" w:hanging="360"/>
      </w:pPr>
      <w:rPr>
        <w:rFonts w:ascii="Times New Roman" w:hAnsi="Times New Roman" w:hint="default"/>
      </w:rPr>
    </w:lvl>
    <w:lvl w:ilvl="8" w:tplc="9C480FC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462A05"/>
    <w:multiLevelType w:val="hybridMultilevel"/>
    <w:tmpl w:val="9288EE64"/>
    <w:lvl w:ilvl="0" w:tplc="C6648180">
      <w:start w:val="75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9"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AF3C44"/>
    <w:multiLevelType w:val="hybridMultilevel"/>
    <w:tmpl w:val="5C44F9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8"/>
  </w:num>
  <w:num w:numId="3">
    <w:abstractNumId w:val="21"/>
  </w:num>
  <w:num w:numId="4">
    <w:abstractNumId w:val="32"/>
  </w:num>
  <w:num w:numId="5">
    <w:abstractNumId w:val="2"/>
  </w:num>
  <w:num w:numId="6">
    <w:abstractNumId w:val="14"/>
  </w:num>
  <w:num w:numId="7">
    <w:abstractNumId w:val="37"/>
  </w:num>
  <w:num w:numId="8">
    <w:abstractNumId w:val="3"/>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4"/>
  </w:num>
  <w:num w:numId="12">
    <w:abstractNumId w:val="33"/>
  </w:num>
  <w:num w:numId="13">
    <w:abstractNumId w:val="6"/>
  </w:num>
  <w:num w:numId="14">
    <w:abstractNumId w:val="17"/>
  </w:num>
  <w:num w:numId="15">
    <w:abstractNumId w:val="24"/>
  </w:num>
  <w:num w:numId="16">
    <w:abstractNumId w:val="13"/>
  </w:num>
  <w:num w:numId="17">
    <w:abstractNumId w:val="9"/>
  </w:num>
  <w:num w:numId="18">
    <w:abstractNumId w:val="15"/>
  </w:num>
  <w:num w:numId="19">
    <w:abstractNumId w:val="0"/>
  </w:num>
  <w:num w:numId="20">
    <w:abstractNumId w:val="26"/>
  </w:num>
  <w:num w:numId="21">
    <w:abstractNumId w:val="27"/>
  </w:num>
  <w:num w:numId="22">
    <w:abstractNumId w:val="11"/>
  </w:num>
  <w:num w:numId="23">
    <w:abstractNumId w:val="12"/>
  </w:num>
  <w:num w:numId="24">
    <w:abstractNumId w:val="22"/>
  </w:num>
  <w:num w:numId="25">
    <w:abstractNumId w:val="7"/>
  </w:num>
  <w:num w:numId="26">
    <w:abstractNumId w:val="8"/>
  </w:num>
  <w:num w:numId="27">
    <w:abstractNumId w:val="10"/>
    <w:lvlOverride w:ilvl="0"/>
    <w:lvlOverride w:ilvl="1"/>
    <w:lvlOverride w:ilvl="2"/>
    <w:lvlOverride w:ilvl="3"/>
    <w:lvlOverride w:ilvl="4"/>
    <w:lvlOverride w:ilvl="5"/>
    <w:lvlOverride w:ilvl="6"/>
    <w:lvlOverride w:ilvl="7"/>
    <w:lvlOverride w:ilvl="8"/>
  </w:num>
  <w:num w:numId="28">
    <w:abstractNumId w:val="35"/>
    <w:lvlOverride w:ilvl="0"/>
    <w:lvlOverride w:ilvl="1"/>
    <w:lvlOverride w:ilvl="2"/>
    <w:lvlOverride w:ilvl="3"/>
    <w:lvlOverride w:ilvl="4"/>
    <w:lvlOverride w:ilvl="5"/>
    <w:lvlOverride w:ilvl="6"/>
    <w:lvlOverride w:ilvl="7"/>
    <w:lvlOverride w:ilvl="8"/>
  </w:num>
  <w:num w:numId="29">
    <w:abstractNumId w:val="30"/>
    <w:lvlOverride w:ilvl="0"/>
    <w:lvlOverride w:ilvl="1"/>
    <w:lvlOverride w:ilvl="2"/>
    <w:lvlOverride w:ilvl="3"/>
    <w:lvlOverride w:ilvl="4"/>
    <w:lvlOverride w:ilvl="5"/>
    <w:lvlOverride w:ilvl="6"/>
    <w:lvlOverride w:ilvl="7"/>
    <w:lvlOverride w:ilvl="8"/>
  </w:num>
  <w:num w:numId="30">
    <w:abstractNumId w:val="5"/>
    <w:lvlOverride w:ilvl="0"/>
    <w:lvlOverride w:ilvl="1"/>
    <w:lvlOverride w:ilvl="2"/>
    <w:lvlOverride w:ilvl="3"/>
    <w:lvlOverride w:ilvl="4"/>
    <w:lvlOverride w:ilvl="5"/>
    <w:lvlOverride w:ilvl="6"/>
    <w:lvlOverride w:ilvl="7"/>
    <w:lvlOverride w:ilvl="8"/>
  </w:num>
  <w:num w:numId="31">
    <w:abstractNumId w:val="36"/>
    <w:lvlOverride w:ilvl="0"/>
    <w:lvlOverride w:ilvl="1"/>
    <w:lvlOverride w:ilvl="2"/>
    <w:lvlOverride w:ilvl="3"/>
    <w:lvlOverride w:ilvl="4"/>
    <w:lvlOverride w:ilvl="5"/>
    <w:lvlOverride w:ilvl="6"/>
    <w:lvlOverride w:ilvl="7"/>
    <w:lvlOverride w:ilvl="8"/>
  </w:num>
  <w:num w:numId="32">
    <w:abstractNumId w:val="25"/>
    <w:lvlOverride w:ilvl="0"/>
    <w:lvlOverride w:ilvl="1"/>
    <w:lvlOverride w:ilvl="2"/>
    <w:lvlOverride w:ilvl="3"/>
    <w:lvlOverride w:ilvl="4"/>
    <w:lvlOverride w:ilvl="5"/>
    <w:lvlOverride w:ilvl="6"/>
    <w:lvlOverride w:ilvl="7"/>
    <w:lvlOverride w:ilvl="8"/>
  </w:num>
  <w:num w:numId="33">
    <w:abstractNumId w:val="23"/>
    <w:lvlOverride w:ilvl="0"/>
    <w:lvlOverride w:ilvl="1"/>
    <w:lvlOverride w:ilvl="2"/>
    <w:lvlOverride w:ilvl="3"/>
    <w:lvlOverride w:ilvl="4"/>
    <w:lvlOverride w:ilvl="5"/>
    <w:lvlOverride w:ilvl="6"/>
    <w:lvlOverride w:ilvl="7"/>
    <w:lvlOverride w:ilvl="8"/>
  </w:num>
  <w:num w:numId="34">
    <w:abstractNumId w:val="16"/>
    <w:lvlOverride w:ilvl="0"/>
    <w:lvlOverride w:ilvl="1"/>
    <w:lvlOverride w:ilvl="2"/>
    <w:lvlOverride w:ilvl="3"/>
    <w:lvlOverride w:ilvl="4"/>
    <w:lvlOverride w:ilvl="5"/>
    <w:lvlOverride w:ilvl="6"/>
    <w:lvlOverride w:ilvl="7"/>
    <w:lvlOverride w:ilvl="8"/>
  </w:num>
  <w:num w:numId="35">
    <w:abstractNumId w:val="28"/>
    <w:lvlOverride w:ilvl="0"/>
    <w:lvlOverride w:ilvl="1"/>
    <w:lvlOverride w:ilvl="2"/>
    <w:lvlOverride w:ilvl="3"/>
    <w:lvlOverride w:ilvl="4"/>
    <w:lvlOverride w:ilvl="5"/>
    <w:lvlOverride w:ilvl="6"/>
    <w:lvlOverride w:ilvl="7"/>
    <w:lvlOverride w:ilvl="8"/>
  </w:num>
  <w:num w:numId="36">
    <w:abstractNumId w:val="31"/>
    <w:lvlOverride w:ilvl="0"/>
    <w:lvlOverride w:ilvl="1"/>
    <w:lvlOverride w:ilvl="2"/>
    <w:lvlOverride w:ilvl="3"/>
    <w:lvlOverride w:ilvl="4"/>
    <w:lvlOverride w:ilvl="5"/>
    <w:lvlOverride w:ilvl="6"/>
    <w:lvlOverride w:ilvl="7"/>
    <w:lvlOverride w:ilvl="8"/>
  </w:num>
  <w:num w:numId="37">
    <w:abstractNumId w:val="4"/>
  </w:num>
  <w:num w:numId="38">
    <w:abstractNumId w:val="29"/>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EB8"/>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174"/>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E9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5A4"/>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6CF"/>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99"/>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EF"/>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3CC2"/>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6C"/>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0"/>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036"/>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2D3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889"/>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B3"/>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ACB"/>
    <w:rsid w:val="005510E2"/>
    <w:rsid w:val="00551133"/>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8E7"/>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BCE"/>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90E"/>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3CF"/>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35F"/>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04"/>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49"/>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25"/>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24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1D9"/>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A2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4FAC"/>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87E"/>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1C1"/>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344"/>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8D3"/>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BCA"/>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E24"/>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9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4F50"/>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7B4"/>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23E"/>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519"/>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B48"/>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B03"/>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775"/>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5A"/>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ECB"/>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BF0"/>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461"/>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484"/>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47A"/>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72F"/>
    <w:rsid w:val="00E0177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0C"/>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5BB"/>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44E"/>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E70"/>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E34"/>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21F"/>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828"/>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6EE7"/>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numbered,목록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table" w:styleId="GridTable1Light">
    <w:name w:val="Grid Table 1 Light"/>
    <w:basedOn w:val="TableNormal"/>
    <w:uiPriority w:val="46"/>
    <w:rsid w:val="00412D30"/>
    <w:rPr>
      <w:rFonts w:eastAsia="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qFormat/>
    <w:rsid w:val="00551133"/>
  </w:style>
  <w:style w:type="paragraph" w:customStyle="1" w:styleId="xmsonormal">
    <w:name w:val="xmsonormal"/>
    <w:basedOn w:val="Normal"/>
    <w:rsid w:val="00551133"/>
    <w:pPr>
      <w:spacing w:before="100" w:beforeAutospacing="1" w:after="100" w:afterAutospacing="1" w:line="240" w:lineRule="auto"/>
      <w:ind w:firstLineChars="0" w:firstLine="0"/>
      <w:jc w:val="left"/>
    </w:pPr>
    <w:rPr>
      <w:rFonts w:ascii="Calibri" w:eastAsia="Calibri" w:hAnsi="Calibri" w:cs="Calibri"/>
      <w:sz w:val="22"/>
      <w:szCs w:val="22"/>
      <w:lang w:eastAsia="en-US"/>
    </w:rPr>
  </w:style>
  <w:style w:type="character" w:styleId="Strong">
    <w:name w:val="Strong"/>
    <w:uiPriority w:val="22"/>
    <w:qFormat/>
    <w:rsid w:val="00CC1484"/>
    <w:rPr>
      <w:b/>
      <w:bCs/>
    </w:rPr>
  </w:style>
  <w:style w:type="paragraph" w:customStyle="1" w:styleId="xmsonormal0">
    <w:name w:val="x_msonormal"/>
    <w:basedOn w:val="Normal"/>
    <w:uiPriority w:val="99"/>
    <w:rsid w:val="00CC1484"/>
    <w:pPr>
      <w:spacing w:before="0" w:after="0" w:line="240" w:lineRule="auto"/>
      <w:ind w:firstLineChars="0" w:firstLine="0"/>
      <w:jc w:val="lef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5770408">
      <w:bodyDiv w:val="1"/>
      <w:marLeft w:val="0"/>
      <w:marRight w:val="0"/>
      <w:marTop w:val="0"/>
      <w:marBottom w:val="0"/>
      <w:divBdr>
        <w:top w:val="none" w:sz="0" w:space="0" w:color="auto"/>
        <w:left w:val="none" w:sz="0" w:space="0" w:color="auto"/>
        <w:bottom w:val="none" w:sz="0" w:space="0" w:color="auto"/>
        <w:right w:val="none" w:sz="0" w:space="0" w:color="auto"/>
      </w:divBdr>
      <w:divsChild>
        <w:div w:id="451443875">
          <w:marLeft w:val="547"/>
          <w:marRight w:val="0"/>
          <w:marTop w:val="0"/>
          <w:marBottom w:val="0"/>
          <w:divBdr>
            <w:top w:val="none" w:sz="0" w:space="0" w:color="auto"/>
            <w:left w:val="none" w:sz="0" w:space="0" w:color="auto"/>
            <w:bottom w:val="none" w:sz="0" w:space="0" w:color="auto"/>
            <w:right w:val="none" w:sz="0" w:space="0" w:color="auto"/>
          </w:divBdr>
        </w:div>
        <w:div w:id="1471940365">
          <w:marLeft w:val="547"/>
          <w:marRight w:val="0"/>
          <w:marTop w:val="0"/>
          <w:marBottom w:val="0"/>
          <w:divBdr>
            <w:top w:val="none" w:sz="0" w:space="0" w:color="auto"/>
            <w:left w:val="none" w:sz="0" w:space="0" w:color="auto"/>
            <w:bottom w:val="none" w:sz="0" w:space="0" w:color="auto"/>
            <w:right w:val="none" w:sz="0" w:space="0" w:color="auto"/>
          </w:divBdr>
        </w:div>
        <w:div w:id="2080595885">
          <w:marLeft w:val="547"/>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4466250">
      <w:bodyDiv w:val="1"/>
      <w:marLeft w:val="0"/>
      <w:marRight w:val="0"/>
      <w:marTop w:val="0"/>
      <w:marBottom w:val="0"/>
      <w:divBdr>
        <w:top w:val="none" w:sz="0" w:space="0" w:color="auto"/>
        <w:left w:val="none" w:sz="0" w:space="0" w:color="auto"/>
        <w:bottom w:val="none" w:sz="0" w:space="0" w:color="auto"/>
        <w:right w:val="none" w:sz="0" w:space="0" w:color="auto"/>
      </w:divBdr>
      <w:divsChild>
        <w:div w:id="409474376">
          <w:marLeft w:val="547"/>
          <w:marRight w:val="0"/>
          <w:marTop w:val="0"/>
          <w:marBottom w:val="0"/>
          <w:divBdr>
            <w:top w:val="none" w:sz="0" w:space="0" w:color="auto"/>
            <w:left w:val="none" w:sz="0" w:space="0" w:color="auto"/>
            <w:bottom w:val="none" w:sz="0" w:space="0" w:color="auto"/>
            <w:right w:val="none" w:sz="0" w:space="0" w:color="auto"/>
          </w:divBdr>
        </w:div>
        <w:div w:id="1710645863">
          <w:marLeft w:val="547"/>
          <w:marRight w:val="0"/>
          <w:marTop w:val="0"/>
          <w:marBottom w:val="0"/>
          <w:divBdr>
            <w:top w:val="none" w:sz="0" w:space="0" w:color="auto"/>
            <w:left w:val="none" w:sz="0" w:space="0" w:color="auto"/>
            <w:bottom w:val="none" w:sz="0" w:space="0" w:color="auto"/>
            <w:right w:val="none" w:sz="0" w:space="0" w:color="auto"/>
          </w:divBdr>
        </w:div>
        <w:div w:id="2027752161">
          <w:marLeft w:val="547"/>
          <w:marRight w:val="0"/>
          <w:marTop w:val="0"/>
          <w:marBottom w:val="0"/>
          <w:divBdr>
            <w:top w:val="none" w:sz="0" w:space="0" w:color="auto"/>
            <w:left w:val="none" w:sz="0" w:space="0" w:color="auto"/>
            <w:bottom w:val="none" w:sz="0" w:space="0" w:color="auto"/>
            <w:right w:val="none" w:sz="0" w:space="0" w:color="auto"/>
          </w:divBdr>
        </w:div>
      </w:divsChild>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5440646">
      <w:bodyDiv w:val="1"/>
      <w:marLeft w:val="0"/>
      <w:marRight w:val="0"/>
      <w:marTop w:val="0"/>
      <w:marBottom w:val="0"/>
      <w:divBdr>
        <w:top w:val="none" w:sz="0" w:space="0" w:color="auto"/>
        <w:left w:val="none" w:sz="0" w:space="0" w:color="auto"/>
        <w:bottom w:val="none" w:sz="0" w:space="0" w:color="auto"/>
        <w:right w:val="none" w:sz="0" w:space="0" w:color="auto"/>
      </w:divBdr>
      <w:divsChild>
        <w:div w:id="516965856">
          <w:marLeft w:val="547"/>
          <w:marRight w:val="0"/>
          <w:marTop w:val="0"/>
          <w:marBottom w:val="0"/>
          <w:divBdr>
            <w:top w:val="none" w:sz="0" w:space="0" w:color="auto"/>
            <w:left w:val="none" w:sz="0" w:space="0" w:color="auto"/>
            <w:bottom w:val="none" w:sz="0" w:space="0" w:color="auto"/>
            <w:right w:val="none" w:sz="0" w:space="0" w:color="auto"/>
          </w:divBdr>
        </w:div>
        <w:div w:id="232667120">
          <w:marLeft w:val="547"/>
          <w:marRight w:val="0"/>
          <w:marTop w:val="0"/>
          <w:marBottom w:val="0"/>
          <w:divBdr>
            <w:top w:val="none" w:sz="0" w:space="0" w:color="auto"/>
            <w:left w:val="none" w:sz="0" w:space="0" w:color="auto"/>
            <w:bottom w:val="none" w:sz="0" w:space="0" w:color="auto"/>
            <w:right w:val="none" w:sz="0" w:space="0" w:color="auto"/>
          </w:divBdr>
        </w:div>
        <w:div w:id="1616860422">
          <w:marLeft w:val="547"/>
          <w:marRight w:val="0"/>
          <w:marTop w:val="0"/>
          <w:marBottom w:val="0"/>
          <w:divBdr>
            <w:top w:val="none" w:sz="0" w:space="0" w:color="auto"/>
            <w:left w:val="none" w:sz="0" w:space="0" w:color="auto"/>
            <w:bottom w:val="none" w:sz="0" w:space="0" w:color="auto"/>
            <w:right w:val="none" w:sz="0" w:space="0" w:color="auto"/>
          </w:divBdr>
        </w:div>
      </w:divsChild>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1191</Words>
  <Characters>6790</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7966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Thomas Novlan (AT&amp;T Labs)</cp:lastModifiedBy>
  <cp:revision>4</cp:revision>
  <dcterms:created xsi:type="dcterms:W3CDTF">2021-04-07T03:31:00Z</dcterms:created>
  <dcterms:modified xsi:type="dcterms:W3CDTF">2021-04-07T04:39:00Z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