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Pr>
                <w:lang w:val="zh-CN"/>
              </w:rPr>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3467"/>
              <w:gridCol w:w="4407"/>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lastRenderedPageBreak/>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3"/>
        <w:gridCol w:w="8875"/>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3 and 4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lastRenderedPageBreak/>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bl>
    <w:p w14:paraId="1BD471DA" w14:textId="77777777" w:rsidR="00FD2750" w:rsidRDefault="00FD2750">
      <w:pPr>
        <w:pStyle w:val="BodyText"/>
        <w:spacing w:after="0"/>
        <w:ind w:left="720"/>
        <w:jc w:val="left"/>
        <w:rPr>
          <w:rFonts w:ascii="Times New Roman" w:hAnsi="Times New Roman"/>
          <w:szCs w:val="20"/>
          <w:lang w:val="en-GB"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lastRenderedPageBreak/>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bl>
    <w:p w14:paraId="1A261F00" w14:textId="77777777" w:rsidR="00FD2750" w:rsidRDefault="00FD2750">
      <w:pPr>
        <w:pStyle w:val="BodyText"/>
        <w:spacing w:after="0"/>
        <w:ind w:left="720"/>
        <w:jc w:val="left"/>
        <w:rPr>
          <w:rFonts w:ascii="Times New Roman" w:hAnsi="Times New Roman"/>
          <w:szCs w:val="20"/>
          <w:lang w:val="en-GB"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bl>
    <w:p w14:paraId="49370963" w14:textId="77777777" w:rsidR="00FD2750" w:rsidRDefault="00FD2750">
      <w:pPr>
        <w:pStyle w:val="BodyText"/>
        <w:spacing w:after="0"/>
        <w:ind w:left="720"/>
        <w:jc w:val="left"/>
        <w:rPr>
          <w:rFonts w:ascii="Times New Roman" w:hAnsi="Times New Roman"/>
          <w:szCs w:val="20"/>
          <w:lang w:val="en-GB"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088"/>
        <w:gridCol w:w="8100"/>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38508B7B" w14:textId="77777777" w:rsidR="00FD2750" w:rsidRDefault="00FC78D4">
      <w:pPr>
        <w:pStyle w:val="Heading4"/>
        <w:numPr>
          <w:ilvl w:val="3"/>
          <w:numId w:val="14"/>
        </w:numPr>
      </w:pPr>
      <w:r>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bl>
    <w:p w14:paraId="695C8CB1" w14:textId="77777777" w:rsidR="00FD2750" w:rsidRDefault="00FD2750">
      <w:pPr>
        <w:pStyle w:val="BodyText"/>
        <w:spacing w:after="0"/>
        <w:ind w:left="720"/>
        <w:jc w:val="left"/>
        <w:rPr>
          <w:rFonts w:ascii="Times New Roman" w:hAnsi="Times New Roman"/>
          <w:szCs w:val="20"/>
          <w:lang w:val="en-GB"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lastRenderedPageBreak/>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bl>
    <w:p w14:paraId="71553CC8" w14:textId="77777777" w:rsidR="00FD2750" w:rsidRDefault="00FD2750">
      <w:pPr>
        <w:pStyle w:val="BodyText"/>
        <w:spacing w:after="0"/>
        <w:ind w:left="720"/>
        <w:jc w:val="left"/>
        <w:rPr>
          <w:rFonts w:ascii="Times New Roman" w:hAnsi="Times New Roman"/>
          <w:szCs w:val="20"/>
          <w:lang w:val="en-GB"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we agree with moderator’s proposal. However, it needs to be clarified if these are </w:t>
            </w:r>
            <w:r>
              <w:rPr>
                <w:rFonts w:ascii="Times New Roman" w:hAnsi="Times New Roman"/>
                <w:szCs w:val="20"/>
                <w:lang w:eastAsia="zh-CN"/>
              </w:rPr>
              <w:lastRenderedPageBreak/>
              <w:t>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bl>
    <w:p w14:paraId="1C5ECA06" w14:textId="77777777" w:rsidR="00FD2750" w:rsidRDefault="00FD2750">
      <w:pPr>
        <w:pStyle w:val="BodyText"/>
        <w:spacing w:after="0"/>
        <w:ind w:left="720"/>
        <w:jc w:val="left"/>
        <w:rPr>
          <w:rFonts w:ascii="Times New Roman" w:hAnsi="Times New Roman"/>
          <w:szCs w:val="20"/>
          <w:lang w:val="en-GB"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lastRenderedPageBreak/>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lastRenderedPageBreak/>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lastRenderedPageBreak/>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bl>
    <w:p w14:paraId="17CCC412" w14:textId="77777777" w:rsidR="00FD2750" w:rsidRDefault="00FD2750">
      <w:pPr>
        <w:pStyle w:val="BodyText"/>
        <w:spacing w:after="0"/>
        <w:ind w:left="720"/>
        <w:jc w:val="left"/>
        <w:rPr>
          <w:rFonts w:ascii="Times New Roman" w:hAnsi="Times New Roman"/>
          <w:szCs w:val="20"/>
          <w:lang w:val="en-GB"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bl>
    <w:p w14:paraId="223CA5CD" w14:textId="77777777" w:rsidR="00FD2750" w:rsidRDefault="00FD2750">
      <w:pPr>
        <w:pStyle w:val="BodyText"/>
        <w:spacing w:after="0"/>
        <w:ind w:left="720"/>
        <w:jc w:val="left"/>
        <w:rPr>
          <w:rFonts w:ascii="Times New Roman" w:hAnsi="Times New Roman"/>
          <w:szCs w:val="20"/>
          <w:lang w:val="en-GB"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086A1C1F" w14:textId="77777777">
        <w:trPr>
          <w:trHeight w:val="339"/>
        </w:trPr>
        <w:tc>
          <w:tcPr>
            <w:tcW w:w="1871" w:type="dxa"/>
          </w:tcPr>
          <w:p w14:paraId="22C17FC0" w14:textId="77777777" w:rsidR="00FD2750" w:rsidRDefault="00FD2750">
            <w:pPr>
              <w:pStyle w:val="BodyText"/>
              <w:spacing w:after="0"/>
              <w:rPr>
                <w:rFonts w:ascii="Times New Roman" w:hAnsi="Times New Roman"/>
                <w:color w:val="FF0000"/>
                <w:szCs w:val="22"/>
                <w:lang w:eastAsia="zh-CN"/>
              </w:rPr>
            </w:pPr>
          </w:p>
        </w:tc>
        <w:tc>
          <w:tcPr>
            <w:tcW w:w="8021" w:type="dxa"/>
          </w:tcPr>
          <w:p w14:paraId="744EA703" w14:textId="77777777" w:rsidR="00FD2750" w:rsidRDefault="00FD2750">
            <w:pPr>
              <w:pStyle w:val="BodyText"/>
              <w:spacing w:after="0" w:line="240" w:lineRule="auto"/>
              <w:rPr>
                <w:rFonts w:ascii="Times New Roman" w:hAnsi="Times New Roman"/>
                <w:color w:val="FF0000"/>
                <w:szCs w:val="22"/>
                <w:lang w:eastAsia="zh-CN"/>
              </w:rPr>
            </w:pPr>
          </w:p>
        </w:tc>
      </w:tr>
      <w:tr w:rsidR="00FD2750" w14:paraId="60A328F7" w14:textId="77777777">
        <w:trPr>
          <w:trHeight w:val="339"/>
        </w:trPr>
        <w:tc>
          <w:tcPr>
            <w:tcW w:w="1871" w:type="dxa"/>
          </w:tcPr>
          <w:p w14:paraId="69C598D1" w14:textId="77777777" w:rsidR="00FD2750" w:rsidRDefault="00FD2750">
            <w:pPr>
              <w:pStyle w:val="BodyText"/>
              <w:spacing w:after="0"/>
              <w:rPr>
                <w:rFonts w:ascii="Times New Roman" w:hAnsi="Times New Roman"/>
                <w:szCs w:val="22"/>
                <w:lang w:eastAsia="zh-CN"/>
              </w:rPr>
            </w:pPr>
          </w:p>
        </w:tc>
        <w:tc>
          <w:tcPr>
            <w:tcW w:w="8021" w:type="dxa"/>
          </w:tcPr>
          <w:p w14:paraId="5C8475AC" w14:textId="77777777" w:rsidR="00FD2750" w:rsidRDefault="00FD2750">
            <w:pPr>
              <w:pStyle w:val="BodyText"/>
              <w:spacing w:after="0"/>
              <w:rPr>
                <w:rFonts w:ascii="Times New Roman" w:hAnsi="Times New Roman"/>
                <w:szCs w:val="22"/>
                <w:lang w:eastAsia="zh-CN"/>
              </w:rPr>
            </w:pPr>
          </w:p>
        </w:tc>
      </w:tr>
      <w:tr w:rsidR="00FD2750" w14:paraId="5736AEFA" w14:textId="77777777">
        <w:trPr>
          <w:trHeight w:val="339"/>
        </w:trPr>
        <w:tc>
          <w:tcPr>
            <w:tcW w:w="1871" w:type="dxa"/>
          </w:tcPr>
          <w:p w14:paraId="6E6771A1" w14:textId="77777777" w:rsidR="00FD2750" w:rsidRDefault="00FD2750">
            <w:pPr>
              <w:pStyle w:val="BodyText"/>
              <w:spacing w:after="0" w:line="240" w:lineRule="auto"/>
              <w:rPr>
                <w:rFonts w:ascii="Times New Roman" w:hAnsi="Times New Roman"/>
                <w:szCs w:val="22"/>
                <w:lang w:eastAsia="zh-CN"/>
              </w:rPr>
            </w:pPr>
          </w:p>
        </w:tc>
        <w:tc>
          <w:tcPr>
            <w:tcW w:w="8021" w:type="dxa"/>
          </w:tcPr>
          <w:p w14:paraId="117F2EE5" w14:textId="77777777" w:rsidR="00FD2750" w:rsidRDefault="00FD2750">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 xml:space="preserve">Reduced number of DM-RS ports as the performance gain of high rank MIMO channels </w:t>
            </w:r>
            <w:r>
              <w:rPr>
                <w:rFonts w:ascii="Times New Roman" w:hAnsi="Times New Roman"/>
                <w:szCs w:val="20"/>
                <w:lang w:eastAsia="zh-CN"/>
              </w:rPr>
              <w:lastRenderedPageBreak/>
              <w:t>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lastRenderedPageBreak/>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lastRenderedPageBreak/>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bl>
    <w:p w14:paraId="794B5575" w14:textId="77777777" w:rsidR="00FD2750" w:rsidRDefault="00FD2750">
      <w:pPr>
        <w:pStyle w:val="BodyText"/>
        <w:spacing w:after="0"/>
        <w:ind w:left="720"/>
        <w:jc w:val="left"/>
        <w:rPr>
          <w:rFonts w:ascii="Times New Roman" w:hAnsi="Times New Roman"/>
          <w:szCs w:val="20"/>
          <w:lang w:val="en-GB"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bl>
    <w:p w14:paraId="52892AF7" w14:textId="77777777" w:rsidR="00FD2750" w:rsidRDefault="00FD2750">
      <w:pPr>
        <w:pStyle w:val="BodyText"/>
        <w:spacing w:after="0"/>
        <w:ind w:left="720"/>
        <w:jc w:val="left"/>
        <w:rPr>
          <w:rFonts w:ascii="Times New Roman" w:hAnsi="Times New Roman"/>
          <w:szCs w:val="20"/>
          <w:lang w:val="en-GB" w:eastAsia="zh-CN"/>
        </w:rPr>
      </w:pPr>
    </w:p>
    <w:p w14:paraId="73421779" w14:textId="77777777" w:rsidR="00FD2750" w:rsidRDefault="00FD2750"/>
    <w:p w14:paraId="498B83AE" w14:textId="77777777" w:rsidR="00FD2750" w:rsidRDefault="00FC78D4">
      <w:pPr>
        <w:pStyle w:val="Heading4"/>
        <w:numPr>
          <w:ilvl w:val="3"/>
          <w:numId w:val="17"/>
        </w:numPr>
      </w:pPr>
      <w:r>
        <w:lastRenderedPageBreak/>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hint="eastAsia"/>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hint="eastAsia"/>
                <w:szCs w:val="20"/>
                <w:lang w:eastAsia="zh-CN"/>
              </w:rPr>
            </w:pPr>
          </w:p>
        </w:tc>
      </w:tr>
    </w:tbl>
    <w:p w14:paraId="4B1D8A6B" w14:textId="77777777" w:rsidR="00FD2750" w:rsidRDefault="00FD2750">
      <w:pPr>
        <w:pStyle w:val="BodyText"/>
        <w:spacing w:after="0"/>
        <w:ind w:left="720"/>
        <w:jc w:val="left"/>
        <w:rPr>
          <w:rFonts w:ascii="Times New Roman" w:hAnsi="Times New Roman"/>
          <w:szCs w:val="20"/>
          <w:lang w:val="en-GB"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13"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14"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BA0F9F">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5"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6" w:history="1">
        <w:r w:rsidR="00FC78D4">
          <w:rPr>
            <w:rStyle w:val="Hyperlink"/>
            <w:rFonts w:asciiTheme="minorHAnsi" w:hAnsiTheme="minorHAnsi" w:cstheme="minorHAnsi"/>
            <w:sz w:val="20"/>
            <w:szCs w:val="20"/>
            <w:lang w:eastAsia="zh-CN"/>
          </w:rPr>
          <w:t>R1-2100077</w:t>
        </w:r>
      </w:hyperlink>
    </w:p>
    <w:p w14:paraId="6CF9042E"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18"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 xml:space="preserve">Huawei, </w:t>
      </w:r>
      <w:proofErr w:type="spellStart"/>
      <w:r w:rsidR="00FC78D4">
        <w:rPr>
          <w:rFonts w:asciiTheme="minorHAnsi" w:hAnsiTheme="minorHAnsi" w:cstheme="minorHAnsi"/>
          <w:sz w:val="20"/>
          <w:szCs w:val="20"/>
          <w:lang w:eastAsia="zh-CN"/>
        </w:rPr>
        <w:t>HiSilicon</w:t>
      </w:r>
      <w:proofErr w:type="spellEnd"/>
    </w:p>
    <w:p w14:paraId="43EB921B"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1"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29"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BA0F9F">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DA76" w14:textId="77777777" w:rsidR="000E0458" w:rsidRDefault="000E0458">
      <w:pPr>
        <w:spacing w:after="0" w:line="240" w:lineRule="auto"/>
      </w:pPr>
      <w:r>
        <w:separator/>
      </w:r>
    </w:p>
  </w:endnote>
  <w:endnote w:type="continuationSeparator" w:id="0">
    <w:p w14:paraId="17D3FFFF" w14:textId="77777777" w:rsidR="000E0458" w:rsidRDefault="000E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BA0F9F" w:rsidRDefault="00BA0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BA0F9F" w:rsidRDefault="00BA0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77777777" w:rsidR="00BA0F9F" w:rsidRDefault="00BA0F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87F0" w14:textId="77777777" w:rsidR="000E0458" w:rsidRDefault="000E0458">
      <w:pPr>
        <w:spacing w:after="0" w:line="240" w:lineRule="auto"/>
      </w:pPr>
      <w:r>
        <w:separator/>
      </w:r>
    </w:p>
  </w:footnote>
  <w:footnote w:type="continuationSeparator" w:id="0">
    <w:p w14:paraId="54F30D94" w14:textId="77777777" w:rsidR="000E0458" w:rsidRDefault="000E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BA0F9F" w:rsidRDefault="00BA0F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8"/>
  </w:num>
  <w:num w:numId="7">
    <w:abstractNumId w:val="10"/>
  </w:num>
  <w:num w:numId="8">
    <w:abstractNumId w:val="15"/>
  </w:num>
  <w:num w:numId="9">
    <w:abstractNumId w:val="0"/>
  </w:num>
  <w:num w:numId="10">
    <w:abstractNumId w:val="22"/>
  </w:num>
  <w:num w:numId="11">
    <w:abstractNumId w:val="11"/>
  </w:num>
  <w:num w:numId="12">
    <w:abstractNumId w:val="21"/>
  </w:num>
  <w:num w:numId="13">
    <w:abstractNumId w:val="3"/>
  </w:num>
  <w:num w:numId="14">
    <w:abstractNumId w:val="16"/>
  </w:num>
  <w:num w:numId="15">
    <w:abstractNumId w:val="13"/>
  </w:num>
  <w:num w:numId="16">
    <w:abstractNumId w:val="2"/>
  </w:num>
  <w:num w:numId="17">
    <w:abstractNumId w:val="14"/>
  </w:num>
  <w:num w:numId="18">
    <w:abstractNumId w:val="7"/>
  </w:num>
  <w:num w:numId="19">
    <w:abstractNumId w:val="4"/>
  </w:num>
  <w:num w:numId="20">
    <w:abstractNumId w:val="8"/>
  </w:num>
  <w:num w:numId="21">
    <w:abstractNumId w:val="5"/>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4-e/Docs/R1-2100050.zip" TargetMode="External"/><Relationship Id="rId18" Type="http://schemas.openxmlformats.org/officeDocument/2006/relationships/hyperlink" Target="https://www.3gpp.org/ftp/tsg_ran/WG1_RL1/TSGR1_104-e/Docs/R1-2100201.zip" TargetMode="External"/><Relationship Id="rId26" Type="http://schemas.openxmlformats.org/officeDocument/2006/relationships/hyperlink" Target="https://www.3gpp.org/ftp/tsg_ran/WG1_RL1/TSGR1_104-e/Docs/R1-2100741.zip" TargetMode="External"/><Relationship Id="rId39" Type="http://schemas.openxmlformats.org/officeDocument/2006/relationships/hyperlink" Target="https://www.3gpp.org/ftp/tsg_ran/WG1_RL1/TSGR1_104-e/Docs/R1-21014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374.zip" TargetMode="External"/><Relationship Id="rId34" Type="http://schemas.openxmlformats.org/officeDocument/2006/relationships/hyperlink" Target="https://www.3gpp.org/ftp/tsg_ran/WG1_RL1/TSGR1_104-e/Docs/R1-2101198.zip"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53.zip" TargetMode="External"/><Relationship Id="rId25" Type="http://schemas.openxmlformats.org/officeDocument/2006/relationships/hyperlink" Target="https://www.3gpp.org/ftp/tsg_ran/WG1_RL1/TSGR1_104-e/Docs/R1-2100647.zip" TargetMode="External"/><Relationship Id="rId33" Type="http://schemas.openxmlformats.org/officeDocument/2006/relationships/hyperlink" Target="https://www.3gpp.org/ftp/tsg_ran/WG1_RL1/TSGR1_104-e/Docs/R1-2101112.zip" TargetMode="External"/><Relationship Id="rId38" Type="http://schemas.openxmlformats.org/officeDocument/2006/relationships/hyperlink" Target="https://www.3gpp.org/ftp/tsg_ran/WG1_RL1/TSGR1_104-e/Docs/R1-2101376.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077.zip" TargetMode="External"/><Relationship Id="rId20" Type="http://schemas.openxmlformats.org/officeDocument/2006/relationships/hyperlink" Target="https://www.3gpp.org/ftp/tsg_ran/WG1_RL1/TSGR1_104-e/Docs/R1-2100300.zip" TargetMode="External"/><Relationship Id="rId29" Type="http://schemas.openxmlformats.org/officeDocument/2006/relationships/hyperlink" Target="https://www.3gpp.org/ftp/tsg_ran/WG1_RL1/TSGR1_104-e/Docs/R1-210084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05.zip" TargetMode="External"/><Relationship Id="rId32" Type="http://schemas.openxmlformats.org/officeDocument/2006/relationships/hyperlink" Target="https://www.3gpp.org/ftp/tsg_ran/WG1_RL1/TSGR1_104-e/Docs/R1-2100940.zip" TargetMode="External"/><Relationship Id="rId37" Type="http://schemas.openxmlformats.org/officeDocument/2006/relationships/hyperlink" Target="https://www.3gpp.org/ftp/tsg_ran/WG1_RL1/TSGR1_104-e/Docs/R1-2101330.zip" TargetMode="External"/><Relationship Id="rId40" Type="http://schemas.openxmlformats.org/officeDocument/2006/relationships/hyperlink" Target="https://www.3gpp.org/ftp/tsg_ran/WG1_RL1/TSGR1_104-e/Docs/R1-2101609.zip"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4-e/Docs/R1-2101819.zip" TargetMode="External"/><Relationship Id="rId23" Type="http://schemas.openxmlformats.org/officeDocument/2006/relationships/hyperlink" Target="https://www.3gpp.org/ftp/tsg_ran/WG1_RL1/TSGR1_104-e/Docs/R1-2100553.zip" TargetMode="External"/><Relationship Id="rId28" Type="http://schemas.openxmlformats.org/officeDocument/2006/relationships/hyperlink" Target="https://www.3gpp.org/ftp/tsg_ran/WG1_RL1/TSGR1_104-e/Docs/R1-2101780.zip" TargetMode="External"/><Relationship Id="rId36" Type="http://schemas.openxmlformats.org/officeDocument/2006/relationships/hyperlink" Target="https://www.3gpp.org/ftp/tsg_ran/WG1_RL1/TSGR1_104-e/Docs/R1-2101320.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261.zip" TargetMode="External"/><Relationship Id="rId31" Type="http://schemas.openxmlformats.org/officeDocument/2006/relationships/hyperlink" Target="https://www.3gpp.org/ftp/tsg_ran/WG1_RL1/TSGR1_104-e/Docs/R1-210089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061.zip" TargetMode="External"/><Relationship Id="rId22" Type="http://schemas.openxmlformats.org/officeDocument/2006/relationships/hyperlink" Target="https://www.3gpp.org/ftp/tsg_ran/WG1_RL1/TSGR1_104-e/Docs/R1-2100433.zip" TargetMode="External"/><Relationship Id="rId27" Type="http://schemas.openxmlformats.org/officeDocument/2006/relationships/hyperlink" Target="https://www.3gpp.org/ftp/tsg_ran/WG1_RL1/TSGR1_104-e/Docs/R1-2100820.zip" TargetMode="External"/><Relationship Id="rId30" Type="http://schemas.openxmlformats.org/officeDocument/2006/relationships/hyperlink" Target="https://www.3gpp.org/ftp/tsg_ran/WG1_RL1/TSGR1_104-e/Docs/R1-2100853.zip" TargetMode="External"/><Relationship Id="rId35" Type="http://schemas.openxmlformats.org/officeDocument/2006/relationships/hyperlink" Target="https://www.3gpp.org/ftp/tsg_ran/WG1_RL1/TSGR1_104-e/Docs/R1-2101310.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rPr>
      <w:sz w:val="22"/>
      <w:szCs w:val="22"/>
    </w:rPr>
  </w:style>
  <w:style w:type="paragraph" w:customStyle="1" w:styleId="C155E0827EC74C3D9516198BAC3A1B69">
    <w:name w:val="C155E0827EC74C3D9516198BAC3A1B69"/>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rPr>
      <w:sz w:val="22"/>
      <w:szCs w:val="22"/>
    </w:rPr>
  </w:style>
  <w:style w:type="paragraph" w:customStyle="1" w:styleId="FF7270827376434FBB7508ABF504C396">
    <w:name w:val="FF7270827376434FBB7508ABF504C396"/>
    <w:rPr>
      <w:sz w:val="22"/>
      <w:szCs w:val="22"/>
    </w:rPr>
  </w:style>
  <w:style w:type="paragraph" w:customStyle="1" w:styleId="750D8954ECBC4B87B1E9A0539BDA8493">
    <w:name w:val="750D8954ECBC4B87B1E9A0539BDA8493"/>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0CC616-4128-4723-8AB8-E0C1C984E4D1}">
  <ds:schemaRefs>
    <ds:schemaRef ds:uri="http://schemas.openxmlformats.org/officeDocument/2006/bibliography"/>
  </ds:schemaRefs>
</ds:datastoreItem>
</file>

<file path=customXml/itemProps4.xml><?xml version="1.0" encoding="utf-8"?>
<ds:datastoreItem xmlns:ds="http://schemas.openxmlformats.org/officeDocument/2006/customXml" ds:itemID="{01416024-813C-40F4-9B24-64C06E2F679A}">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39</TotalTime>
  <Pages>37</Pages>
  <Words>12818</Words>
  <Characters>73065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85712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Ahmed Zewail</cp:lastModifiedBy>
  <cp:revision>5</cp:revision>
  <cp:lastPrinted>2011-11-09T07:49:00Z</cp:lastPrinted>
  <dcterms:created xsi:type="dcterms:W3CDTF">2021-01-26T14:30:00Z</dcterms:created>
  <dcterms:modified xsi:type="dcterms:W3CDTF">2021-01-26T23:00:00Z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