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3D90BB12"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1C1BE3">
        <w:rPr>
          <w:rFonts w:ascii="Arial" w:hAnsi="Arial" w:cs="Arial"/>
          <w:b/>
          <w:bCs/>
          <w:lang w:val="de-DE"/>
        </w:rPr>
        <w:t>xxxx</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3"/>
        <w:numPr>
          <w:ilvl w:val="1"/>
          <w:numId w:val="7"/>
        </w:numPr>
      </w:pPr>
      <w:r>
        <w:t>Issue 1 (Rel.17 unified TCI framework)</w:t>
      </w:r>
    </w:p>
    <w:p w14:paraId="3C057727" w14:textId="77777777" w:rsidR="00DE37B1" w:rsidRDefault="00EF35A2">
      <w:pPr>
        <w:pStyle w:val="ac"/>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BF1EA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CC5EA4F" w:rsidR="00A33839" w:rsidRDefault="00A33839" w:rsidP="00A33839">
            <w:pPr>
              <w:snapToGrid w:val="0"/>
            </w:pPr>
            <w:r>
              <w:rPr>
                <w:b/>
                <w:sz w:val="18"/>
                <w:szCs w:val="20"/>
              </w:rPr>
              <w:t>Alt1 (12)</w:t>
            </w:r>
            <w:r>
              <w:rPr>
                <w:sz w:val="18"/>
                <w:szCs w:val="20"/>
              </w:rPr>
              <w:t>: Spreadtrum, Xiaomi, ZTE, CATT, vivo, MTK, Intel, Convida, Qualcomm, Samsung, CATT, NTT Docomo</w:t>
            </w:r>
          </w:p>
          <w:p w14:paraId="59D6E68A" w14:textId="77777777" w:rsidR="00A33839" w:rsidRDefault="00A33839" w:rsidP="00A33839">
            <w:pPr>
              <w:snapToGrid w:val="0"/>
              <w:rPr>
                <w:sz w:val="18"/>
                <w:szCs w:val="20"/>
              </w:rPr>
            </w:pPr>
          </w:p>
          <w:p w14:paraId="53123EF9" w14:textId="04AA37EB" w:rsidR="00A33839" w:rsidRDefault="00A33839" w:rsidP="00A33839">
            <w:pPr>
              <w:snapToGrid w:val="0"/>
              <w:rPr>
                <w:sz w:val="18"/>
                <w:szCs w:val="20"/>
              </w:rPr>
            </w:pPr>
            <w:r>
              <w:rPr>
                <w:b/>
                <w:sz w:val="18"/>
                <w:szCs w:val="20"/>
              </w:rPr>
              <w:t>Alt2 (15)</w:t>
            </w:r>
            <w:r>
              <w:rPr>
                <w:sz w:val="18"/>
                <w:szCs w:val="20"/>
              </w:rPr>
              <w:t>: Futurewei, OPPO, Lenovo/MoM, Nokia/NSB, CMCC, Ericsson, Huawei/HiSi,  AT&amp;T, Sony, Lenovo/MoM, APT</w:t>
            </w:r>
          </w:p>
        </w:tc>
      </w:tr>
    </w:tbl>
    <w:p w14:paraId="2BBC1E51" w14:textId="14F8036E" w:rsidR="00DE37B1" w:rsidRDefault="00DE37B1">
      <w:pPr>
        <w:snapToGrid w:val="0"/>
        <w:jc w:val="both"/>
        <w:rPr>
          <w:sz w:val="20"/>
          <w:szCs w:val="20"/>
        </w:rPr>
      </w:pPr>
    </w:p>
    <w:tbl>
      <w:tblPr>
        <w:tblStyle w:val="afc"/>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바탕" w:cs="Times New Roman"/>
                <w:sz w:val="18"/>
                <w:szCs w:val="20"/>
                <w:lang w:val="en-GB"/>
              </w:rPr>
            </w:pPr>
            <w:r w:rsidRPr="004223DF">
              <w:rPr>
                <w:rFonts w:eastAsia="바탕"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바탕"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바탕"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바탕" w:cs="Times New Roman"/>
                <w:sz w:val="18"/>
                <w:szCs w:val="20"/>
                <w:lang w:val="en-GB"/>
              </w:rPr>
            </w:pPr>
            <w:r w:rsidRPr="004223DF">
              <w:rPr>
                <w:rFonts w:eastAsia="바탕"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바탕"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afc"/>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a3"/>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a3"/>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afc"/>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5D2C2C3B" w:rsidR="00446EBE" w:rsidRDefault="00446EBE" w:rsidP="009D4D35">
            <w:pPr>
              <w:pStyle w:val="ab"/>
              <w:snapToGrid w:val="0"/>
              <w:spacing w:before="0" w:after="0"/>
              <w:jc w:val="both"/>
              <w:rPr>
                <w:sz w:val="20"/>
                <w:szCs w:val="20"/>
              </w:rPr>
            </w:pPr>
            <w:r>
              <w:rPr>
                <w:rStyle w:val="afd"/>
                <w:sz w:val="20"/>
                <w:szCs w:val="20"/>
                <w:u w:val="single"/>
              </w:rPr>
              <w:t>Proposal 1.1</w:t>
            </w:r>
            <w:r w:rsidRPr="00502AF0">
              <w:rPr>
                <w:sz w:val="20"/>
                <w:szCs w:val="20"/>
              </w:rPr>
              <w:t>: On Rel.17 unified TCI framework:</w:t>
            </w:r>
          </w:p>
          <w:p w14:paraId="02A9C6AD" w14:textId="699C99B5" w:rsidR="00314031" w:rsidRDefault="00314031" w:rsidP="009D4D35">
            <w:pPr>
              <w:pStyle w:val="ab"/>
              <w:snapToGrid w:val="0"/>
              <w:spacing w:before="0" w:after="0"/>
              <w:jc w:val="both"/>
              <w:rPr>
                <w:sz w:val="20"/>
                <w:szCs w:val="20"/>
              </w:rPr>
            </w:pPr>
            <w:r>
              <w:rPr>
                <w:sz w:val="20"/>
                <w:szCs w:val="20"/>
              </w:rPr>
              <w:t>...</w:t>
            </w:r>
          </w:p>
          <w:p w14:paraId="1773A492" w14:textId="6D6E03C1" w:rsidR="001D6EE0" w:rsidRPr="00502AF0" w:rsidRDefault="001D6EE0" w:rsidP="00314031">
            <w:pPr>
              <w:pStyle w:val="ab"/>
              <w:snapToGrid w:val="0"/>
              <w:spacing w:before="0" w:after="0"/>
              <w:jc w:val="both"/>
              <w:rPr>
                <w:rFonts w:eastAsiaTheme="minorEastAsia"/>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ac"/>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맑은 고딕"/>
                <w:sz w:val="18"/>
                <w:szCs w:val="18"/>
              </w:rPr>
            </w:pPr>
            <w:r>
              <w:rPr>
                <w:rFonts w:eastAsia="맑은 고딕"/>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맑은 고딕"/>
                <w:sz w:val="18"/>
                <w:szCs w:val="18"/>
              </w:rPr>
            </w:pPr>
            <w:r>
              <w:rPr>
                <w:rFonts w:eastAsia="맑은 고딕" w:hint="eastAsia"/>
                <w:sz w:val="18"/>
                <w:szCs w:val="18"/>
              </w:rPr>
              <w:t>A</w:t>
            </w:r>
            <w:r>
              <w:rPr>
                <w:rFonts w:eastAsia="맑은 고딕"/>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맑은 고딕"/>
                <w:sz w:val="18"/>
              </w:rPr>
            </w:pPr>
            <w:r>
              <w:rPr>
                <w:rFonts w:eastAsia="맑은 고딕" w:hint="eastAsia"/>
                <w:sz w:val="18"/>
              </w:rPr>
              <w:t>1</w:t>
            </w:r>
            <w:r>
              <w:rPr>
                <w:rFonts w:eastAsia="맑은 고딕"/>
                <w:sz w:val="18"/>
              </w:rPr>
              <w:t>a. indeed, how to derive QCL-typeA for Alt1 is unclear to us.</w:t>
            </w:r>
          </w:p>
          <w:p w14:paraId="7AC469F0" w14:textId="77777777" w:rsidR="008027FF" w:rsidRDefault="008027FF" w:rsidP="00502032">
            <w:pPr>
              <w:snapToGrid w:val="0"/>
              <w:rPr>
                <w:rFonts w:eastAsia="맑은 고딕"/>
                <w:sz w:val="18"/>
              </w:rPr>
            </w:pPr>
            <w:r>
              <w:rPr>
                <w:rFonts w:eastAsia="맑은 고딕" w:hint="eastAsia"/>
                <w:sz w:val="18"/>
              </w:rPr>
              <w:t>1</w:t>
            </w:r>
            <w:r>
              <w:rPr>
                <w:rFonts w:eastAsia="맑은 고딕"/>
                <w:sz w:val="18"/>
              </w:rPr>
              <w:t xml:space="preserve">b. </w:t>
            </w:r>
          </w:p>
          <w:p w14:paraId="4E95118A" w14:textId="77777777" w:rsidR="008027FF" w:rsidRDefault="008027FF" w:rsidP="00502032">
            <w:pPr>
              <w:snapToGrid w:val="0"/>
              <w:rPr>
                <w:rFonts w:eastAsia="맑은 고딕"/>
                <w:sz w:val="18"/>
              </w:rPr>
            </w:pPr>
            <w:r>
              <w:rPr>
                <w:rFonts w:eastAsia="맑은 고딕" w:hint="eastAsia"/>
                <w:sz w:val="18"/>
              </w:rPr>
              <w:t>2</w:t>
            </w:r>
            <w:r>
              <w:rPr>
                <w:rFonts w:eastAsia="맑은 고딕"/>
                <w:sz w:val="18"/>
              </w:rPr>
              <w:t>a. it is not clear if Alt-1 can be applied for separate DL/UL case.</w:t>
            </w:r>
          </w:p>
          <w:p w14:paraId="480DBB7B" w14:textId="0AE631C2" w:rsidR="008027FF" w:rsidRPr="008027FF" w:rsidRDefault="008027FF" w:rsidP="00502032">
            <w:pPr>
              <w:snapToGrid w:val="0"/>
              <w:rPr>
                <w:rFonts w:eastAsia="맑은 고딕"/>
                <w:sz w:val="18"/>
              </w:rPr>
            </w:pPr>
            <w:r>
              <w:rPr>
                <w:rFonts w:eastAsia="맑은 고딕" w:hint="eastAsia"/>
                <w:sz w:val="18"/>
              </w:rPr>
              <w:t>2</w:t>
            </w:r>
            <w:r>
              <w:rPr>
                <w:rFonts w:eastAsia="맑은 고딕"/>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맑은 고딕"/>
                <w:sz w:val="18"/>
                <w:szCs w:val="18"/>
              </w:rPr>
            </w:pPr>
            <w:r>
              <w:rPr>
                <w:rFonts w:eastAsia="맑은 고딕"/>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a3"/>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맑은 고딕"/>
                <w:sz w:val="18"/>
                <w:szCs w:val="18"/>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맑은 고딕"/>
                <w:sz w:val="18"/>
                <w:szCs w:val="18"/>
                <w:lang w:val="en-GB"/>
              </w:rPr>
            </w:pPr>
            <w:r>
              <w:rPr>
                <w:rFonts w:eastAsia="맑은 고딕"/>
                <w:sz w:val="18"/>
                <w:szCs w:val="18"/>
                <w:lang w:val="en-GB"/>
              </w:rPr>
              <w:t>1a: agree that this is the problem of Alt1</w:t>
            </w:r>
          </w:p>
          <w:p w14:paraId="5EBB2CEB" w14:textId="2D70A726" w:rsidR="00502032" w:rsidRDefault="00D627CE" w:rsidP="00D627CE">
            <w:pPr>
              <w:snapToGrid w:val="0"/>
              <w:rPr>
                <w:rFonts w:eastAsia="맑은 고딕"/>
                <w:sz w:val="18"/>
              </w:rPr>
            </w:pPr>
            <w:r>
              <w:rPr>
                <w:rFonts w:eastAsia="맑은 고딕"/>
                <w:sz w:val="18"/>
                <w:szCs w:val="18"/>
                <w:lang w:val="en-GB"/>
              </w:rPr>
              <w:t>1b: UL TCI can include other than beam RS such that power/timing control related in this or later releases. So, Alt2 is more futureproof design.</w:t>
            </w:r>
          </w:p>
        </w:tc>
      </w:tr>
      <w:tr w:rsidR="00502032"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AF98B33" w:rsidR="00502032" w:rsidRDefault="00502032" w:rsidP="00502032">
            <w:pPr>
              <w:snapToGrid w:val="0"/>
              <w:rPr>
                <w:rFonts w:eastAsia="맑은 고딕"/>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5150" w14:textId="508A0BF5" w:rsidR="00502032" w:rsidRDefault="00502032" w:rsidP="00502032">
            <w:pPr>
              <w:snapToGrid w:val="0"/>
              <w:rPr>
                <w:rFonts w:eastAsia="맑은 고딕"/>
                <w:sz w:val="18"/>
              </w:rPr>
            </w:pP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5A3B376A"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6C3B4" w14:textId="325DF98C" w:rsidR="00502032" w:rsidRDefault="00502032" w:rsidP="00502032">
            <w:pPr>
              <w:snapToGrid w:val="0"/>
              <w:rPr>
                <w:sz w:val="18"/>
                <w:lang w:eastAsia="zh-CN"/>
              </w:rPr>
            </w:pPr>
          </w:p>
        </w:tc>
      </w:tr>
      <w:tr w:rsidR="00502032"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43AA418"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EC0C9" w14:textId="2CC9C942" w:rsidR="00502032" w:rsidRDefault="00502032" w:rsidP="00502032">
            <w:pPr>
              <w:snapToGrid w:val="0"/>
              <w:rPr>
                <w:sz w:val="18"/>
                <w:lang w:eastAsia="zh-CN"/>
              </w:rPr>
            </w:pPr>
          </w:p>
        </w:tc>
      </w:tr>
      <w:tr w:rsidR="00502032"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2BF538CD"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BFAA3" w14:textId="68B6129E" w:rsidR="00502032" w:rsidRDefault="00502032" w:rsidP="00502032">
            <w:pPr>
              <w:snapToGrid w:val="0"/>
              <w:rPr>
                <w:sz w:val="18"/>
                <w:lang w:eastAsia="zh-CN"/>
              </w:rPr>
            </w:pPr>
          </w:p>
        </w:tc>
      </w:tr>
      <w:tr w:rsidR="00502032"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5B6850A"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7ECED" w14:textId="7990DE8B" w:rsidR="00502032" w:rsidRDefault="00502032" w:rsidP="00502032">
            <w:pPr>
              <w:snapToGrid w:val="0"/>
              <w:rPr>
                <w:sz w:val="18"/>
                <w:lang w:eastAsia="zh-CN"/>
              </w:rPr>
            </w:pPr>
          </w:p>
        </w:tc>
      </w:tr>
      <w:tr w:rsidR="00502032"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4735FF33"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BDA5" w14:textId="061AA4EE" w:rsidR="00502032" w:rsidRDefault="00502032" w:rsidP="00502032">
            <w:pPr>
              <w:snapToGrid w:val="0"/>
              <w:rPr>
                <w:sz w:val="18"/>
                <w:lang w:eastAsia="zh-CN"/>
              </w:rPr>
            </w:pPr>
          </w:p>
        </w:tc>
      </w:tr>
      <w:tr w:rsidR="00502032"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038CE8F6"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77AF" w14:textId="7D8C1EF7" w:rsidR="00502032" w:rsidRDefault="00502032" w:rsidP="00502032">
            <w:pPr>
              <w:pStyle w:val="ab"/>
              <w:snapToGrid w:val="0"/>
              <w:spacing w:before="0" w:after="0"/>
              <w:jc w:val="both"/>
              <w:rPr>
                <w:sz w:val="18"/>
                <w:lang w:eastAsia="zh-CN"/>
              </w:rPr>
            </w:pP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ac"/>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a3"/>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a3"/>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a3"/>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a3"/>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6F32F1" w:rsidRDefault="006F32F1" w:rsidP="00E03338">
            <w:pPr>
              <w:pStyle w:val="a3"/>
              <w:numPr>
                <w:ilvl w:val="0"/>
                <w:numId w:val="16"/>
              </w:numPr>
              <w:snapToGrid w:val="0"/>
              <w:spacing w:after="0" w:line="240" w:lineRule="auto"/>
              <w:rPr>
                <w:sz w:val="18"/>
                <w:szCs w:val="20"/>
              </w:rPr>
            </w:pPr>
            <w:r w:rsidRPr="006F32F1">
              <w:rPr>
                <w:b/>
                <w:sz w:val="18"/>
                <w:szCs w:val="20"/>
              </w:rPr>
              <w:t>Yes</w:t>
            </w:r>
            <w:r w:rsidRPr="006F32F1">
              <w:rPr>
                <w:sz w:val="18"/>
                <w:szCs w:val="20"/>
              </w:rPr>
              <w:t>: Samsung, ZTE</w:t>
            </w:r>
            <w:r w:rsidRPr="006F32F1">
              <w:rPr>
                <w:rFonts w:eastAsia="DengXian"/>
                <w:sz w:val="18"/>
                <w:szCs w:val="20"/>
              </w:rPr>
              <w:t>, Futurewei, Huawei/HiSi</w:t>
            </w:r>
          </w:p>
          <w:p w14:paraId="1E33C567" w14:textId="1FB6149C" w:rsidR="006F32F1" w:rsidRPr="006F32F1" w:rsidRDefault="006F32F1" w:rsidP="00E03338">
            <w:pPr>
              <w:pStyle w:val="a3"/>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a3"/>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afc"/>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바탕" w:cs="Times New Roman"/>
                <w:sz w:val="18"/>
                <w:szCs w:val="18"/>
                <w:lang w:val="en-GB"/>
              </w:rPr>
            </w:pPr>
            <w:r w:rsidRPr="00D83F1B">
              <w:rPr>
                <w:rFonts w:eastAsia="바탕"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바탕" w:cs="Times New Roman"/>
                <w:sz w:val="18"/>
                <w:szCs w:val="18"/>
                <w:lang w:val="en-GB"/>
              </w:rPr>
            </w:pPr>
            <w:r w:rsidRPr="00D83F1B">
              <w:rPr>
                <w:rFonts w:eastAsia="바탕"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바탕" w:cs="Times New Roman"/>
                <w:sz w:val="18"/>
                <w:szCs w:val="18"/>
                <w:lang w:val="en-GB"/>
              </w:rPr>
            </w:pPr>
            <w:r w:rsidRPr="00D83F1B">
              <w:rPr>
                <w:rFonts w:eastAsia="바탕"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바탕" w:cs="Times New Roman"/>
                <w:color w:val="FF0000"/>
                <w:sz w:val="18"/>
                <w:szCs w:val="18"/>
                <w:lang w:val="en-GB"/>
              </w:rPr>
            </w:pPr>
            <w:r w:rsidRPr="00D83F1B">
              <w:rPr>
                <w:rFonts w:eastAsia="바탕"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바탕" w:cs="Times New Roman"/>
                <w:sz w:val="18"/>
                <w:szCs w:val="18"/>
                <w:lang w:val="en-GB"/>
              </w:rPr>
            </w:pPr>
            <w:r w:rsidRPr="00D83F1B">
              <w:rPr>
                <w:rFonts w:eastAsia="바탕"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바탕" w:cs="Times New Roman"/>
                <w:sz w:val="18"/>
                <w:szCs w:val="18"/>
                <w:lang w:val="en-GB"/>
              </w:rPr>
            </w:pPr>
            <w:r w:rsidRPr="00D83F1B">
              <w:rPr>
                <w:rFonts w:eastAsia="바탕"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바탕" w:cs="Times New Roman"/>
                <w:sz w:val="20"/>
                <w:szCs w:val="20"/>
                <w:lang w:val="en-GB"/>
              </w:rPr>
            </w:pPr>
            <w:r w:rsidRPr="00D83F1B">
              <w:rPr>
                <w:rFonts w:eastAsia="바탕" w:cs="Times New Roman"/>
                <w:sz w:val="18"/>
                <w:szCs w:val="18"/>
                <w:lang w:val="en-GB"/>
              </w:rPr>
              <w:t>…</w:t>
            </w:r>
          </w:p>
        </w:tc>
      </w:tr>
    </w:tbl>
    <w:p w14:paraId="636DE36A" w14:textId="4D49A194" w:rsidR="00694C63" w:rsidRDefault="00694C63" w:rsidP="00503AA7">
      <w:pPr>
        <w:snapToGrid w:val="0"/>
        <w:jc w:val="both"/>
        <w:rPr>
          <w:sz w:val="20"/>
        </w:rPr>
      </w:pPr>
    </w:p>
    <w:tbl>
      <w:tblPr>
        <w:tblStyle w:val="afc"/>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afc"/>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77777777"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361547D4" w:rsidR="001175C0" w:rsidRDefault="001175C0" w:rsidP="008930FC">
            <w:pPr>
              <w:snapToGrid w:val="0"/>
              <w:rPr>
                <w:rFonts w:cs="Times New Roman"/>
                <w:color w:val="000000"/>
                <w:sz w:val="20"/>
                <w:szCs w:val="20"/>
              </w:rPr>
            </w:pPr>
          </w:p>
          <w:p w14:paraId="69714EBA" w14:textId="59AEFB7A" w:rsidR="001175C0" w:rsidRDefault="001175C0" w:rsidP="008930FC">
            <w:pPr>
              <w:snapToGrid w:val="0"/>
              <w:rPr>
                <w:rFonts w:cs="Times New Roman"/>
                <w:color w:val="000000"/>
                <w:sz w:val="20"/>
                <w:szCs w:val="20"/>
              </w:rPr>
            </w:pPr>
            <w:r>
              <w:rPr>
                <w:rFonts w:cs="Times New Roman"/>
                <w:color w:val="000000"/>
                <w:sz w:val="20"/>
                <w:szCs w:val="20"/>
              </w:rPr>
              <w:t>...</w:t>
            </w:r>
          </w:p>
          <w:p w14:paraId="1B39EABA" w14:textId="77777777" w:rsidR="001175C0" w:rsidRPr="001175C0" w:rsidRDefault="001175C0" w:rsidP="008930FC">
            <w:pPr>
              <w:snapToGrid w:val="0"/>
              <w:rPr>
                <w:sz w:val="20"/>
              </w:rPr>
            </w:pPr>
            <w:r w:rsidRPr="007009E1">
              <w:rPr>
                <w:rFonts w:cs="Times New Roman"/>
                <w:color w:val="000000"/>
                <w:sz w:val="20"/>
                <w:szCs w:val="20"/>
              </w:rPr>
              <w:t xml:space="preserve"> </w:t>
            </w: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ac"/>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afc"/>
              <w:tblW w:w="0" w:type="auto"/>
              <w:tblLook w:val="04A0" w:firstRow="1" w:lastRow="0" w:firstColumn="1" w:lastColumn="0" w:noHBand="0" w:noVBand="1"/>
            </w:tblPr>
            <w:tblGrid>
              <w:gridCol w:w="8324"/>
            </w:tblGrid>
            <w:tr w:rsidR="00BE20D1" w14:paraId="483EF6FA" w14:textId="77777777" w:rsidTr="00B74C86">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77777777" w:rsidR="00BE20D1" w:rsidRDefault="00BE20D1"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맑은 고딕" w:hint="eastAsia"/>
                <w:sz w:val="18"/>
                <w:szCs w:val="18"/>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맑은 고딕"/>
                <w:sz w:val="18"/>
                <w:szCs w:val="18"/>
              </w:rPr>
            </w:pPr>
            <w:r>
              <w:rPr>
                <w:rFonts w:eastAsia="맑은 고딕" w:hint="eastAsia"/>
                <w:sz w:val="18"/>
                <w:szCs w:val="18"/>
              </w:rPr>
              <w:t xml:space="preserve">Q1: </w:t>
            </w:r>
            <w:r>
              <w:rPr>
                <w:rFonts w:eastAsia="맑은 고딕"/>
                <w:sz w:val="18"/>
                <w:szCs w:val="18"/>
              </w:rPr>
              <w:t>Yes</w:t>
            </w:r>
          </w:p>
          <w:p w14:paraId="0B8D77D0" w14:textId="70EDB5D3" w:rsidR="00502032" w:rsidRDefault="00D627CE" w:rsidP="00D627CE">
            <w:pPr>
              <w:snapToGrid w:val="0"/>
              <w:rPr>
                <w:sz w:val="18"/>
                <w:lang w:eastAsia="zh-CN"/>
              </w:rPr>
            </w:pPr>
            <w:r>
              <w:rPr>
                <w:rFonts w:eastAsia="맑은 고딕"/>
                <w:sz w:val="18"/>
                <w:szCs w:val="18"/>
              </w:rPr>
              <w:t>Q2:  Type of source RSs can be same as Rel-15/16 for PDSCH/PDCCH/PUCCH/PUSCH. Only change would be to allow NSC SSB or mobility CSI-RS as top QCL source.</w:t>
            </w:r>
          </w:p>
        </w:tc>
      </w:tr>
      <w:tr w:rsidR="00502032"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3D1AA140"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E7B8" w14:textId="21D9D705" w:rsidR="00502032" w:rsidRDefault="00502032" w:rsidP="00502032">
            <w:pPr>
              <w:snapToGrid w:val="0"/>
              <w:rPr>
                <w:sz w:val="18"/>
                <w:lang w:eastAsia="zh-CN"/>
              </w:rPr>
            </w:pP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41A8E433"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DDD35" w14:textId="77777777" w:rsidR="00502032" w:rsidRDefault="00502032" w:rsidP="00502032">
            <w:pPr>
              <w:snapToGrid w:val="0"/>
              <w:rPr>
                <w:sz w:val="18"/>
                <w:lang w:eastAsia="zh-CN"/>
              </w:rPr>
            </w:pPr>
          </w:p>
        </w:tc>
      </w:tr>
      <w:tr w:rsidR="00502032"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5518DE5D"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4DE67" w14:textId="07474B1A" w:rsidR="00502032" w:rsidRDefault="00502032" w:rsidP="00502032">
            <w:pPr>
              <w:rPr>
                <w:sz w:val="18"/>
                <w:lang w:eastAsia="zh-CN"/>
              </w:rPr>
            </w:pP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3"/>
        <w:numPr>
          <w:ilvl w:val="1"/>
          <w:numId w:val="7"/>
        </w:numPr>
      </w:pPr>
      <w:r>
        <w:t>Issue 3 (beam indication signaling medium)</w:t>
      </w:r>
    </w:p>
    <w:p w14:paraId="0670C5CB" w14:textId="77777777" w:rsidR="00DE37B1" w:rsidRDefault="00DE37B1"/>
    <w:p w14:paraId="2F60B4DE" w14:textId="77777777" w:rsidR="00DE37B1" w:rsidRDefault="00AA19F5">
      <w:pPr>
        <w:pStyle w:val="ac"/>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바탕" w:hAnsi="Times" w:cs="Times New Roman"/>
                <w:bCs/>
                <w:sz w:val="20"/>
                <w:szCs w:val="20"/>
                <w:u w:val="single"/>
                <w:lang w:val="en-GB" w:eastAsia="en-US"/>
              </w:rPr>
            </w:pPr>
            <w:r w:rsidRPr="00A523CC">
              <w:rPr>
                <w:rFonts w:ascii="Times" w:eastAsia="바탕"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바탕" w:hAnsi="Times" w:cs="Times New Roman"/>
                <w:bCs/>
                <w:sz w:val="18"/>
                <w:szCs w:val="20"/>
                <w:lang w:val="en-GB" w:eastAsia="en-US"/>
              </w:rPr>
            </w:pPr>
            <w:r w:rsidRPr="00E41C4D">
              <w:rPr>
                <w:rFonts w:ascii="Times" w:eastAsia="바탕"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바탕" w:hAnsi="Times" w:cs="Times New Roman"/>
                <w:sz w:val="18"/>
                <w:szCs w:val="20"/>
                <w:lang w:val="en-GB" w:eastAsia="en-US"/>
              </w:rPr>
            </w:pPr>
            <w:r w:rsidRPr="00E41C4D">
              <w:rPr>
                <w:rFonts w:ascii="Times" w:eastAsia="바탕"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바탕" w:hAnsi="Times" w:cs="Times New Roman"/>
                <w:sz w:val="18"/>
                <w:szCs w:val="20"/>
                <w:lang w:val="en-GB" w:eastAsia="en-US"/>
              </w:rPr>
            </w:pPr>
            <w:r w:rsidRPr="00E41C4D">
              <w:rPr>
                <w:rFonts w:ascii="Times" w:eastAsia="바탕"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바탕" w:hAnsi="Times" w:cs="Times New Roman"/>
                <w:sz w:val="18"/>
                <w:szCs w:val="20"/>
                <w:lang w:val="en-GB" w:eastAsia="en-US"/>
              </w:rPr>
            </w:pPr>
            <w:r w:rsidRPr="00E41C4D">
              <w:rPr>
                <w:rFonts w:ascii="Times" w:eastAsia="바탕"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바탕"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바탕" w:hAnsi="Times" w:cs="Times New Roman"/>
                <w:bCs/>
                <w:sz w:val="18"/>
                <w:lang w:val="en-GB" w:eastAsia="en-US"/>
              </w:rPr>
              <w:t xml:space="preserve">FFS: </w:t>
            </w:r>
            <w:r w:rsidRPr="00E41C4D">
              <w:rPr>
                <w:rFonts w:ascii="Times" w:eastAsia="바탕"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바탕" w:hAnsi="Times"/>
          <w:sz w:val="18"/>
          <w:szCs w:val="18"/>
          <w:lang w:val="en-GB" w:eastAsia="en-US"/>
        </w:rPr>
      </w:pPr>
      <w:r w:rsidRPr="003439B6">
        <w:rPr>
          <w:rFonts w:ascii="Times" w:eastAsia="바탕"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바탕" w:hAnsi="Times"/>
          <w:sz w:val="18"/>
          <w:szCs w:val="18"/>
          <w:highlight w:val="yellow"/>
          <w:lang w:val="en-GB" w:eastAsia="en-US"/>
        </w:rPr>
      </w:pPr>
      <w:r w:rsidRPr="003439B6">
        <w:rPr>
          <w:rFonts w:ascii="Times" w:eastAsia="바탕" w:hAnsi="Times"/>
          <w:sz w:val="18"/>
          <w:szCs w:val="18"/>
          <w:highlight w:val="yellow"/>
          <w:lang w:val="en-GB" w:eastAsia="en-US"/>
        </w:rPr>
        <w:t xml:space="preserve">The </w:t>
      </w:r>
      <w:r>
        <w:rPr>
          <w:rFonts w:ascii="Times" w:eastAsia="바탕" w:hAnsi="Times"/>
          <w:sz w:val="18"/>
          <w:szCs w:val="18"/>
          <w:highlight w:val="yellow"/>
          <w:lang w:val="en-GB" w:eastAsia="en-US"/>
        </w:rPr>
        <w:t>UE may assume that the (gNB-)</w:t>
      </w:r>
      <w:r w:rsidRPr="003439B6">
        <w:rPr>
          <w:rFonts w:ascii="Times" w:eastAsia="바탕" w:hAnsi="Times"/>
          <w:sz w:val="18"/>
          <w:szCs w:val="18"/>
          <w:highlight w:val="yellow"/>
          <w:lang w:val="en-GB" w:eastAsia="en-US"/>
        </w:rPr>
        <w:t xml:space="preserve">configured application time </w:t>
      </w:r>
      <w:r>
        <w:rPr>
          <w:rFonts w:ascii="Times" w:eastAsia="바탕" w:hAnsi="Times"/>
          <w:sz w:val="18"/>
          <w:szCs w:val="18"/>
          <w:highlight w:val="yellow"/>
          <w:lang w:val="en-GB" w:eastAsia="en-US"/>
        </w:rPr>
        <w:t xml:space="preserve">is </w:t>
      </w:r>
      <w:r w:rsidRPr="003439B6">
        <w:rPr>
          <w:rFonts w:ascii="Times" w:eastAsia="바탕"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lastRenderedPageBreak/>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afc"/>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09241B" w:rsidRDefault="0009241B" w:rsidP="0009241B">
            <w:pPr>
              <w:snapToGrid w:val="0"/>
              <w:jc w:val="both"/>
              <w:rPr>
                <w:rFonts w:eastAsia="바탕" w:cs="Times New Roman"/>
                <w:bCs/>
                <w:sz w:val="20"/>
                <w:szCs w:val="20"/>
                <w:lang w:val="en-GB" w:eastAsia="en-US"/>
              </w:rPr>
            </w:pPr>
            <w:r w:rsidRPr="0009241B">
              <w:rPr>
                <w:rFonts w:cs="Times New Roman"/>
                <w:b/>
                <w:sz w:val="20"/>
                <w:szCs w:val="20"/>
                <w:u w:val="single"/>
              </w:rPr>
              <w:t>Proposal 3.1</w:t>
            </w:r>
            <w:r w:rsidR="008B61C7" w:rsidRPr="0009241B">
              <w:rPr>
                <w:rFonts w:cs="Times New Roman"/>
                <w:sz w:val="20"/>
                <w:szCs w:val="20"/>
              </w:rPr>
              <w:t xml:space="preserve">: </w:t>
            </w:r>
            <w:r w:rsidR="008F4222" w:rsidRPr="0009241B">
              <w:rPr>
                <w:rFonts w:eastAsia="바탕" w:cs="Times New Roman"/>
                <w:bCs/>
                <w:sz w:val="20"/>
                <w:szCs w:val="20"/>
                <w:lang w:val="en-GB" w:eastAsia="en-US"/>
              </w:rPr>
              <w:t xml:space="preserve">On Rel.17 DCI-based beam indication, </w:t>
            </w:r>
            <w:r w:rsidRPr="0009241B">
              <w:rPr>
                <w:rFonts w:ascii="Times" w:eastAsia="바탕" w:hAnsi="Times" w:cs="Times New Roman"/>
                <w:sz w:val="20"/>
                <w:szCs w:val="20"/>
                <w:lang w:val="en-GB" w:eastAsia="en-US"/>
              </w:rPr>
              <w:t>regarding application time of the beam indication: if beam indication is received, down-select (</w:t>
            </w:r>
            <w:r w:rsidRPr="0075184B">
              <w:rPr>
                <w:rFonts w:ascii="Times" w:eastAsia="바탕" w:hAnsi="Times" w:cs="Times New Roman"/>
                <w:color w:val="3333FF"/>
                <w:sz w:val="20"/>
                <w:szCs w:val="20"/>
                <w:lang w:val="en-GB" w:eastAsia="en-US"/>
              </w:rPr>
              <w:t xml:space="preserve">no later than RAN1#105-e) </w:t>
            </w:r>
            <w:r w:rsidRPr="0009241B">
              <w:rPr>
                <w:rFonts w:ascii="Times" w:eastAsia="바탕" w:hAnsi="Times" w:cs="Times New Roman"/>
                <w:sz w:val="20"/>
                <w:szCs w:val="20"/>
                <w:lang w:val="en-GB" w:eastAsia="en-US"/>
              </w:rPr>
              <w:t>from the following:</w:t>
            </w:r>
          </w:p>
          <w:p w14:paraId="6EFF5CF0" w14:textId="796AF27B" w:rsidR="0009241B" w:rsidRPr="0009241B" w:rsidRDefault="0009241B" w:rsidP="00E03338">
            <w:pPr>
              <w:numPr>
                <w:ilvl w:val="0"/>
                <w:numId w:val="8"/>
              </w:numPr>
              <w:suppressAutoHyphens/>
              <w:autoSpaceDN w:val="0"/>
              <w:snapToGrid w:val="0"/>
              <w:jc w:val="both"/>
              <w:textAlignment w:val="baseline"/>
              <w:rPr>
                <w:rFonts w:ascii="Times" w:eastAsia="바탕" w:hAnsi="Times" w:cs="Times New Roman"/>
                <w:sz w:val="20"/>
                <w:szCs w:val="20"/>
                <w:lang w:val="en-GB" w:eastAsia="en-US"/>
              </w:rPr>
            </w:pPr>
            <w:r w:rsidRPr="0009241B">
              <w:rPr>
                <w:rFonts w:ascii="Times" w:eastAsia="바탕" w:hAnsi="Times" w:cs="Times New Roman"/>
                <w:sz w:val="20"/>
                <w:szCs w:val="20"/>
                <w:lang w:val="en-GB" w:eastAsia="en-US"/>
              </w:rPr>
              <w:t>Alt1A: the first slot that is at least X ms or Y symbols after the DCI with the joint or separate DL/UL beam indication</w:t>
            </w:r>
          </w:p>
          <w:p w14:paraId="158F15B9" w14:textId="731A7680" w:rsidR="0009241B" w:rsidRPr="0075184B" w:rsidRDefault="0009241B" w:rsidP="00E03338">
            <w:pPr>
              <w:numPr>
                <w:ilvl w:val="0"/>
                <w:numId w:val="8"/>
              </w:numPr>
              <w:suppressAutoHyphens/>
              <w:autoSpaceDN w:val="0"/>
              <w:snapToGrid w:val="0"/>
              <w:jc w:val="both"/>
              <w:textAlignment w:val="baseline"/>
              <w:rPr>
                <w:rFonts w:ascii="Times" w:eastAsia="바탕" w:hAnsi="Times" w:cs="Times New Roman"/>
                <w:color w:val="3333FF"/>
                <w:sz w:val="20"/>
                <w:szCs w:val="20"/>
                <w:lang w:val="en-GB" w:eastAsia="en-US"/>
              </w:rPr>
            </w:pPr>
            <w:r w:rsidRPr="0075184B">
              <w:rPr>
                <w:rFonts w:ascii="Times" w:eastAsia="바탕" w:hAnsi="Times" w:cs="Times New Roman"/>
                <w:color w:val="3333FF"/>
                <w:sz w:val="20"/>
                <w:szCs w:val="20"/>
                <w:lang w:val="en-GB" w:eastAsia="en-US"/>
              </w:rPr>
              <w:t>Alt1B: the first slot that is at least X ms or Y symbols after the DCI with the joint or separate DL/UL beam indication</w:t>
            </w:r>
          </w:p>
          <w:p w14:paraId="59410C8D" w14:textId="3E3D701E" w:rsidR="0009241B" w:rsidRPr="0075184B" w:rsidRDefault="0009241B" w:rsidP="00E03338">
            <w:pPr>
              <w:numPr>
                <w:ilvl w:val="1"/>
                <w:numId w:val="8"/>
              </w:numPr>
              <w:suppressAutoHyphens/>
              <w:autoSpaceDN w:val="0"/>
              <w:snapToGrid w:val="0"/>
              <w:jc w:val="both"/>
              <w:textAlignment w:val="baseline"/>
              <w:rPr>
                <w:rFonts w:ascii="Times" w:eastAsia="바탕" w:hAnsi="Times" w:cs="Times New Roman"/>
                <w:color w:val="3333FF"/>
                <w:sz w:val="20"/>
                <w:szCs w:val="20"/>
                <w:lang w:val="en-GB" w:eastAsia="en-US"/>
              </w:rPr>
            </w:pPr>
            <w:r w:rsidRPr="0075184B">
              <w:rPr>
                <w:rFonts w:ascii="Times" w:eastAsia="바탕" w:hAnsi="Times"/>
                <w:color w:val="3333FF"/>
                <w:sz w:val="20"/>
                <w:szCs w:val="20"/>
                <w:lang w:val="en-GB" w:eastAsia="en-US"/>
              </w:rPr>
              <w:t>In addition, the UE may assume that the (gNB-)configured application time is after the acknowledgement</w:t>
            </w:r>
          </w:p>
          <w:p w14:paraId="25AEF46A" w14:textId="77777777" w:rsidR="0009241B" w:rsidRPr="0009241B" w:rsidRDefault="0009241B" w:rsidP="00E03338">
            <w:pPr>
              <w:numPr>
                <w:ilvl w:val="0"/>
                <w:numId w:val="8"/>
              </w:numPr>
              <w:suppressAutoHyphens/>
              <w:autoSpaceDN w:val="0"/>
              <w:snapToGrid w:val="0"/>
              <w:jc w:val="both"/>
              <w:textAlignment w:val="baseline"/>
              <w:rPr>
                <w:rFonts w:ascii="Times" w:eastAsia="바탕" w:hAnsi="Times" w:cs="Times New Roman"/>
                <w:sz w:val="20"/>
                <w:szCs w:val="20"/>
                <w:lang w:val="en-GB" w:eastAsia="en-US"/>
              </w:rPr>
            </w:pPr>
            <w:r w:rsidRPr="0009241B">
              <w:rPr>
                <w:rFonts w:ascii="Times" w:eastAsia="바탕" w:hAnsi="Times" w:cs="Times New Roman"/>
                <w:sz w:val="20"/>
                <w:szCs w:val="20"/>
                <w:lang w:val="en-GB" w:eastAsia="en-US"/>
              </w:rPr>
              <w:t xml:space="preserve">Alt2: the first slot that is at least X ms or Y symbols after the acknowledgment of the joint or separate DL/UL beam indication </w:t>
            </w:r>
          </w:p>
          <w:p w14:paraId="43E340E1" w14:textId="77777777" w:rsidR="0009241B" w:rsidRPr="0009241B" w:rsidRDefault="0009241B" w:rsidP="00E03338">
            <w:pPr>
              <w:numPr>
                <w:ilvl w:val="0"/>
                <w:numId w:val="8"/>
              </w:numPr>
              <w:suppressAutoHyphens/>
              <w:autoSpaceDN w:val="0"/>
              <w:snapToGrid w:val="0"/>
              <w:jc w:val="both"/>
              <w:textAlignment w:val="baseline"/>
              <w:rPr>
                <w:sz w:val="20"/>
                <w:szCs w:val="20"/>
              </w:rPr>
            </w:pPr>
            <w:r w:rsidRPr="0009241B">
              <w:rPr>
                <w:rFonts w:ascii="Times" w:eastAsia="바탕"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바탕" w:cs="Times New Roman"/>
                <w:sz w:val="20"/>
                <w:szCs w:val="20"/>
                <w:lang w:val="en-GB" w:eastAsia="en-US"/>
              </w:rPr>
            </w:pPr>
            <w:r w:rsidRPr="0009241B">
              <w:rPr>
                <w:rFonts w:ascii="Times" w:eastAsia="바탕" w:hAnsi="Times" w:cs="Times New Roman"/>
                <w:bCs/>
                <w:sz w:val="20"/>
                <w:szCs w:val="20"/>
                <w:lang w:val="en-GB" w:eastAsia="en-US"/>
              </w:rPr>
              <w:t xml:space="preserve">FFS: </w:t>
            </w:r>
            <w:r w:rsidRPr="0009241B">
              <w:rPr>
                <w:rFonts w:ascii="Times" w:eastAsia="바탕"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afc"/>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ac"/>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맑은 고딕"/>
                <w:sz w:val="18"/>
                <w:szCs w:val="18"/>
              </w:rPr>
            </w:pPr>
            <w:r>
              <w:rPr>
                <w:rFonts w:eastAsia="맑은 고딕"/>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맑은 고딕"/>
                <w:sz w:val="18"/>
                <w:szCs w:val="18"/>
              </w:rPr>
            </w:pPr>
            <w:r>
              <w:rPr>
                <w:rFonts w:eastAsia="맑은 고딕"/>
                <w:sz w:val="18"/>
                <w:szCs w:val="18"/>
              </w:rPr>
              <w:t>Proposal 3.1 is essentially the previous agreement with Alt1B added and a deadline for decision</w:t>
            </w:r>
            <w:r w:rsidR="0075184B">
              <w:rPr>
                <w:rFonts w:eastAsia="맑은 고딕"/>
                <w:sz w:val="18"/>
                <w:szCs w:val="18"/>
              </w:rPr>
              <w:t xml:space="preserve">. The new part is highlighted in </w:t>
            </w:r>
            <w:r w:rsidR="0075184B" w:rsidRPr="00FF79F3">
              <w:rPr>
                <w:rFonts w:eastAsia="맑은 고딕"/>
                <w:color w:val="3333FF"/>
                <w:sz w:val="18"/>
                <w:szCs w:val="18"/>
              </w:rPr>
              <w:t>blue</w:t>
            </w:r>
            <w:r w:rsidR="000D7F5C" w:rsidRPr="00FF79F3">
              <w:rPr>
                <w:rFonts w:eastAsia="맑은 고딕"/>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맑은 고딕"/>
                <w:sz w:val="18"/>
                <w:szCs w:val="18"/>
                <w:lang w:eastAsia="zh-TW"/>
              </w:rPr>
            </w:pPr>
            <w:r>
              <w:rPr>
                <w:rFonts w:eastAsia="맑은 고딕"/>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맑은 고딕"/>
                <w:sz w:val="18"/>
                <w:szCs w:val="18"/>
              </w:rPr>
            </w:pPr>
            <w:r>
              <w:rPr>
                <w:rFonts w:eastAsia="맑은 고딕" w:hint="eastAsia"/>
                <w:sz w:val="18"/>
                <w:szCs w:val="18"/>
              </w:rPr>
              <w:t>A</w:t>
            </w:r>
            <w:r>
              <w:rPr>
                <w:rFonts w:eastAsia="맑은 고딕"/>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맑은 고딕"/>
                <w:sz w:val="18"/>
                <w:szCs w:val="18"/>
              </w:rPr>
            </w:pPr>
            <w:r>
              <w:rPr>
                <w:rFonts w:eastAsia="맑은 고딕"/>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맑은 고딕"/>
                <w:sz w:val="18"/>
                <w:szCs w:val="18"/>
              </w:rPr>
            </w:pPr>
            <w:r>
              <w:rPr>
                <w:rFonts w:eastAsia="맑은 고딕"/>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맑은 고딕"/>
                <w:sz w:val="18"/>
                <w:szCs w:val="18"/>
              </w:rPr>
            </w:pPr>
            <w:r>
              <w:rPr>
                <w:rFonts w:eastAsia="맑은 고딕"/>
                <w:sz w:val="18"/>
                <w:szCs w:val="18"/>
              </w:rPr>
              <w:t xml:space="preserve">Alt2 is supported. </w:t>
            </w:r>
          </w:p>
          <w:p w14:paraId="5A587DB3" w14:textId="5B464AA6" w:rsidR="00BE20D1" w:rsidRPr="003439B6" w:rsidRDefault="00BE20D1" w:rsidP="00BE20D1">
            <w:pPr>
              <w:snapToGrid w:val="0"/>
              <w:rPr>
                <w:rFonts w:eastAsia="맑은 고딕"/>
                <w:sz w:val="18"/>
                <w:szCs w:val="18"/>
              </w:rPr>
            </w:pPr>
            <w:r>
              <w:rPr>
                <w:rFonts w:eastAsia="맑은 고딕"/>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맑은 고딕"/>
                <w:sz w:val="18"/>
                <w:szCs w:val="18"/>
              </w:rPr>
            </w:pPr>
            <w:r>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8766" w14:textId="3FC0867C" w:rsidR="00502032" w:rsidRPr="00D627CE" w:rsidRDefault="00D627CE" w:rsidP="00502032">
            <w:pPr>
              <w:snapToGrid w:val="0"/>
              <w:rPr>
                <w:rFonts w:eastAsia="맑은 고딕" w:hint="eastAsia"/>
                <w:sz w:val="18"/>
                <w:szCs w:val="18"/>
              </w:rPr>
            </w:pPr>
            <w:r>
              <w:rPr>
                <w:rFonts w:eastAsia="맑은 고딕"/>
                <w:sz w:val="18"/>
                <w:szCs w:val="18"/>
              </w:rPr>
              <w:t>First of all, a</w:t>
            </w:r>
            <w:r>
              <w:rPr>
                <w:rFonts w:eastAsia="맑은 고딕" w:hint="eastAsia"/>
                <w:sz w:val="18"/>
                <w:szCs w:val="18"/>
              </w:rPr>
              <w:t>s commented/questioned multiple times, there is no strong need to define a unified BAT for different DL/UL channels because UE cannot receive</w:t>
            </w:r>
            <w:r>
              <w:rPr>
                <w:rFonts w:eastAsia="맑은 고딕"/>
                <w:sz w:val="18"/>
                <w:szCs w:val="18"/>
              </w:rPr>
              <w:t xml:space="preserve"> or transmit</w:t>
            </w:r>
            <w:r>
              <w:rPr>
                <w:rFonts w:eastAsia="맑은 고딕" w:hint="eastAsia"/>
                <w:sz w:val="18"/>
                <w:szCs w:val="18"/>
              </w:rPr>
              <w:t xml:space="preserve"> them</w:t>
            </w:r>
            <w:r>
              <w:rPr>
                <w:rFonts w:eastAsia="맑은 고딕"/>
                <w:sz w:val="18"/>
                <w:szCs w:val="18"/>
              </w:rPr>
              <w:t xml:space="preserve"> simultaneously anyway. </w:t>
            </w:r>
            <w:r>
              <w:rPr>
                <w:rFonts w:eastAsia="맑은 고딕" w:hint="eastAsia"/>
                <w:sz w:val="18"/>
                <w:szCs w:val="18"/>
              </w:rPr>
              <w:t>M</w:t>
            </w:r>
            <w:r>
              <w:rPr>
                <w:rFonts w:eastAsia="맑은 고딕"/>
                <w:sz w:val="18"/>
                <w:szCs w:val="18"/>
              </w:rPr>
              <w:t>ore importantly, the TCI in a DCI should be able to apply to the scheduled PDSCH by the DCI as Rel-15/16 (</w:t>
            </w:r>
            <w:r w:rsidRPr="008D67BF">
              <w:rPr>
                <w:rFonts w:eastAsia="맑은 고딕"/>
                <w:b/>
                <w:sz w:val="18"/>
                <w:szCs w:val="18"/>
              </w:rPr>
              <w:t>same behavior as when TCI is present in DCI</w:t>
            </w:r>
            <w:r>
              <w:rPr>
                <w:rFonts w:eastAsia="맑은 고딕"/>
                <w:sz w:val="18"/>
                <w:szCs w:val="18"/>
              </w:rPr>
              <w:t xml:space="preserve">). </w:t>
            </w:r>
            <w:r>
              <w:rPr>
                <w:rFonts w:eastAsia="맑은 고딕" w:hint="eastAsia"/>
                <w:sz w:val="18"/>
                <w:szCs w:val="18"/>
              </w:rPr>
              <w:t>S</w:t>
            </w:r>
            <w:r>
              <w:rPr>
                <w:rFonts w:eastAsia="맑은 고딕"/>
                <w:sz w:val="18"/>
                <w:szCs w:val="18"/>
              </w:rPr>
              <w:t xml:space="preserve">o, we have strong concern on Alt1B and Alt2 because it precludes the use of indicated TCI for the scheduled PDSCH. If we’d like to go with Alt2, the scheduled PDSCH should be an exception as in Rel-15/16. </w:t>
            </w:r>
          </w:p>
        </w:tc>
      </w:tr>
      <w:tr w:rsidR="00502032"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4C2A59" w:rsidR="00502032" w:rsidRPr="003439B6" w:rsidRDefault="00502032" w:rsidP="00502032">
            <w:pPr>
              <w:snapToGrid w:val="0"/>
              <w:rPr>
                <w:rFonts w:eastAsia="맑은 고딕"/>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4BCD0BD8" w:rsidR="00502032" w:rsidRPr="003439B6" w:rsidRDefault="00502032" w:rsidP="00502032">
            <w:pPr>
              <w:snapToGrid w:val="0"/>
              <w:rPr>
                <w:rFonts w:eastAsia="맑은 고딕"/>
                <w:b/>
                <w:bCs/>
                <w:sz w:val="18"/>
                <w:szCs w:val="18"/>
              </w:rPr>
            </w:pP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53DCBDD1" w:rsidR="00502032" w:rsidRPr="003439B6" w:rsidRDefault="00502032" w:rsidP="00502032">
            <w:pPr>
              <w:snapToGrid w:val="0"/>
              <w:rPr>
                <w:rFonts w:eastAsia="맑은 고딕"/>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90159BF" w:rsidR="00502032" w:rsidRPr="003439B6" w:rsidRDefault="00502032" w:rsidP="00502032">
            <w:pPr>
              <w:snapToGrid w:val="0"/>
              <w:rPr>
                <w:rFonts w:eastAsia="맑은 고딕"/>
                <w:sz w:val="18"/>
                <w:szCs w:val="18"/>
              </w:rPr>
            </w:pPr>
          </w:p>
        </w:tc>
      </w:tr>
      <w:tr w:rsidR="00502032"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B7CB45B" w:rsidR="00502032" w:rsidRPr="003439B6" w:rsidRDefault="00502032" w:rsidP="00502032">
            <w:pPr>
              <w:snapToGrid w:val="0"/>
              <w:rPr>
                <w:rFonts w:eastAsia="맑은 고딕"/>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7B51" w14:textId="566AD510" w:rsidR="00502032" w:rsidRPr="003439B6" w:rsidRDefault="00502032" w:rsidP="00502032">
            <w:pPr>
              <w:snapToGrid w:val="0"/>
              <w:rPr>
                <w:rFonts w:eastAsia="맑은 고딕"/>
                <w:sz w:val="18"/>
                <w:szCs w:val="18"/>
              </w:rPr>
            </w:pPr>
          </w:p>
        </w:tc>
      </w:tr>
      <w:tr w:rsidR="00502032"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1739C43E" w:rsidR="00502032" w:rsidRPr="003439B6" w:rsidRDefault="00502032" w:rsidP="00502032">
            <w:pPr>
              <w:snapToGrid w:val="0"/>
              <w:rPr>
                <w:rFonts w:eastAsia="맑은 고딕"/>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07B99" w14:textId="5A1FF653" w:rsidR="00502032" w:rsidRPr="003439B6" w:rsidRDefault="00502032" w:rsidP="00502032">
            <w:pPr>
              <w:snapToGrid w:val="0"/>
              <w:rPr>
                <w:rFonts w:eastAsia="맑은 고딕"/>
                <w:sz w:val="18"/>
                <w:szCs w:val="18"/>
              </w:rPr>
            </w:pPr>
          </w:p>
        </w:tc>
      </w:tr>
      <w:tr w:rsidR="00502032"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553EA15" w:rsidR="00502032" w:rsidRPr="003439B6" w:rsidRDefault="00502032" w:rsidP="00502032">
            <w:pPr>
              <w:snapToGrid w:val="0"/>
              <w:rPr>
                <w:rFonts w:eastAsia="맑은 고딕"/>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B625" w14:textId="1E2A3C31" w:rsidR="00502032" w:rsidRPr="003439B6" w:rsidRDefault="00502032" w:rsidP="00502032">
            <w:pPr>
              <w:snapToGrid w:val="0"/>
              <w:rPr>
                <w:rFonts w:eastAsia="맑은 고딕"/>
                <w:sz w:val="18"/>
                <w:szCs w:val="18"/>
              </w:rPr>
            </w:pPr>
          </w:p>
        </w:tc>
      </w:tr>
      <w:tr w:rsidR="00502032"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5A9AD12D" w:rsidR="00502032" w:rsidRPr="003439B6" w:rsidRDefault="00502032" w:rsidP="00502032">
            <w:pPr>
              <w:snapToGrid w:val="0"/>
              <w:rPr>
                <w:rFonts w:eastAsia="맑은 고딕"/>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0F481002" w:rsidR="00502032" w:rsidRPr="003439B6" w:rsidRDefault="00502032" w:rsidP="00502032">
            <w:pPr>
              <w:snapToGrid w:val="0"/>
              <w:rPr>
                <w:rFonts w:eastAsia="맑은 고딕"/>
                <w:sz w:val="18"/>
                <w:szCs w:val="18"/>
              </w:rPr>
            </w:pP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3"/>
        <w:numPr>
          <w:ilvl w:val="1"/>
          <w:numId w:val="7"/>
        </w:numPr>
      </w:pPr>
      <w:r>
        <w:t>Issue 4 (MP-UE)</w:t>
      </w:r>
    </w:p>
    <w:p w14:paraId="2D741067" w14:textId="77777777" w:rsidR="00DE37B1" w:rsidRDefault="00AA19F5">
      <w:pPr>
        <w:pStyle w:val="ac"/>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a3"/>
              <w:numPr>
                <w:ilvl w:val="0"/>
                <w:numId w:val="10"/>
              </w:numPr>
              <w:snapToGrid w:val="0"/>
              <w:spacing w:after="0" w:line="240" w:lineRule="auto"/>
              <w:ind w:left="342" w:hanging="342"/>
              <w:rPr>
                <w:sz w:val="18"/>
                <w:szCs w:val="20"/>
              </w:rPr>
            </w:pPr>
            <w:r w:rsidRPr="002929FD">
              <w:rPr>
                <w:sz w:val="18"/>
                <w:szCs w:val="20"/>
              </w:rPr>
              <w:t>Newly defined panel ID(s): Lenovo/MoM (study), LGE, Xiaomi, NTT Docomo, Qualcomm, Spreadtrum, ZTE, Huawei/HiSi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a3"/>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a3"/>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a3"/>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Huawei/HiSi, APT</w:t>
            </w:r>
          </w:p>
          <w:p w14:paraId="7F1A9DEE" w14:textId="7F0573BF" w:rsidR="002929FD" w:rsidRPr="00172139" w:rsidRDefault="002929FD" w:rsidP="00E03338">
            <w:pPr>
              <w:pStyle w:val="a3"/>
              <w:numPr>
                <w:ilvl w:val="0"/>
                <w:numId w:val="9"/>
              </w:numPr>
              <w:snapToGrid w:val="0"/>
              <w:spacing w:after="0" w:line="240" w:lineRule="auto"/>
              <w:rPr>
                <w:sz w:val="18"/>
                <w:szCs w:val="18"/>
              </w:rPr>
            </w:pPr>
            <w:r>
              <w:rPr>
                <w:sz w:val="18"/>
                <w:szCs w:val="20"/>
              </w:rPr>
              <w:lastRenderedPageBreak/>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afc"/>
        <w:tblW w:w="0" w:type="auto"/>
        <w:tblLook w:val="04A0" w:firstRow="1" w:lastRow="0" w:firstColumn="1" w:lastColumn="0" w:noHBand="0" w:noVBand="1"/>
      </w:tblPr>
      <w:tblGrid>
        <w:gridCol w:w="9926"/>
      </w:tblGrid>
      <w:tr w:rsidR="00F26F0A" w:rsidRPr="00F26F0A" w14:paraId="71DA4170" w14:textId="77777777" w:rsidTr="00C14891">
        <w:tc>
          <w:tcPr>
            <w:tcW w:w="9926" w:type="dxa"/>
          </w:tcPr>
          <w:p w14:paraId="4EA42FA4" w14:textId="77777777" w:rsidR="00F26F0A" w:rsidRPr="00F26F0A" w:rsidRDefault="00F26F0A" w:rsidP="00C14891">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a3"/>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a3"/>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바탕"/>
          <w:sz w:val="20"/>
          <w:szCs w:val="20"/>
          <w:lang w:val="en-GB"/>
        </w:rPr>
      </w:pPr>
      <w:r>
        <w:rPr>
          <w:sz w:val="20"/>
        </w:rPr>
        <w:t>Regardless of whether a newly defined panel ID is needed or not, (from the above summary) there are two main categories on what constitutes a panel</w:t>
      </w:r>
      <w:r>
        <w:rPr>
          <w:rFonts w:eastAsia="바탕"/>
          <w:sz w:val="20"/>
          <w:szCs w:val="20"/>
          <w:lang w:val="en-GB"/>
        </w:rPr>
        <w:t>:</w:t>
      </w:r>
    </w:p>
    <w:p w14:paraId="10552C20" w14:textId="653DA70A" w:rsidR="00AA380D" w:rsidRDefault="001834C0" w:rsidP="00E03338">
      <w:pPr>
        <w:pStyle w:val="a3"/>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a3"/>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a3"/>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a3"/>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afc"/>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a3"/>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a3"/>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a3"/>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a3"/>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afc"/>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0B20971E" w:rsidR="00A60FAD" w:rsidRDefault="00A40879">
            <w:pPr>
              <w:snapToGrid w:val="0"/>
              <w:jc w:val="both"/>
              <w:rPr>
                <w:rFonts w:eastAsia="바탕" w:cs="Times New Roman"/>
                <w:sz w:val="20"/>
                <w:szCs w:val="20"/>
                <w:lang w:val="en-GB" w:eastAsia="en-US"/>
              </w:rPr>
            </w:pPr>
            <w:r w:rsidRPr="00E46B14">
              <w:rPr>
                <w:b/>
                <w:sz w:val="20"/>
                <w:u w:val="single"/>
              </w:rPr>
              <w:t>Proposal 4.1</w:t>
            </w:r>
            <w:r>
              <w:rPr>
                <w:sz w:val="20"/>
              </w:rPr>
              <w:t>:</w:t>
            </w:r>
            <w:r w:rsidR="007645EF">
              <w:rPr>
                <w:sz w:val="20"/>
              </w:rPr>
              <w:t xml:space="preserve"> </w:t>
            </w:r>
            <w:r w:rsidR="000A0E4A" w:rsidRPr="00217372">
              <w:rPr>
                <w:rFonts w:eastAsia="바탕"/>
                <w:sz w:val="20"/>
                <w:szCs w:val="20"/>
                <w:lang w:val="en-GB" w:eastAsia="en-US"/>
              </w:rPr>
              <w:t xml:space="preserve">On Rel.17 enhancement for facilitating fast uplink panel </w:t>
            </w:r>
            <w:r w:rsidR="000A0E4A" w:rsidRPr="001F5F81">
              <w:rPr>
                <w:rFonts w:eastAsia="바탕" w:cs="Times New Roman"/>
                <w:sz w:val="20"/>
                <w:szCs w:val="20"/>
                <w:lang w:val="en-GB" w:eastAsia="en-US"/>
              </w:rPr>
              <w:t>selection</w:t>
            </w:r>
            <w:r w:rsidR="000A0E4A">
              <w:rPr>
                <w:rFonts w:eastAsia="바탕" w:cs="Times New Roman"/>
                <w:sz w:val="20"/>
                <w:szCs w:val="20"/>
                <w:lang w:val="en-GB" w:eastAsia="en-US"/>
              </w:rPr>
              <w:t xml:space="preserve">, </w:t>
            </w:r>
          </w:p>
          <w:p w14:paraId="4057703A" w14:textId="21E37669" w:rsidR="00E46B14" w:rsidRPr="00DF1D50" w:rsidRDefault="00F26F0A" w:rsidP="00E03338">
            <w:pPr>
              <w:pStyle w:val="a3"/>
              <w:numPr>
                <w:ilvl w:val="0"/>
                <w:numId w:val="12"/>
              </w:numPr>
              <w:snapToGrid w:val="0"/>
              <w:spacing w:after="0" w:line="240" w:lineRule="auto"/>
              <w:rPr>
                <w:sz w:val="20"/>
              </w:rPr>
            </w:pPr>
            <w:r>
              <w:rPr>
                <w:rFonts w:eastAsia="바탕"/>
                <w:sz w:val="20"/>
                <w:szCs w:val="20"/>
                <w:lang w:val="en-GB"/>
              </w:rPr>
              <w:t>…</w:t>
            </w: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ac"/>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SimSun"/>
                <w:sz w:val="18"/>
                <w:szCs w:val="18"/>
                <w:lang w:eastAsia="zh-CN"/>
              </w:rPr>
            </w:pPr>
            <w:r>
              <w:rPr>
                <w:rFonts w:eastAsia="SimSun"/>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Support Alt2. Also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맑은 고딕"/>
                <w:sz w:val="18"/>
                <w:szCs w:val="18"/>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SimSun"/>
                <w:sz w:val="18"/>
                <w:szCs w:val="18"/>
                <w:lang w:eastAsia="zh-CN"/>
              </w:rPr>
            </w:pPr>
          </w:p>
          <w:p w14:paraId="374B0C2F"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SimSun"/>
                <w:sz w:val="18"/>
                <w:szCs w:val="18"/>
                <w:lang w:eastAsia="zh-CN"/>
              </w:rPr>
            </w:pPr>
          </w:p>
          <w:p w14:paraId="2B40CC6E"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SimSun"/>
                <w:sz w:val="18"/>
                <w:szCs w:val="18"/>
                <w:lang w:eastAsia="zh-CN"/>
              </w:rPr>
            </w:pPr>
          </w:p>
          <w:p w14:paraId="4C3901D2"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If Alt1 vs Alt2 is intended to define granularity of the reference RS, not the target RS/channel. We think Alt2 fits better because a group of SRS,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SimSun"/>
                <w:sz w:val="18"/>
                <w:szCs w:val="18"/>
                <w:lang w:eastAsia="zh-CN"/>
              </w:rPr>
            </w:pPr>
          </w:p>
          <w:p w14:paraId="76EA7221" w14:textId="3E5A39B1" w:rsidR="00502032" w:rsidRDefault="00D627CE" w:rsidP="00D627CE">
            <w:pPr>
              <w:snapToGrid w:val="0"/>
              <w:rPr>
                <w:sz w:val="18"/>
                <w:lang w:eastAsia="zh-CN"/>
              </w:rPr>
            </w:pPr>
            <w:r w:rsidRPr="008D0DF0">
              <w:rPr>
                <w:rFonts w:eastAsia="SimSun"/>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SimSun"/>
                <w:sz w:val="18"/>
                <w:szCs w:val="18"/>
                <w:lang w:eastAsia="zh-CN"/>
              </w:rPr>
              <w:t>ports in current specification.</w:t>
            </w:r>
          </w:p>
        </w:tc>
      </w:tr>
      <w:tr w:rsidR="00502032"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798DCF47" w:rsidR="00502032" w:rsidRDefault="00502032" w:rsidP="0050203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38B32" w14:textId="560ADB59" w:rsidR="00502032" w:rsidRDefault="00502032" w:rsidP="00502032">
            <w:pPr>
              <w:snapToGrid w:val="0"/>
              <w:rPr>
                <w:sz w:val="18"/>
                <w:lang w:eastAsia="zh-CN"/>
              </w:rPr>
            </w:pP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7FD35FD7" w:rsidR="00502032" w:rsidRDefault="00502032" w:rsidP="0050203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9AA92EC" w:rsidR="00502032" w:rsidRDefault="00502032" w:rsidP="00502032">
            <w:pPr>
              <w:snapToGrid w:val="0"/>
              <w:rPr>
                <w:rFonts w:eastAsia="맑은 고딕"/>
                <w:sz w:val="18"/>
                <w:szCs w:val="18"/>
              </w:rPr>
            </w:pPr>
          </w:p>
        </w:tc>
      </w:tr>
      <w:tr w:rsidR="00502032"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7CE8AC44" w:rsidR="00502032" w:rsidRDefault="00502032" w:rsidP="00502032">
            <w:pPr>
              <w:snapToGrid w:val="0"/>
              <w:rPr>
                <w:rFonts w:eastAsia="맑은 고딕"/>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6B10C1D3" w:rsidR="00502032" w:rsidRDefault="00502032" w:rsidP="00502032">
            <w:pPr>
              <w:snapToGrid w:val="0"/>
              <w:rPr>
                <w:rFonts w:eastAsia="맑은 고딕"/>
                <w:sz w:val="18"/>
                <w:szCs w:val="18"/>
              </w:rPr>
            </w:pPr>
          </w:p>
        </w:tc>
      </w:tr>
      <w:tr w:rsidR="00502032"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3DAE86D5" w:rsidR="00502032" w:rsidRDefault="00502032" w:rsidP="0050203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73451E76" w:rsidR="00502032" w:rsidRPr="00282BAD" w:rsidRDefault="00502032" w:rsidP="00502032">
            <w:pPr>
              <w:snapToGrid w:val="0"/>
              <w:rPr>
                <w:sz w:val="18"/>
                <w:szCs w:val="18"/>
                <w:lang w:eastAsia="zh-CN"/>
              </w:rPr>
            </w:pP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3"/>
        <w:numPr>
          <w:ilvl w:val="1"/>
          <w:numId w:val="7"/>
        </w:numPr>
      </w:pPr>
      <w:r>
        <w:lastRenderedPageBreak/>
        <w:t>Issue 5 (MPE mitigation)</w:t>
      </w:r>
    </w:p>
    <w:p w14:paraId="399A2311" w14:textId="77777777" w:rsidR="00DE37B1" w:rsidRDefault="00DE37B1">
      <w:pPr>
        <w:rPr>
          <w:sz w:val="20"/>
          <w:szCs w:val="20"/>
        </w:rPr>
      </w:pPr>
    </w:p>
    <w:tbl>
      <w:tblPr>
        <w:tblStyle w:val="afc"/>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Opt 2 or Opt3 </w:t>
            </w:r>
            <w:r w:rsidRPr="00702AAC">
              <w:rPr>
                <w:rFonts w:cs="Times New Roman"/>
                <w:color w:val="FF0000"/>
                <w:sz w:val="18"/>
                <w:szCs w:val="18"/>
              </w:rPr>
              <w:t>or Opt4</w:t>
            </w:r>
          </w:p>
          <w:p w14:paraId="162BCF0B" w14:textId="698C02BF"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a3"/>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a3"/>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a3"/>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a3"/>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afc"/>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27FCF3E"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decide in RAN1#104bis-e whether the following should be further studied (not necessarily, but can be, in one reporting instance):</w:t>
            </w:r>
          </w:p>
          <w:p w14:paraId="137647F8" w14:textId="77777777" w:rsidR="00702AAC" w:rsidRPr="00702AAC" w:rsidRDefault="00702AAC" w:rsidP="00E03338">
            <w:pPr>
              <w:pStyle w:val="a3"/>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or Opt1C:</w:t>
            </w:r>
          </w:p>
          <w:p w14:paraId="3BB3A7E5"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17CBF87E"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1C: No additional reporting quantity</w:t>
            </w:r>
          </w:p>
          <w:p w14:paraId="0708C4A1" w14:textId="77777777" w:rsidR="00702AAC" w:rsidRPr="00702AAC" w:rsidRDefault="00702AAC" w:rsidP="00E03338">
            <w:pPr>
              <w:pStyle w:val="a3"/>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 associated with each of the reported SSBRI(s)/CRI(s) and/or panel indication (if configured)</w:t>
            </w:r>
          </w:p>
          <w:p w14:paraId="2C1DE203" w14:textId="77777777"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77777777"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lastRenderedPageBreak/>
              <w:t>FFS: Whether/how to include MPE effect in L1-RSRP [L1-SINR], e.g. by using scaled or modified L1-RSRP [L1-SINR]</w:t>
            </w:r>
          </w:p>
          <w:p w14:paraId="3827DAF2" w14:textId="77777777"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enhance existing beam reporting format to support Option 1</w:t>
            </w:r>
          </w:p>
          <w:p w14:paraId="6C074DF4"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a3"/>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afc"/>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ac"/>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DengXian"/>
                <w:sz w:val="18"/>
                <w:szCs w:val="18"/>
                <w:lang w:eastAsia="zh-CN"/>
              </w:rPr>
            </w:pPr>
            <w:r>
              <w:rPr>
                <w:rFonts w:eastAsia="DengXian"/>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77777777" w:rsidR="00BE20D1" w:rsidRPr="00DD6CC1" w:rsidRDefault="00BE20D1" w:rsidP="00BE20D1">
            <w:pPr>
              <w:pStyle w:val="a3"/>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115F8FDF" w14:textId="77777777" w:rsidR="00BE20D1" w:rsidRDefault="00BE20D1" w:rsidP="00BE20D1">
            <w:pPr>
              <w:pStyle w:val="a3"/>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0AB1B6CB" w14:textId="1A1F1FF4" w:rsidR="00BE20D1" w:rsidRPr="00557967" w:rsidRDefault="00BE20D1" w:rsidP="00BE20D1">
            <w:pPr>
              <w:pStyle w:val="a3"/>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맑은 고딕" w:hint="eastAsia"/>
                <w:sz w:val="18"/>
                <w:szCs w:val="18"/>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DengXian"/>
                <w:sz w:val="18"/>
                <w:szCs w:val="18"/>
                <w:lang w:eastAsia="zh-CN"/>
              </w:rPr>
            </w:pPr>
            <w:r>
              <w:rPr>
                <w:rFonts w:eastAsia="맑은 고딕" w:hint="eastAsia"/>
                <w:sz w:val="18"/>
                <w:szCs w:val="20"/>
              </w:rPr>
              <w:t xml:space="preserve">We support </w:t>
            </w:r>
            <w:r>
              <w:rPr>
                <w:rFonts w:eastAsia="맑은 고딕"/>
                <w:sz w:val="18"/>
                <w:szCs w:val="20"/>
              </w:rPr>
              <w:t xml:space="preserve">the proposal with </w:t>
            </w:r>
            <w:r>
              <w:rPr>
                <w:rFonts w:eastAsia="맑은 고딕" w:hint="eastAsia"/>
                <w:sz w:val="18"/>
                <w:szCs w:val="20"/>
              </w:rPr>
              <w:t>Intel</w:t>
            </w:r>
            <w:r>
              <w:rPr>
                <w:rFonts w:eastAsia="맑은 고딕"/>
                <w:sz w:val="18"/>
                <w:szCs w:val="20"/>
              </w:rPr>
              <w:t>’s version</w:t>
            </w:r>
            <w:bookmarkStart w:id="2" w:name="_GoBack"/>
            <w:bookmarkEnd w:id="2"/>
          </w:p>
        </w:tc>
      </w:tr>
      <w:tr w:rsidR="00502032"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6FEB8609" w:rsidR="00502032" w:rsidRPr="00CB7106" w:rsidRDefault="00502032" w:rsidP="00502032">
            <w:pPr>
              <w:snapToGrid w:val="0"/>
              <w:rPr>
                <w:rFonts w:eastAsia="맑은 고딕"/>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8D4A8" w14:textId="557E78C2" w:rsidR="00502032" w:rsidRPr="00CB7106" w:rsidRDefault="00502032" w:rsidP="00502032">
            <w:pPr>
              <w:snapToGrid w:val="0"/>
              <w:rPr>
                <w:rFonts w:eastAsia="맑은 고딕"/>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4C31C108" w:rsidR="00502032" w:rsidRDefault="00502032" w:rsidP="0050203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39820620" w:rsidR="00502032" w:rsidRDefault="00502032" w:rsidP="00502032">
            <w:pPr>
              <w:snapToGrid w:val="0"/>
              <w:rPr>
                <w:rFonts w:eastAsia="DengXian"/>
                <w:sz w:val="18"/>
                <w:szCs w:val="18"/>
                <w:lang w:eastAsia="zh-CN"/>
              </w:rPr>
            </w:pPr>
          </w:p>
        </w:tc>
      </w:tr>
      <w:tr w:rsidR="00502032"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1331AF35" w:rsidR="00502032" w:rsidRDefault="00502032" w:rsidP="0050203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4B9A" w14:textId="2BC72DB8" w:rsidR="00502032" w:rsidRDefault="00502032" w:rsidP="00502032">
            <w:pPr>
              <w:snapToGrid w:val="0"/>
              <w:rPr>
                <w:rFonts w:eastAsia="DengXian"/>
                <w:sz w:val="18"/>
                <w:szCs w:val="18"/>
                <w:lang w:eastAsia="zh-CN"/>
              </w:rPr>
            </w:pP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afc"/>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a3"/>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a3"/>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a3"/>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a3"/>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05481B76"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9CBAD" w14:textId="77777777" w:rsidR="00CD5F41" w:rsidRDefault="00CD5F41">
      <w:r>
        <w:separator/>
      </w:r>
    </w:p>
  </w:endnote>
  <w:endnote w:type="continuationSeparator" w:id="0">
    <w:p w14:paraId="534C996D" w14:textId="77777777" w:rsidR="00CD5F41" w:rsidRDefault="00CD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SimSun"/>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B6CAE" w14:textId="77777777" w:rsidR="00CD5F41" w:rsidRDefault="00CD5F41">
      <w:r>
        <w:rPr>
          <w:color w:val="000000"/>
        </w:rPr>
        <w:separator/>
      </w:r>
    </w:p>
  </w:footnote>
  <w:footnote w:type="continuationSeparator" w:id="0">
    <w:p w14:paraId="76C0AB67" w14:textId="77777777" w:rsidR="00CD5F41" w:rsidRDefault="00CD5F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3"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1"/>
  </w:num>
  <w:num w:numId="2">
    <w:abstractNumId w:val="3"/>
  </w:num>
  <w:num w:numId="3">
    <w:abstractNumId w:val="2"/>
  </w:num>
  <w:num w:numId="4">
    <w:abstractNumId w:val="10"/>
  </w:num>
  <w:num w:numId="5">
    <w:abstractNumId w:val="13"/>
  </w:num>
  <w:num w:numId="6">
    <w:abstractNumId w:val="25"/>
  </w:num>
  <w:num w:numId="7">
    <w:abstractNumId w:val="12"/>
  </w:num>
  <w:num w:numId="8">
    <w:abstractNumId w:val="9"/>
  </w:num>
  <w:num w:numId="9">
    <w:abstractNumId w:val="7"/>
  </w:num>
  <w:num w:numId="10">
    <w:abstractNumId w:val="5"/>
  </w:num>
  <w:num w:numId="11">
    <w:abstractNumId w:val="22"/>
  </w:num>
  <w:num w:numId="12">
    <w:abstractNumId w:val="24"/>
  </w:num>
  <w:num w:numId="13">
    <w:abstractNumId w:val="16"/>
  </w:num>
  <w:num w:numId="14">
    <w:abstractNumId w:val="18"/>
  </w:num>
  <w:num w:numId="15">
    <w:abstractNumId w:val="23"/>
  </w:num>
  <w:num w:numId="16">
    <w:abstractNumId w:val="17"/>
  </w:num>
  <w:num w:numId="17">
    <w:abstractNumId w:val="6"/>
  </w:num>
  <w:num w:numId="18">
    <w:abstractNumId w:val="15"/>
  </w:num>
  <w:num w:numId="19">
    <w:abstractNumId w:val="1"/>
  </w:num>
  <w:num w:numId="20">
    <w:abstractNumId w:val="14"/>
  </w:num>
  <w:num w:numId="21">
    <w:abstractNumId w:val="0"/>
  </w:num>
  <w:num w:numId="22">
    <w:abstractNumId w:val="20"/>
  </w:num>
  <w:num w:numId="23">
    <w:abstractNumId w:val="8"/>
  </w:num>
  <w:num w:numId="24">
    <w:abstractNumId w:val="11"/>
  </w:num>
  <w:num w:numId="25">
    <w:abstractNumId w:val="4"/>
  </w:num>
  <w:num w:numId="26">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125CF"/>
    <w:rsid w:val="00014D3D"/>
    <w:rsid w:val="00017340"/>
    <w:rsid w:val="0002060F"/>
    <w:rsid w:val="00020BB3"/>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6964"/>
    <w:rsid w:val="00096B0F"/>
    <w:rsid w:val="000A0E4A"/>
    <w:rsid w:val="000A25A6"/>
    <w:rsid w:val="000A2B79"/>
    <w:rsid w:val="000A417E"/>
    <w:rsid w:val="000A4E20"/>
    <w:rsid w:val="000B23DE"/>
    <w:rsid w:val="000B313F"/>
    <w:rsid w:val="000C10A5"/>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34C0"/>
    <w:rsid w:val="00186909"/>
    <w:rsid w:val="00186ED6"/>
    <w:rsid w:val="00192458"/>
    <w:rsid w:val="001B20A8"/>
    <w:rsid w:val="001B4250"/>
    <w:rsid w:val="001B5971"/>
    <w:rsid w:val="001C1BE3"/>
    <w:rsid w:val="001C26B0"/>
    <w:rsid w:val="001C4672"/>
    <w:rsid w:val="001C4CEB"/>
    <w:rsid w:val="001D06FE"/>
    <w:rsid w:val="001D23D6"/>
    <w:rsid w:val="001D5494"/>
    <w:rsid w:val="001D69D0"/>
    <w:rsid w:val="001D6EE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8009A"/>
    <w:rsid w:val="00282C13"/>
    <w:rsid w:val="002834BD"/>
    <w:rsid w:val="00284688"/>
    <w:rsid w:val="002861EA"/>
    <w:rsid w:val="00290F7F"/>
    <w:rsid w:val="00291090"/>
    <w:rsid w:val="00291885"/>
    <w:rsid w:val="002929FD"/>
    <w:rsid w:val="00293503"/>
    <w:rsid w:val="00293EFF"/>
    <w:rsid w:val="00294361"/>
    <w:rsid w:val="00295D64"/>
    <w:rsid w:val="00297CCC"/>
    <w:rsid w:val="002A1F70"/>
    <w:rsid w:val="002A48AB"/>
    <w:rsid w:val="002A551E"/>
    <w:rsid w:val="002A604D"/>
    <w:rsid w:val="002A7EE0"/>
    <w:rsid w:val="002B1AE8"/>
    <w:rsid w:val="002B6EED"/>
    <w:rsid w:val="002B715E"/>
    <w:rsid w:val="002C20C3"/>
    <w:rsid w:val="002C2DDB"/>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4031"/>
    <w:rsid w:val="00315601"/>
    <w:rsid w:val="00315797"/>
    <w:rsid w:val="00316B60"/>
    <w:rsid w:val="00317071"/>
    <w:rsid w:val="003200B1"/>
    <w:rsid w:val="003212C8"/>
    <w:rsid w:val="00322659"/>
    <w:rsid w:val="003227D4"/>
    <w:rsid w:val="00322EF3"/>
    <w:rsid w:val="003263E6"/>
    <w:rsid w:val="00331615"/>
    <w:rsid w:val="0033226A"/>
    <w:rsid w:val="00335C1E"/>
    <w:rsid w:val="00335E89"/>
    <w:rsid w:val="00336F15"/>
    <w:rsid w:val="003373EF"/>
    <w:rsid w:val="003439B6"/>
    <w:rsid w:val="00344E6A"/>
    <w:rsid w:val="003468BD"/>
    <w:rsid w:val="00350E53"/>
    <w:rsid w:val="00355FD6"/>
    <w:rsid w:val="0036007E"/>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C5F77"/>
    <w:rsid w:val="003D00D4"/>
    <w:rsid w:val="003D6014"/>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1A58"/>
    <w:rsid w:val="00475017"/>
    <w:rsid w:val="00480CE6"/>
    <w:rsid w:val="00480D01"/>
    <w:rsid w:val="004828D7"/>
    <w:rsid w:val="004858AC"/>
    <w:rsid w:val="004864DC"/>
    <w:rsid w:val="00494843"/>
    <w:rsid w:val="004964D1"/>
    <w:rsid w:val="004A182E"/>
    <w:rsid w:val="004A2713"/>
    <w:rsid w:val="004A2A54"/>
    <w:rsid w:val="004B01EB"/>
    <w:rsid w:val="004B054E"/>
    <w:rsid w:val="004B0F99"/>
    <w:rsid w:val="004B1BD9"/>
    <w:rsid w:val="004B5F0D"/>
    <w:rsid w:val="004C114C"/>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2792"/>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00BC"/>
    <w:rsid w:val="00621100"/>
    <w:rsid w:val="00622FD0"/>
    <w:rsid w:val="006236E8"/>
    <w:rsid w:val="0062407E"/>
    <w:rsid w:val="006246B3"/>
    <w:rsid w:val="00624C90"/>
    <w:rsid w:val="00624E87"/>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714"/>
    <w:rsid w:val="006A522F"/>
    <w:rsid w:val="006A54D1"/>
    <w:rsid w:val="006A57E3"/>
    <w:rsid w:val="006A5A38"/>
    <w:rsid w:val="006A633F"/>
    <w:rsid w:val="006B007E"/>
    <w:rsid w:val="006B54DF"/>
    <w:rsid w:val="006B5FB7"/>
    <w:rsid w:val="006B6DD6"/>
    <w:rsid w:val="006B722C"/>
    <w:rsid w:val="006C16D6"/>
    <w:rsid w:val="006C19E6"/>
    <w:rsid w:val="006C1F83"/>
    <w:rsid w:val="006C29C0"/>
    <w:rsid w:val="006C30E2"/>
    <w:rsid w:val="006C61CD"/>
    <w:rsid w:val="006D209C"/>
    <w:rsid w:val="006D4893"/>
    <w:rsid w:val="006D4D28"/>
    <w:rsid w:val="006D4E70"/>
    <w:rsid w:val="006E0D65"/>
    <w:rsid w:val="006E0F58"/>
    <w:rsid w:val="006E274F"/>
    <w:rsid w:val="006E695F"/>
    <w:rsid w:val="006E6D66"/>
    <w:rsid w:val="006F2576"/>
    <w:rsid w:val="006F32F1"/>
    <w:rsid w:val="006F4FE9"/>
    <w:rsid w:val="007009E1"/>
    <w:rsid w:val="007013E7"/>
    <w:rsid w:val="00702AAC"/>
    <w:rsid w:val="007059E3"/>
    <w:rsid w:val="00706521"/>
    <w:rsid w:val="0070670B"/>
    <w:rsid w:val="00710AF6"/>
    <w:rsid w:val="007112B3"/>
    <w:rsid w:val="00713A6A"/>
    <w:rsid w:val="00715CD8"/>
    <w:rsid w:val="007209F5"/>
    <w:rsid w:val="00721830"/>
    <w:rsid w:val="00723C8E"/>
    <w:rsid w:val="00726AF9"/>
    <w:rsid w:val="007305D9"/>
    <w:rsid w:val="00731BF6"/>
    <w:rsid w:val="00732EFD"/>
    <w:rsid w:val="0074179E"/>
    <w:rsid w:val="00743629"/>
    <w:rsid w:val="007444A3"/>
    <w:rsid w:val="00744AE0"/>
    <w:rsid w:val="007466ED"/>
    <w:rsid w:val="007472D1"/>
    <w:rsid w:val="00747615"/>
    <w:rsid w:val="007476B1"/>
    <w:rsid w:val="0075184B"/>
    <w:rsid w:val="007520D4"/>
    <w:rsid w:val="007529C7"/>
    <w:rsid w:val="007536A5"/>
    <w:rsid w:val="00755BCE"/>
    <w:rsid w:val="00755E1B"/>
    <w:rsid w:val="0075650B"/>
    <w:rsid w:val="00756AF4"/>
    <w:rsid w:val="007645EF"/>
    <w:rsid w:val="0077524A"/>
    <w:rsid w:val="00777861"/>
    <w:rsid w:val="00780201"/>
    <w:rsid w:val="00780EDA"/>
    <w:rsid w:val="00783535"/>
    <w:rsid w:val="0078378B"/>
    <w:rsid w:val="00783BB1"/>
    <w:rsid w:val="00787049"/>
    <w:rsid w:val="0079053F"/>
    <w:rsid w:val="007922D2"/>
    <w:rsid w:val="007922FC"/>
    <w:rsid w:val="007927C9"/>
    <w:rsid w:val="00793078"/>
    <w:rsid w:val="007944E5"/>
    <w:rsid w:val="0079640C"/>
    <w:rsid w:val="00796540"/>
    <w:rsid w:val="007A1662"/>
    <w:rsid w:val="007A1BB1"/>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4654"/>
    <w:rsid w:val="007D4668"/>
    <w:rsid w:val="007D5FF9"/>
    <w:rsid w:val="007D661A"/>
    <w:rsid w:val="007E1B20"/>
    <w:rsid w:val="007E1BAF"/>
    <w:rsid w:val="007E2CBD"/>
    <w:rsid w:val="007E3225"/>
    <w:rsid w:val="007E3997"/>
    <w:rsid w:val="007E623F"/>
    <w:rsid w:val="007E6F2E"/>
    <w:rsid w:val="007E7D3D"/>
    <w:rsid w:val="007F0953"/>
    <w:rsid w:val="007F3492"/>
    <w:rsid w:val="007F543B"/>
    <w:rsid w:val="007F6891"/>
    <w:rsid w:val="007F6F15"/>
    <w:rsid w:val="00800B4E"/>
    <w:rsid w:val="008027FF"/>
    <w:rsid w:val="00806965"/>
    <w:rsid w:val="00807F22"/>
    <w:rsid w:val="008140E7"/>
    <w:rsid w:val="0081463A"/>
    <w:rsid w:val="00817A2A"/>
    <w:rsid w:val="0082406A"/>
    <w:rsid w:val="00824FE1"/>
    <w:rsid w:val="0083086F"/>
    <w:rsid w:val="008317A0"/>
    <w:rsid w:val="00833F4A"/>
    <w:rsid w:val="0083417A"/>
    <w:rsid w:val="008352EB"/>
    <w:rsid w:val="008365F8"/>
    <w:rsid w:val="00845F45"/>
    <w:rsid w:val="00852811"/>
    <w:rsid w:val="008532D0"/>
    <w:rsid w:val="00854515"/>
    <w:rsid w:val="008557AF"/>
    <w:rsid w:val="00856623"/>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1E4"/>
    <w:rsid w:val="00881582"/>
    <w:rsid w:val="00886F7D"/>
    <w:rsid w:val="00887A5E"/>
    <w:rsid w:val="008930FC"/>
    <w:rsid w:val="00894630"/>
    <w:rsid w:val="00895B9A"/>
    <w:rsid w:val="00895F9D"/>
    <w:rsid w:val="008972B3"/>
    <w:rsid w:val="008A019D"/>
    <w:rsid w:val="008A2BA6"/>
    <w:rsid w:val="008A52F4"/>
    <w:rsid w:val="008A587F"/>
    <w:rsid w:val="008B0186"/>
    <w:rsid w:val="008B2568"/>
    <w:rsid w:val="008B4C76"/>
    <w:rsid w:val="008B580B"/>
    <w:rsid w:val="008B61C7"/>
    <w:rsid w:val="008B6DED"/>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6E8D"/>
    <w:rsid w:val="00986FA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4EDC"/>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3839"/>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9AC"/>
    <w:rsid w:val="00B23AF0"/>
    <w:rsid w:val="00B240BF"/>
    <w:rsid w:val="00B243C2"/>
    <w:rsid w:val="00B2523A"/>
    <w:rsid w:val="00B25BA5"/>
    <w:rsid w:val="00B271A6"/>
    <w:rsid w:val="00B27631"/>
    <w:rsid w:val="00B353D8"/>
    <w:rsid w:val="00B37BB6"/>
    <w:rsid w:val="00B37D4D"/>
    <w:rsid w:val="00B40E66"/>
    <w:rsid w:val="00B4138A"/>
    <w:rsid w:val="00B422F6"/>
    <w:rsid w:val="00B45D9F"/>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41A8"/>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F0E74"/>
    <w:rsid w:val="00BF246F"/>
    <w:rsid w:val="00BF7C4D"/>
    <w:rsid w:val="00C000A7"/>
    <w:rsid w:val="00C00113"/>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934"/>
    <w:rsid w:val="00C5760D"/>
    <w:rsid w:val="00C57682"/>
    <w:rsid w:val="00C60BF9"/>
    <w:rsid w:val="00C613C6"/>
    <w:rsid w:val="00C61F74"/>
    <w:rsid w:val="00C6261B"/>
    <w:rsid w:val="00C646DD"/>
    <w:rsid w:val="00C65EF2"/>
    <w:rsid w:val="00C7412C"/>
    <w:rsid w:val="00C74551"/>
    <w:rsid w:val="00C760EA"/>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1C29"/>
    <w:rsid w:val="00D82AD4"/>
    <w:rsid w:val="00D83F1B"/>
    <w:rsid w:val="00D9115D"/>
    <w:rsid w:val="00D9228A"/>
    <w:rsid w:val="00D9276E"/>
    <w:rsid w:val="00D942DC"/>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3338"/>
    <w:rsid w:val="00E06255"/>
    <w:rsid w:val="00E07672"/>
    <w:rsid w:val="00E10B70"/>
    <w:rsid w:val="00E1137D"/>
    <w:rsid w:val="00E12743"/>
    <w:rsid w:val="00E15800"/>
    <w:rsid w:val="00E220A3"/>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59A"/>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1ECA"/>
    <w:rsid w:val="00F06C04"/>
    <w:rsid w:val="00F118BF"/>
    <w:rsid w:val="00F11E1D"/>
    <w:rsid w:val="00F13F00"/>
    <w:rsid w:val="00F150F5"/>
    <w:rsid w:val="00F201F9"/>
    <w:rsid w:val="00F220BC"/>
    <w:rsid w:val="00F26F0A"/>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791A"/>
    <w:rsid w:val="00FB10EC"/>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出段落"/>
    <w:basedOn w:val="a"/>
    <w:link w:val="Char"/>
    <w:uiPriority w:val="34"/>
    <w:qFormat/>
    <w:rsid w:val="00C61F74"/>
    <w:pPr>
      <w:spacing w:after="160" w:line="256" w:lineRule="auto"/>
      <w:ind w:left="720"/>
    </w:pPr>
    <w:rPr>
      <w:rFonts w:eastAsia="SimSu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SimSu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SimSun"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a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맑은 고딕"/>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0">
    <w:name w:val="标题 1 字符"/>
    <w:basedOn w:val="a0"/>
    <w:rsid w:val="00C61F74"/>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맑은 고딕" w:hAnsi="Times New Roman" w:cs="바탕"/>
      <w:szCs w:val="20"/>
      <w:lang w:val="en-GB"/>
    </w:rPr>
  </w:style>
  <w:style w:type="paragraph" w:customStyle="1" w:styleId="proposal">
    <w:name w:val="proposal"/>
    <w:basedOn w:val="af4"/>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C61F74"/>
    <w:rPr>
      <w:rFonts w:ascii="Times New Roman" w:eastAsia="바탕"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C61F74"/>
    <w:rPr>
      <w:rFonts w:ascii="Times New Roman" w:eastAsia="Times New Roman" w:hAnsi="Times New Roman" w:cs="바탕"/>
      <w:sz w:val="20"/>
      <w:szCs w:val="20"/>
      <w:lang w:val="en-GB"/>
    </w:rPr>
  </w:style>
  <w:style w:type="paragraph" w:customStyle="1" w:styleId="LGTdoc1">
    <w:name w:val="LGTdoc_제목1"/>
    <w:basedOn w:val="a"/>
    <w:rsid w:val="00C61F74"/>
    <w:pPr>
      <w:snapToGrid w:val="0"/>
      <w:spacing w:after="100"/>
      <w:jc w:val="both"/>
    </w:pPr>
    <w:rPr>
      <w:rFonts w:eastAsia="바탕"/>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a">
    <w:name w:val="Document Map"/>
    <w:basedOn w:val="a"/>
    <w:rsid w:val="00C61F74"/>
    <w:rPr>
      <w:rFonts w:ascii="SimSun" w:eastAsia="SimSun" w:hAnsi="SimSun"/>
      <w:sz w:val="18"/>
      <w:szCs w:val="18"/>
    </w:rPr>
  </w:style>
  <w:style w:type="character" w:customStyle="1" w:styleId="afb">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502AF0"/>
    <w:rPr>
      <w:b/>
      <w:bCs/>
    </w:rPr>
  </w:style>
  <w:style w:type="paragraph" w:customStyle="1" w:styleId="xmsonormal">
    <w:name w:val="x_msonormal"/>
    <w:basedOn w:val="a"/>
    <w:uiPriority w:val="99"/>
    <w:rsid w:val="007C2CAD"/>
    <w:rPr>
      <w:rFonts w:ascii="SimSun" w:eastAsia="SimSun" w:hAnsi="SimSun" w:cs="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59322-36D8-4021-AA10-DF78D6E26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3530</Words>
  <Characters>20122</Characters>
  <Application>Microsoft Office Word</Application>
  <DocSecurity>0</DocSecurity>
  <Lines>167</Lines>
  <Paragraphs>47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Jaehoon Chung (LGE)</cp:lastModifiedBy>
  <cp:revision>3</cp:revision>
  <dcterms:created xsi:type="dcterms:W3CDTF">2021-02-02T07:02:00Z</dcterms:created>
  <dcterms:modified xsi:type="dcterms:W3CDTF">2021-02-02T07:04:00Z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