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9"/>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14:paraId="5F811578" w14:textId="77777777" w:rsidR="00313E22" w:rsidRPr="00C95D20" w:rsidRDefault="0039031F" w:rsidP="00313E22">
      <w:pPr>
        <w:pStyle w:val="af9"/>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w:t>
      </w:r>
      <w:proofErr w:type="spellStart"/>
      <w:r>
        <w:t>Searchspace</w:t>
      </w:r>
      <w:proofErr w:type="spellEnd"/>
      <w:r>
        <w:t xml:space="preserv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proofErr w:type="spellStart"/>
      <w:r>
        <w:t>Sea</w:t>
      </w:r>
      <w:r w:rsidR="002435FD">
        <w:t>r</w:t>
      </w:r>
      <w:r>
        <w:t>chSpace</w:t>
      </w:r>
      <w:proofErr w:type="spellEnd"/>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w:t>
      </w:r>
      <w:proofErr w:type="spellStart"/>
      <w:r w:rsidR="00F74FD1" w:rsidRPr="00A65076">
        <w:rPr>
          <w:rFonts w:eastAsia="宋体"/>
          <w:i/>
          <w:sz w:val="21"/>
          <w:lang w:val="x-none" w:eastAsia="zh-CN"/>
        </w:rPr>
        <w:t>ra-SearchSpace</w:t>
      </w:r>
      <w:proofErr w:type="spellEnd"/>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237BD9">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bl>
    <w:p w14:paraId="74418295" w14:textId="77777777" w:rsidR="00F03E68" w:rsidRDefault="00F03E68"/>
    <w:p w14:paraId="103B7861" w14:textId="77777777" w:rsidR="0085188D" w:rsidRDefault="0085188D" w:rsidP="0085188D">
      <w:pPr>
        <w:pStyle w:val="3"/>
      </w:pPr>
      <w:r>
        <w:lastRenderedPageBreak/>
        <w:t>Second</w:t>
      </w:r>
      <w:r>
        <w:rPr>
          <w:rFonts w:hint="eastAsia"/>
        </w:rPr>
        <w:t xml:space="preserve"> round</w:t>
      </w:r>
    </w:p>
    <w:p w14:paraId="5485EA98" w14:textId="77777777" w:rsidR="00F03E68" w:rsidRDefault="00C1691D">
      <w:r>
        <w:rPr>
          <w:rFonts w:hint="eastAsia"/>
        </w:rPr>
        <w:t>To be updated</w:t>
      </w:r>
    </w:p>
    <w:p w14:paraId="30859C64" w14:textId="77777777" w:rsidR="0085188D" w:rsidRDefault="0085188D"/>
    <w:p w14:paraId="10CD73A2" w14:textId="77777777" w:rsidR="00561D0F" w:rsidRDefault="000C10DC" w:rsidP="000A6D57">
      <w:pPr>
        <w:pStyle w:val="2"/>
      </w:pPr>
      <w:r>
        <w:t>CORESET</w:t>
      </w:r>
    </w:p>
    <w:p w14:paraId="34D9D662" w14:textId="77777777" w:rsidR="00BE2E9A" w:rsidRDefault="00BE2E9A" w:rsidP="00BE2E9A">
      <w:pPr>
        <w:pStyle w:val="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bl>
    <w:p w14:paraId="48E873D2" w14:textId="77777777" w:rsidR="008D2A89"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73F52F8" w14:textId="77777777" w:rsidR="008D2A89" w:rsidRDefault="008D2A89" w:rsidP="008D2A89">
      <w:r>
        <w:rPr>
          <w:rFonts w:hint="eastAsia"/>
        </w:rPr>
        <w:t>To be updated</w:t>
      </w:r>
    </w:p>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w:t>
      </w:r>
      <w:r w:rsidR="006B106D">
        <w:lastRenderedPageBreak/>
        <w:t>the association can be avoided. While option 2 may not be as flexible as option 1, and option 3 needs to additionally configure SRS resources for the inactive UEs.</w:t>
      </w:r>
    </w:p>
    <w:p w14:paraId="293EC099" w14:textId="77777777" w:rsidR="0013282B" w:rsidRDefault="0013282B" w:rsidP="005C237F">
      <w:pPr>
        <w:pStyle w:val="af9"/>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9"/>
        <w:numPr>
          <w:ilvl w:val="0"/>
          <w:numId w:val="31"/>
        </w:numPr>
        <w:ind w:firstLineChars="0"/>
      </w:pPr>
      <w:r>
        <w:t xml:space="preserve">Option 2: </w:t>
      </w:r>
      <w:r w:rsidR="00B34CBD">
        <w:t>single SSB per CG configuration</w:t>
      </w:r>
    </w:p>
    <w:p w14:paraId="3CE48952" w14:textId="77777777" w:rsidR="009F0670" w:rsidRDefault="004F2078" w:rsidP="001F28AA">
      <w:pPr>
        <w:pStyle w:val="af9"/>
        <w:numPr>
          <w:ilvl w:val="0"/>
          <w:numId w:val="31"/>
        </w:numPr>
        <w:ind w:firstLineChars="0"/>
      </w:pPr>
      <w:r>
        <w:t xml:space="preserve">Option 3: </w:t>
      </w:r>
      <w:r w:rsidR="0024126F">
        <w:t>SSB</w:t>
      </w:r>
      <w:r w:rsidR="00B83909">
        <w:t xml:space="preserve"> is</w:t>
      </w:r>
      <w:r w:rsidR="0024126F">
        <w:t xml:space="preserve"> </w:t>
      </w:r>
      <w:r w:rsidR="004B467C">
        <w:t>associated with</w:t>
      </w:r>
      <w:bookmarkStart w:id="3" w:name="_GoBack"/>
      <w:r w:rsidR="004B467C">
        <w:t xml:space="preserve">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bookmarkEnd w:id="3"/>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280D2F9F" w14:textId="77777777" w:rsidR="00D90DE6" w:rsidRDefault="00D90DE6" w:rsidP="00D90DE6">
      <w:r>
        <w:rPr>
          <w:rFonts w:hint="eastAsia"/>
        </w:rPr>
        <w:t>To be updated</w:t>
      </w:r>
    </w:p>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9"/>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af9"/>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af9"/>
        <w:numPr>
          <w:ilvl w:val="1"/>
          <w:numId w:val="31"/>
        </w:numPr>
        <w:ind w:firstLineChars="0"/>
        <w:rPr>
          <w:lang w:eastAsia="zh-CN"/>
        </w:rPr>
      </w:pPr>
      <w:r>
        <w:lastRenderedPageBreak/>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9"/>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bl>
    <w:p w14:paraId="5107C01A" w14:textId="77777777" w:rsidR="00D90DE6"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9"/>
        <w:numPr>
          <w:ilvl w:val="1"/>
          <w:numId w:val="31"/>
        </w:numPr>
        <w:ind w:firstLineChars="0"/>
      </w:pPr>
      <w:r>
        <w:t>Option 2</w:t>
      </w:r>
      <w:r w:rsidR="00BE36EC">
        <w:t>.1: One SSB map to one CG occasion</w:t>
      </w:r>
    </w:p>
    <w:p w14:paraId="243C55E0" w14:textId="77777777" w:rsidR="00BE36EC" w:rsidRDefault="0051525D" w:rsidP="00BE36EC">
      <w:pPr>
        <w:pStyle w:val="af9"/>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9"/>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af9"/>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rFonts w:hint="eastAsia"/>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bl>
    <w:p w14:paraId="2A893302" w14:textId="77777777" w:rsidR="00D90DE6"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9"/>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9"/>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9"/>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lastRenderedPageBreak/>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bl>
    <w:p w14:paraId="5DA84A6C" w14:textId="77777777" w:rsidR="00D90DE6"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7"/>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w:t>
            </w:r>
            <w:r w:rsidR="003347B9">
              <w:rPr>
                <w:rFonts w:hint="eastAsia"/>
                <w:lang w:eastAsia="zh-CN"/>
              </w:rPr>
              <w:t>RAN2 requirement</w:t>
            </w:r>
            <w:r w:rsidR="003347B9">
              <w:rPr>
                <w:rFonts w:hint="eastAsia"/>
                <w:lang w:eastAsia="zh-CN"/>
              </w:rPr>
              <w:t xml:space="preserve">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bl>
    <w:p w14:paraId="44D69E4F" w14:textId="77777777" w:rsidR="00D90DE6"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7D3F2ADD" w14:textId="77777777" w:rsidR="001A57EC" w:rsidRDefault="00C003E5" w:rsidP="00566056">
      <w:pPr>
        <w:rPr>
          <w:lang w:eastAsia="zh-CN"/>
        </w:rPr>
      </w:pPr>
      <w:r>
        <w:rPr>
          <w:lang w:eastAsia="zh-CN"/>
        </w:rPr>
        <w:t>T</w:t>
      </w:r>
      <w:r>
        <w:rPr>
          <w:rFonts w:hint="eastAsia"/>
          <w:lang w:eastAsia="zh-CN"/>
        </w:rPr>
        <w:t xml:space="preserve">o </w:t>
      </w:r>
      <w:r>
        <w:rPr>
          <w:lang w:eastAsia="zh-CN"/>
        </w:rPr>
        <w:t>be updated</w:t>
      </w:r>
    </w:p>
    <w:p w14:paraId="7B5C5A57" w14:textId="77777777" w:rsidR="00C003E5" w:rsidRPr="00566056"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xml:space="preserve">. </w:t>
      </w:r>
      <w:proofErr w:type="gramStart"/>
      <w:r>
        <w:rPr>
          <w:lang w:eastAsia="zh-CN"/>
        </w:rPr>
        <w:t>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w:t>
      </w:r>
      <w:proofErr w:type="gramEnd"/>
      <w:r w:rsidRPr="00235C9B">
        <w:rPr>
          <w:lang w:eastAsia="zh-CN"/>
        </w:rPr>
        <w:t xml:space="preserve"> For</w:t>
      </w:r>
      <w:r>
        <w:rPr>
          <w:lang w:eastAsia="zh-CN"/>
        </w:rPr>
        <w:t xml:space="preserve">mat 2_x/3_x </w:t>
      </w:r>
      <w:proofErr w:type="gramStart"/>
      <w:r>
        <w:rPr>
          <w:lang w:eastAsia="zh-CN"/>
        </w:rPr>
        <w:t>are</w:t>
      </w:r>
      <w:proofErr w:type="gramEnd"/>
      <w:r>
        <w:rPr>
          <w:lang w:eastAsia="zh-CN"/>
        </w:rPr>
        <w:t xml:space="preserv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lastRenderedPageBreak/>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7"/>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802039" w14:paraId="4A0B2DE9" w14:textId="77777777" w:rsidTr="007A5C65">
        <w:tc>
          <w:tcPr>
            <w:tcW w:w="1696" w:type="dxa"/>
          </w:tcPr>
          <w:p w14:paraId="45A113FD" w14:textId="77777777" w:rsidR="00802039" w:rsidRDefault="00802039" w:rsidP="007A5C65">
            <w:pPr>
              <w:rPr>
                <w:lang w:eastAsia="zh-CN"/>
              </w:rPr>
            </w:pPr>
          </w:p>
        </w:tc>
        <w:tc>
          <w:tcPr>
            <w:tcW w:w="7611" w:type="dxa"/>
          </w:tcPr>
          <w:p w14:paraId="4F88B16B" w14:textId="77777777" w:rsidR="00802039" w:rsidRDefault="00802039" w:rsidP="007A5C65">
            <w:pPr>
              <w:rPr>
                <w:lang w:eastAsia="zh-CN"/>
              </w:rPr>
            </w:pPr>
          </w:p>
        </w:tc>
      </w:tr>
      <w:tr w:rsidR="00802039" w14:paraId="1185D54B" w14:textId="77777777" w:rsidTr="007A5C65">
        <w:tc>
          <w:tcPr>
            <w:tcW w:w="1696" w:type="dxa"/>
          </w:tcPr>
          <w:p w14:paraId="29ED2DE5" w14:textId="77777777" w:rsidR="00802039" w:rsidRDefault="00802039" w:rsidP="007A5C65"/>
        </w:tc>
        <w:tc>
          <w:tcPr>
            <w:tcW w:w="7611" w:type="dxa"/>
          </w:tcPr>
          <w:p w14:paraId="0B067366" w14:textId="77777777" w:rsidR="00802039" w:rsidRDefault="00802039" w:rsidP="007A5C65"/>
        </w:tc>
      </w:tr>
      <w:tr w:rsidR="00802039" w14:paraId="454A8D50" w14:textId="77777777" w:rsidTr="007A5C65">
        <w:tc>
          <w:tcPr>
            <w:tcW w:w="1696" w:type="dxa"/>
          </w:tcPr>
          <w:p w14:paraId="56544B6D" w14:textId="77777777" w:rsidR="00802039" w:rsidRDefault="00802039" w:rsidP="007A5C65"/>
        </w:tc>
        <w:tc>
          <w:tcPr>
            <w:tcW w:w="7611" w:type="dxa"/>
          </w:tcPr>
          <w:p w14:paraId="7ADE82BD" w14:textId="77777777" w:rsidR="00802039" w:rsidRDefault="00802039" w:rsidP="007A5C65"/>
        </w:tc>
      </w:tr>
    </w:tbl>
    <w:p w14:paraId="581C0B41" w14:textId="77777777" w:rsidR="00802039"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7"/>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802039" w14:paraId="1E4B69B2" w14:textId="77777777" w:rsidTr="007A5C65">
        <w:tc>
          <w:tcPr>
            <w:tcW w:w="1696" w:type="dxa"/>
          </w:tcPr>
          <w:p w14:paraId="4185F828" w14:textId="77777777" w:rsidR="00802039" w:rsidRDefault="00802039" w:rsidP="007A5C65"/>
        </w:tc>
        <w:tc>
          <w:tcPr>
            <w:tcW w:w="7611" w:type="dxa"/>
          </w:tcPr>
          <w:p w14:paraId="4B8DE9B4" w14:textId="77777777" w:rsidR="00802039" w:rsidRDefault="00802039" w:rsidP="007A5C65"/>
        </w:tc>
      </w:tr>
      <w:tr w:rsidR="00802039" w14:paraId="4060E56B" w14:textId="77777777" w:rsidTr="007A5C65">
        <w:tc>
          <w:tcPr>
            <w:tcW w:w="1696" w:type="dxa"/>
          </w:tcPr>
          <w:p w14:paraId="4E229A32" w14:textId="77777777" w:rsidR="00802039" w:rsidRDefault="00802039" w:rsidP="007A5C65"/>
        </w:tc>
        <w:tc>
          <w:tcPr>
            <w:tcW w:w="7611" w:type="dxa"/>
          </w:tcPr>
          <w:p w14:paraId="20824369" w14:textId="77777777" w:rsidR="00802039" w:rsidRDefault="00802039" w:rsidP="007A5C65"/>
        </w:tc>
      </w:tr>
    </w:tbl>
    <w:p w14:paraId="604DFE47" w14:textId="77777777" w:rsidR="00802039"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w:t>
      </w:r>
      <w:r>
        <w:lastRenderedPageBreak/>
        <w:t>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7"/>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862FA2" w14:paraId="237792FF" w14:textId="77777777" w:rsidTr="007A5C65">
        <w:tc>
          <w:tcPr>
            <w:tcW w:w="1696" w:type="dxa"/>
          </w:tcPr>
          <w:p w14:paraId="7E04018C" w14:textId="77777777" w:rsidR="00862FA2" w:rsidRDefault="00862FA2" w:rsidP="007A5C65">
            <w:pPr>
              <w:rPr>
                <w:lang w:eastAsia="zh-CN"/>
              </w:rPr>
            </w:pPr>
          </w:p>
        </w:tc>
        <w:tc>
          <w:tcPr>
            <w:tcW w:w="7611" w:type="dxa"/>
          </w:tcPr>
          <w:p w14:paraId="7ABC4387" w14:textId="77777777" w:rsidR="00862FA2" w:rsidRDefault="00862FA2" w:rsidP="007A5C65">
            <w:pPr>
              <w:rPr>
                <w:lang w:eastAsia="zh-CN"/>
              </w:rPr>
            </w:pPr>
          </w:p>
        </w:tc>
      </w:tr>
      <w:tr w:rsidR="00862FA2" w14:paraId="7EF2DABF" w14:textId="77777777" w:rsidTr="007A5C65">
        <w:tc>
          <w:tcPr>
            <w:tcW w:w="1696" w:type="dxa"/>
          </w:tcPr>
          <w:p w14:paraId="3D4F0B57" w14:textId="77777777" w:rsidR="00862FA2" w:rsidRDefault="00862FA2" w:rsidP="007A5C65"/>
        </w:tc>
        <w:tc>
          <w:tcPr>
            <w:tcW w:w="7611" w:type="dxa"/>
          </w:tcPr>
          <w:p w14:paraId="1C72E61E" w14:textId="77777777" w:rsidR="00862FA2" w:rsidRDefault="00862FA2" w:rsidP="007A5C65"/>
        </w:tc>
      </w:tr>
      <w:tr w:rsidR="00862FA2" w14:paraId="0F4A0498" w14:textId="77777777" w:rsidTr="007A5C65">
        <w:tc>
          <w:tcPr>
            <w:tcW w:w="1696" w:type="dxa"/>
          </w:tcPr>
          <w:p w14:paraId="45BEC706" w14:textId="77777777" w:rsidR="00862FA2" w:rsidRDefault="00862FA2" w:rsidP="007A5C65"/>
        </w:tc>
        <w:tc>
          <w:tcPr>
            <w:tcW w:w="7611" w:type="dxa"/>
          </w:tcPr>
          <w:p w14:paraId="42E611EA" w14:textId="77777777" w:rsidR="00862FA2" w:rsidRDefault="00862FA2" w:rsidP="007A5C65"/>
        </w:tc>
      </w:tr>
    </w:tbl>
    <w:p w14:paraId="259EF2BE" w14:textId="77777777" w:rsidR="00862FA2"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7"/>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852E65" w14:paraId="0D9F7804" w14:textId="77777777" w:rsidTr="007A5C65">
        <w:tc>
          <w:tcPr>
            <w:tcW w:w="1696" w:type="dxa"/>
          </w:tcPr>
          <w:p w14:paraId="513AB59E" w14:textId="77777777" w:rsidR="00852E65" w:rsidRDefault="00852E65" w:rsidP="007A5C65">
            <w:pPr>
              <w:rPr>
                <w:lang w:eastAsia="zh-CN"/>
              </w:rPr>
            </w:pPr>
          </w:p>
        </w:tc>
        <w:tc>
          <w:tcPr>
            <w:tcW w:w="7611" w:type="dxa"/>
          </w:tcPr>
          <w:p w14:paraId="54564B9C" w14:textId="77777777" w:rsidR="00852E65" w:rsidRDefault="00852E65" w:rsidP="007A5C65">
            <w:pPr>
              <w:rPr>
                <w:lang w:eastAsia="zh-CN"/>
              </w:rPr>
            </w:pPr>
          </w:p>
        </w:tc>
      </w:tr>
      <w:tr w:rsidR="00852E65" w14:paraId="3A3BAF1B" w14:textId="77777777" w:rsidTr="007A5C65">
        <w:tc>
          <w:tcPr>
            <w:tcW w:w="1696" w:type="dxa"/>
          </w:tcPr>
          <w:p w14:paraId="39CBEAD9" w14:textId="77777777" w:rsidR="00852E65" w:rsidRDefault="00852E65" w:rsidP="007A5C65"/>
        </w:tc>
        <w:tc>
          <w:tcPr>
            <w:tcW w:w="7611" w:type="dxa"/>
          </w:tcPr>
          <w:p w14:paraId="5EFD65EA" w14:textId="77777777" w:rsidR="00852E65" w:rsidRDefault="00852E65" w:rsidP="007A5C65"/>
        </w:tc>
      </w:tr>
      <w:tr w:rsidR="00852E65" w14:paraId="7A9052F2" w14:textId="77777777" w:rsidTr="007A5C65">
        <w:tc>
          <w:tcPr>
            <w:tcW w:w="1696" w:type="dxa"/>
          </w:tcPr>
          <w:p w14:paraId="1EB96445" w14:textId="77777777" w:rsidR="00852E65" w:rsidRDefault="00852E65" w:rsidP="007A5C65"/>
        </w:tc>
        <w:tc>
          <w:tcPr>
            <w:tcW w:w="7611" w:type="dxa"/>
          </w:tcPr>
          <w:p w14:paraId="49486D27" w14:textId="77777777" w:rsidR="00852E65" w:rsidRDefault="00852E65" w:rsidP="007A5C65"/>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9"/>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lastRenderedPageBreak/>
        <w:t xml:space="preserve">RLM/BFD/BFR configuration </w:t>
      </w:r>
    </w:p>
    <w:p w14:paraId="420A033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9"/>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9"/>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77777777" w:rsidR="00C155B8" w:rsidRPr="00802039" w:rsidRDefault="00C155B8" w:rsidP="00C155B8">
      <w:pPr>
        <w:rPr>
          <w:b/>
          <w:lang w:eastAsia="zh-CN"/>
        </w:rPr>
      </w:pPr>
      <w:r>
        <w:rPr>
          <w:rFonts w:hint="eastAsia"/>
          <w:b/>
          <w:highlight w:val="yellow"/>
          <w:lang w:eastAsia="zh-CN"/>
        </w:rPr>
        <w:t>Discussion point 4.4</w:t>
      </w:r>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7"/>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77777777" w:rsidR="00C155B8" w:rsidRDefault="00C155B8" w:rsidP="007A5C65">
            <w:pPr>
              <w:rPr>
                <w:lang w:eastAsia="zh-CN"/>
              </w:rPr>
            </w:pPr>
          </w:p>
        </w:tc>
        <w:tc>
          <w:tcPr>
            <w:tcW w:w="7611" w:type="dxa"/>
          </w:tcPr>
          <w:p w14:paraId="2A223FE1" w14:textId="77777777" w:rsidR="00C155B8" w:rsidRDefault="00C155B8" w:rsidP="007A5C65">
            <w:pPr>
              <w:rPr>
                <w:lang w:eastAsia="zh-CN"/>
              </w:rPr>
            </w:pPr>
          </w:p>
        </w:tc>
      </w:tr>
      <w:tr w:rsidR="00C155B8" w14:paraId="782B9E2C" w14:textId="77777777" w:rsidTr="007A5C65">
        <w:tc>
          <w:tcPr>
            <w:tcW w:w="1696" w:type="dxa"/>
          </w:tcPr>
          <w:p w14:paraId="42C0A606" w14:textId="77777777" w:rsidR="00C155B8" w:rsidRDefault="00C155B8" w:rsidP="007A5C65"/>
        </w:tc>
        <w:tc>
          <w:tcPr>
            <w:tcW w:w="7611" w:type="dxa"/>
          </w:tcPr>
          <w:p w14:paraId="73AE1369" w14:textId="77777777" w:rsidR="00C155B8" w:rsidRDefault="00C155B8" w:rsidP="007A5C65"/>
        </w:tc>
      </w:tr>
      <w:tr w:rsidR="00C155B8" w14:paraId="0DFE0A01" w14:textId="77777777" w:rsidTr="007A5C65">
        <w:tc>
          <w:tcPr>
            <w:tcW w:w="1696" w:type="dxa"/>
          </w:tcPr>
          <w:p w14:paraId="3C600814" w14:textId="77777777" w:rsidR="00C155B8" w:rsidRDefault="00C155B8" w:rsidP="007A5C65"/>
        </w:tc>
        <w:tc>
          <w:tcPr>
            <w:tcW w:w="7611" w:type="dxa"/>
          </w:tcPr>
          <w:p w14:paraId="4B22B81D" w14:textId="77777777" w:rsidR="00C155B8" w:rsidRDefault="00C155B8" w:rsidP="007A5C65"/>
        </w:tc>
      </w:tr>
    </w:tbl>
    <w:p w14:paraId="65D27731" w14:textId="77777777" w:rsidR="004F4B7D"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5571E" w:rsidRDefault="00630F02" w:rsidP="001A57EC">
      <w:pPr>
        <w:rPr>
          <w:lang w:eastAsia="zh-CN"/>
        </w:rPr>
      </w:pPr>
    </w:p>
    <w:p w14:paraId="1DC3323B" w14:textId="77777777" w:rsidR="00492B6B" w:rsidRDefault="005E761D">
      <w:pPr>
        <w:pStyle w:val="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af7"/>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1"/>
      </w:pPr>
      <w:r>
        <w:rPr>
          <w:rFonts w:hint="eastAsia"/>
        </w:rPr>
        <w:t>References</w:t>
      </w:r>
    </w:p>
    <w:p w14:paraId="21257629" w14:textId="07B21C57" w:rsidR="003C0E52" w:rsidRDefault="00637B64" w:rsidP="003C0E52">
      <w:pPr>
        <w:pStyle w:val="af9"/>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9"/>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af9"/>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9"/>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9"/>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9"/>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9"/>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af9"/>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9"/>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af9"/>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9"/>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14:paraId="126A1E13" w14:textId="77777777" w:rsidR="00B62D28" w:rsidRPr="0095582E" w:rsidRDefault="00B62D28" w:rsidP="00B62D28">
      <w:pPr>
        <w:pStyle w:val="af9"/>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9"/>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lastRenderedPageBreak/>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w:t>
            </w:r>
            <w:proofErr w:type="spellStart"/>
            <w:r w:rsidRPr="00245BD4">
              <w:rPr>
                <w:rFonts w:eastAsia="宋体" w:hint="eastAsia"/>
                <w:b/>
                <w:bCs/>
                <w:i/>
                <w:sz w:val="20"/>
                <w:szCs w:val="20"/>
                <w:lang w:eastAsia="zh-CN"/>
              </w:rPr>
              <w:t>Seachspace</w:t>
            </w:r>
            <w:proofErr w:type="spellEnd"/>
            <w:r w:rsidRPr="00245BD4">
              <w:rPr>
                <w:rFonts w:eastAsia="宋体" w:hint="eastAsia"/>
                <w:b/>
                <w:bCs/>
                <w:i/>
                <w:sz w:val="20"/>
                <w:szCs w:val="20"/>
                <w:lang w:eastAsia="zh-CN"/>
              </w:rPr>
              <w:t xml:space="preserve"> configuration can be added in the PDCCH-</w:t>
            </w:r>
            <w:proofErr w:type="spellStart"/>
            <w:r w:rsidRPr="00245BD4">
              <w:rPr>
                <w:rFonts w:eastAsia="宋体" w:hint="eastAsia"/>
                <w:b/>
                <w:bCs/>
                <w:i/>
                <w:sz w:val="20"/>
                <w:szCs w:val="20"/>
                <w:lang w:eastAsia="zh-CN"/>
              </w:rPr>
              <w:t>ConfigCommon</w:t>
            </w:r>
            <w:proofErr w:type="spellEnd"/>
            <w:r w:rsidRPr="00245BD4">
              <w:rPr>
                <w:rFonts w:eastAsia="宋体" w:hint="eastAsia"/>
                <w:b/>
                <w:bCs/>
                <w:i/>
                <w:sz w:val="20"/>
                <w:szCs w:val="20"/>
                <w:lang w:eastAsia="zh-CN"/>
              </w:rPr>
              <w:t xml:space="preserve">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w:t>
            </w:r>
            <w:proofErr w:type="spellStart"/>
            <w:r w:rsidRPr="00245BD4">
              <w:rPr>
                <w:rFonts w:eastAsia="宋体" w:hint="eastAsia"/>
                <w:b/>
                <w:bCs/>
                <w:i/>
                <w:sz w:val="20"/>
                <w:szCs w:val="20"/>
                <w:lang w:eastAsia="zh-CN"/>
              </w:rPr>
              <w:t>lager</w:t>
            </w:r>
            <w:proofErr w:type="spellEnd"/>
            <w:r w:rsidRPr="00245BD4">
              <w:rPr>
                <w:rFonts w:eastAsia="宋体" w:hint="eastAsia"/>
                <w:b/>
                <w:bCs/>
                <w:i/>
                <w:sz w:val="20"/>
                <w:szCs w:val="20"/>
                <w:lang w:eastAsia="zh-CN"/>
              </w:rPr>
              <w:t xml:space="preserve">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9"/>
              <w:rPr>
                <w:rFonts w:eastAsia="宋体"/>
                <w:b/>
                <w:noProof/>
                <w:lang w:eastAsia="zh-CN"/>
              </w:rPr>
            </w:pPr>
            <w:r w:rsidRPr="00566056">
              <w:rPr>
                <w:rFonts w:eastAsia="宋体" w:hint="eastAsia"/>
                <w:b/>
                <w:noProof/>
                <w:lang w:eastAsia="zh-CN"/>
              </w:rPr>
              <w:t>Proposal 1: S</w:t>
            </w:r>
            <w:proofErr w:type="spellStart"/>
            <w:r w:rsidRPr="00566056">
              <w:rPr>
                <w:rFonts w:eastAsia="宋体" w:hint="eastAsia"/>
                <w:b/>
                <w:lang w:eastAsia="zh-CN"/>
              </w:rPr>
              <w:t>eparate</w:t>
            </w:r>
            <w:proofErr w:type="spellEnd"/>
            <w:r w:rsidRPr="00566056">
              <w:rPr>
                <w:rFonts w:eastAsia="宋体" w:hint="eastAsia"/>
                <w:b/>
                <w:lang w:eastAsia="zh-CN"/>
              </w:rPr>
              <w:t xml:space="preserv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9"/>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lastRenderedPageBreak/>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w:t>
            </w:r>
            <w:proofErr w:type="spellStart"/>
            <w:r w:rsidRPr="00926CF1">
              <w:rPr>
                <w:rFonts w:eastAsia="Batang"/>
                <w:b/>
                <w:i/>
                <w:sz w:val="20"/>
                <w:szCs w:val="20"/>
                <w:lang w:eastAsia="ko-KR"/>
              </w:rPr>
              <w:t>Config</w:t>
            </w:r>
            <w:proofErr w:type="spellEnd"/>
            <w:r w:rsidRPr="00926CF1">
              <w:rPr>
                <w:rFonts w:eastAsia="Batang"/>
                <w:b/>
                <w:i/>
                <w:sz w:val="20"/>
                <w:szCs w:val="20"/>
                <w:lang w:eastAsia="ko-KR"/>
              </w:rPr>
              <w:t>)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af9"/>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 xml:space="preserve">RLM/BFD/BFR configuration </w:t>
            </w:r>
          </w:p>
          <w:p w14:paraId="0B53B84A"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9"/>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宋体"/>
                <w:lang w:eastAsia="zh-CN"/>
              </w:rPr>
              <w:fldChar w:fldCharType="end"/>
            </w:r>
          </w:p>
          <w:p w14:paraId="18D4A8BA"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 xml:space="preserve">Proposal 4: the mapping ratio (number of SSB per PO) is configured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 xml:space="preserve">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not larger than initial BWP and UE is in serving cell,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 xml:space="preserve">UE uses the same spatial filter as in the last PUSCH in the previous RA procedure within a timer and without the changing of best SSB regarding </w:t>
            </w:r>
            <w:r w:rsidRPr="00C6617E">
              <w:rPr>
                <w:i/>
                <w:sz w:val="20"/>
                <w:szCs w:val="20"/>
                <w:lang w:eastAsia="zh-CN"/>
              </w:rPr>
              <w:lastRenderedPageBreak/>
              <w:t>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w:t>
            </w:r>
            <w:proofErr w:type="gramStart"/>
            <w:r w:rsidRPr="004F6D78">
              <w:rPr>
                <w:sz w:val="20"/>
                <w:szCs w:val="20"/>
                <w:lang w:val="en-GB"/>
              </w:rPr>
              <w:t>index(</w:t>
            </w:r>
            <w:proofErr w:type="gramEnd"/>
            <w:r w:rsidRPr="004F6D78">
              <w:rPr>
                <w:sz w:val="20"/>
                <w:szCs w:val="20"/>
                <w:lang w:val="en-GB"/>
              </w:rPr>
              <w:t>es) as well as the CG resources (i.e. PUSCH/DMRS occasions) associated with the SSB index(</w:t>
            </w:r>
            <w:proofErr w:type="spellStart"/>
            <w:r w:rsidRPr="004F6D78">
              <w:rPr>
                <w:sz w:val="20"/>
                <w:szCs w:val="20"/>
                <w:lang w:val="en-GB"/>
              </w:rPr>
              <w:t>es</w:t>
            </w:r>
            <w:proofErr w:type="spellEnd"/>
            <w:r w:rsidRPr="004F6D78">
              <w:rPr>
                <w:sz w:val="20"/>
                <w:szCs w:val="20"/>
                <w:lang w:val="en-GB"/>
              </w:rPr>
              <w:t xml:space="preserve">)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9"/>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96331" w14:textId="77777777" w:rsidR="0074548E" w:rsidRDefault="0074548E" w:rsidP="00125A4C">
      <w:pPr>
        <w:spacing w:after="0"/>
      </w:pPr>
      <w:r>
        <w:separator/>
      </w:r>
    </w:p>
  </w:endnote>
  <w:endnote w:type="continuationSeparator" w:id="0">
    <w:p w14:paraId="4B3A0D83" w14:textId="77777777" w:rsidR="0074548E" w:rsidRDefault="0074548E"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76DA8" w14:textId="77777777" w:rsidR="0074548E" w:rsidRDefault="0074548E" w:rsidP="00125A4C">
      <w:pPr>
        <w:spacing w:after="0"/>
      </w:pPr>
      <w:r>
        <w:separator/>
      </w:r>
    </w:p>
  </w:footnote>
  <w:footnote w:type="continuationSeparator" w:id="0">
    <w:p w14:paraId="54E58FAA" w14:textId="77777777" w:rsidR="0074548E" w:rsidRDefault="0074548E"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1">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3"/>
  </w:num>
  <w:num w:numId="3">
    <w:abstractNumId w:val="32"/>
  </w:num>
  <w:num w:numId="4">
    <w:abstractNumId w:val="14"/>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24"/>
  </w:num>
  <w:num w:numId="10">
    <w:abstractNumId w:val="31"/>
  </w:num>
  <w:num w:numId="11">
    <w:abstractNumId w:val="16"/>
  </w:num>
  <w:num w:numId="12">
    <w:abstractNumId w:val="1"/>
  </w:num>
  <w:num w:numId="13">
    <w:abstractNumId w:val="19"/>
  </w:num>
  <w:num w:numId="14">
    <w:abstractNumId w:val="20"/>
  </w:num>
  <w:num w:numId="15">
    <w:abstractNumId w:val="7"/>
  </w:num>
  <w:num w:numId="16">
    <w:abstractNumId w:val="26"/>
  </w:num>
  <w:num w:numId="17">
    <w:abstractNumId w:val="15"/>
  </w:num>
  <w:num w:numId="18">
    <w:abstractNumId w:val="8"/>
  </w:num>
  <w:num w:numId="19">
    <w:abstractNumId w:val="18"/>
  </w:num>
  <w:num w:numId="20">
    <w:abstractNumId w:val="2"/>
  </w:num>
  <w:num w:numId="21">
    <w:abstractNumId w:val="30"/>
  </w:num>
  <w:num w:numId="22">
    <w:abstractNumId w:val="3"/>
  </w:num>
  <w:num w:numId="23">
    <w:abstractNumId w:val="28"/>
  </w:num>
  <w:num w:numId="24">
    <w:abstractNumId w:val="17"/>
  </w:num>
  <w:num w:numId="25">
    <w:abstractNumId w:val="4"/>
  </w:num>
  <w:num w:numId="26">
    <w:abstractNumId w:val="27"/>
  </w:num>
  <w:num w:numId="27">
    <w:abstractNumId w:val="22"/>
  </w:num>
  <w:num w:numId="28">
    <w:abstractNumId w:val="9"/>
  </w:num>
  <w:num w:numId="29">
    <w:abstractNumId w:val="11"/>
  </w:num>
  <w:num w:numId="30">
    <w:abstractNumId w:val="5"/>
  </w:num>
  <w:num w:numId="31">
    <w:abstractNumId w:val="29"/>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68"/>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iPriority="99"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iPriority="99"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BB70F-2664-495F-ABC5-0D0EAA6E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5</cp:revision>
  <cp:lastPrinted>2007-06-18T05:08:00Z</cp:lastPrinted>
  <dcterms:created xsi:type="dcterms:W3CDTF">2021-01-25T08:53:00Z</dcterms:created>
  <dcterms:modified xsi:type="dcterms:W3CDTF">2021-01-25T09:33:00Z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