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All </w:t>
            </w:r>
            <w:proofErr w:type="spellStart"/>
            <w:r w:rsidRPr="00FC12EB">
              <w:rPr>
                <w:lang w:val="sv-SE" w:eastAsia="ja-JP"/>
              </w:rPr>
              <w:t>mandatory</w:t>
            </w:r>
            <w:proofErr w:type="spellEnd"/>
            <w:r w:rsidRPr="00FC12EB">
              <w:rPr>
                <w:lang w:val="sv-SE" w:eastAsia="ja-JP"/>
              </w:rPr>
              <w:t xml:space="preserve"> Rel-15 features (</w:t>
            </w:r>
            <w:proofErr w:type="spellStart"/>
            <w:r w:rsidRPr="00FC12EB">
              <w:rPr>
                <w:lang w:val="sv-SE" w:eastAsia="ja-JP"/>
              </w:rPr>
              <w:t>with</w:t>
            </w:r>
            <w:proofErr w:type="spellEnd"/>
            <w:r w:rsidRPr="00FC12EB">
              <w:rPr>
                <w:lang w:val="sv-SE" w:eastAsia="ja-JP"/>
              </w:rPr>
              <w:t xml:space="preserve"> or </w:t>
            </w:r>
            <w:proofErr w:type="spellStart"/>
            <w:r w:rsidRPr="00FC12EB">
              <w:rPr>
                <w:lang w:val="sv-SE" w:eastAsia="ja-JP"/>
              </w:rPr>
              <w:t>without</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w:t>
            </w:r>
            <w:proofErr w:type="spellStart"/>
            <w:r w:rsidRPr="00FC12EB">
              <w:rPr>
                <w:lang w:val="sv-SE" w:eastAsia="ja-JP"/>
              </w:rPr>
              <w:t>signaling</w:t>
            </w:r>
            <w:proofErr w:type="spellEnd"/>
            <w:r w:rsidRPr="00FC12EB">
              <w:rPr>
                <w:lang w:val="sv-SE" w:eastAsia="ja-JP"/>
              </w:rPr>
              <w:t>)</w:t>
            </w:r>
          </w:p>
          <w:p w14:paraId="0B9E6D0D"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Single</w:t>
            </w:r>
            <w:proofErr w:type="spellEnd"/>
            <w:r w:rsidRPr="00FC12EB">
              <w:rPr>
                <w:lang w:val="sv-SE" w:eastAsia="ja-JP"/>
              </w:rPr>
              <w:t xml:space="preserv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Operation in a </w:t>
            </w:r>
            <w:proofErr w:type="spellStart"/>
            <w:r w:rsidRPr="00FC12EB">
              <w:rPr>
                <w:lang w:val="sv-SE" w:eastAsia="ja-JP"/>
              </w:rPr>
              <w:t>single</w:t>
            </w:r>
            <w:proofErr w:type="spellEnd"/>
            <w:r w:rsidRPr="00FC12EB">
              <w:rPr>
                <w:lang w:val="sv-SE" w:eastAsia="ja-JP"/>
              </w:rPr>
              <w:t xml:space="preserve"> band at a </w:t>
            </w:r>
            <w:proofErr w:type="spellStart"/>
            <w:r w:rsidRPr="00FC12EB">
              <w:rPr>
                <w:lang w:val="sv-SE" w:eastAsia="ja-JP"/>
              </w:rPr>
              <w:t>time</w:t>
            </w:r>
            <w:proofErr w:type="spellEnd"/>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Maximum </w:t>
            </w:r>
            <w:proofErr w:type="spellStart"/>
            <w:r w:rsidRPr="00FC12EB">
              <w:rPr>
                <w:lang w:val="sv-SE" w:eastAsia="ja-JP"/>
              </w:rPr>
              <w:t>bandwidth</w:t>
            </w:r>
            <w:proofErr w:type="spellEnd"/>
            <w:r w:rsidRPr="00FC12EB">
              <w:rPr>
                <w:lang w:val="sv-SE" w:eastAsia="ja-JP"/>
              </w:rPr>
              <w:t>:</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Antennas</w:t>
            </w:r>
            <w:proofErr w:type="spellEnd"/>
            <w:r w:rsidRPr="00FC12EB">
              <w:rPr>
                <w:lang w:val="sv-SE" w:eastAsia="ja-JP"/>
              </w:rPr>
              <w:t>:</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Power </w:t>
            </w:r>
            <w:proofErr w:type="spellStart"/>
            <w:r w:rsidRPr="00FC12EB">
              <w:rPr>
                <w:lang w:val="sv-SE" w:eastAsia="ja-JP"/>
              </w:rPr>
              <w:t>class</w:t>
            </w:r>
            <w:proofErr w:type="spellEnd"/>
            <w:r w:rsidRPr="00FC12EB">
              <w:rPr>
                <w:lang w:val="sv-SE" w:eastAsia="ja-JP"/>
              </w:rPr>
              <w:t>: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Processing</w:t>
            </w:r>
            <w:proofErr w:type="spellEnd"/>
            <w:r w:rsidRPr="00FC12EB">
              <w:rPr>
                <w:lang w:val="sv-SE" w:eastAsia="ja-JP"/>
              </w:rPr>
              <w:t xml:space="preserve"> </w:t>
            </w:r>
            <w:proofErr w:type="spellStart"/>
            <w:r w:rsidRPr="00FC12EB">
              <w:rPr>
                <w:lang w:val="sv-SE" w:eastAsia="ja-JP"/>
              </w:rPr>
              <w:t>time</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Access: </w:t>
            </w:r>
            <w:proofErr w:type="spellStart"/>
            <w:r w:rsidRPr="00FC12EB">
              <w:rPr>
                <w:lang w:val="sv-SE" w:eastAsia="ja-JP"/>
              </w:rPr>
              <w:t>Direct</w:t>
            </w:r>
            <w:proofErr w:type="spellEnd"/>
            <w:r w:rsidRPr="00FC12EB">
              <w:rPr>
                <w:lang w:val="sv-SE" w:eastAsia="ja-JP"/>
              </w:rPr>
              <w:t xml:space="preserve"> DL/UL access </w:t>
            </w:r>
            <w:proofErr w:type="spellStart"/>
            <w:r w:rsidRPr="00FC12EB">
              <w:rPr>
                <w:lang w:val="sv-SE" w:eastAsia="ja-JP"/>
              </w:rPr>
              <w:t>between</w:t>
            </w:r>
            <w:proofErr w:type="spellEnd"/>
            <w:r w:rsidRPr="00FC12EB">
              <w:rPr>
                <w:lang w:val="sv-SE" w:eastAsia="ja-JP"/>
              </w:rPr>
              <w:t xml:space="preserve"> UE and </w:t>
            </w:r>
            <w:proofErr w:type="spellStart"/>
            <w:r w:rsidRPr="00FC12EB">
              <w:rPr>
                <w:lang w:val="sv-SE" w:eastAsia="ja-JP"/>
              </w:rPr>
              <w:t>gNB</w:t>
            </w:r>
            <w:proofErr w:type="spellEnd"/>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proofErr w:type="spellStart"/>
            <w:r>
              <w:rPr>
                <w:rFonts w:eastAsia="Calibri"/>
                <w:lang w:val="sv-SE" w:eastAsia="ja-JP"/>
              </w:rPr>
              <w:t>Detailed</w:t>
            </w:r>
            <w:proofErr w:type="spellEnd"/>
            <w:r>
              <w:rPr>
                <w:rFonts w:eastAsia="Calibri"/>
                <w:lang w:val="sv-SE" w:eastAsia="ja-JP"/>
              </w:rPr>
              <w:t xml:space="preserve"> </w:t>
            </w:r>
            <w:proofErr w:type="spellStart"/>
            <w:r>
              <w:rPr>
                <w:rFonts w:eastAsia="Calibri"/>
                <w:lang w:val="sv-SE" w:eastAsia="ja-JP"/>
              </w:rPr>
              <w:t>cost</w:t>
            </w:r>
            <w:proofErr w:type="spellEnd"/>
            <w:r>
              <w:rPr>
                <w:rFonts w:eastAsia="Calibri"/>
                <w:lang w:val="sv-SE" w:eastAsia="ja-JP"/>
              </w:rPr>
              <w:t xml:space="preserve"> </w:t>
            </w:r>
            <w:proofErr w:type="spellStart"/>
            <w:r>
              <w:rPr>
                <w:rFonts w:eastAsia="Calibri"/>
                <w:lang w:val="sv-SE" w:eastAsia="ja-JP"/>
              </w:rPr>
              <w:t>breakdown</w:t>
            </w:r>
            <w:proofErr w:type="spellEnd"/>
            <w:r>
              <w:rPr>
                <w:rFonts w:eastAsia="Calibri"/>
                <w:lang w:val="sv-SE" w:eastAsia="ja-JP"/>
              </w:rPr>
              <w:t xml:space="preserve"> for the </w:t>
            </w:r>
            <w:proofErr w:type="spellStart"/>
            <w:r>
              <w:rPr>
                <w:rFonts w:eastAsia="Calibri"/>
                <w:lang w:val="sv-SE" w:eastAsia="ja-JP"/>
              </w:rPr>
              <w:t>reference</w:t>
            </w:r>
            <w:proofErr w:type="spellEnd"/>
            <w:r>
              <w:rPr>
                <w:rFonts w:eastAsia="Calibri"/>
                <w:lang w:val="sv-SE" w:eastAsia="ja-JP"/>
              </w:rPr>
              <w:t xml:space="preserve"> NR </w:t>
            </w:r>
            <w:proofErr w:type="spellStart"/>
            <w:r>
              <w:rPr>
                <w:rFonts w:eastAsia="Calibri"/>
                <w:lang w:val="sv-SE" w:eastAsia="ja-JP"/>
              </w:rPr>
              <w:t>devices</w:t>
            </w:r>
            <w:proofErr w:type="spellEnd"/>
            <w:r>
              <w:rPr>
                <w:rFonts w:eastAsia="Calibri"/>
                <w:lang w:val="sv-SE" w:eastAsia="ja-JP"/>
              </w:rPr>
              <w:t xml:space="preserve"> </w:t>
            </w:r>
            <w:proofErr w:type="spellStart"/>
            <w:r>
              <w:rPr>
                <w:rFonts w:eastAsia="Calibri"/>
                <w:lang w:val="sv-SE" w:eastAsia="ja-JP"/>
              </w:rPr>
              <w:t>according</w:t>
            </w:r>
            <w:proofErr w:type="spellEnd"/>
            <w:r>
              <w:rPr>
                <w:rFonts w:eastAsia="Calibri"/>
                <w:lang w:val="sv-SE" w:eastAsia="ja-JP"/>
              </w:rPr>
              <w:t xml:space="preserve"> to Table 6.1-1 </w:t>
            </w:r>
            <w:proofErr w:type="spellStart"/>
            <w:r>
              <w:rPr>
                <w:rFonts w:eastAsia="Calibri"/>
                <w:lang w:val="sv-SE" w:eastAsia="ja-JP"/>
              </w:rPr>
              <w:t>was</w:t>
            </w:r>
            <w:proofErr w:type="spellEnd"/>
            <w:r>
              <w:rPr>
                <w:rFonts w:eastAsia="Calibri"/>
                <w:lang w:val="sv-SE" w:eastAsia="ja-JP"/>
              </w:rPr>
              <w:t xml:space="preserve"> </w:t>
            </w:r>
            <w:proofErr w:type="spellStart"/>
            <w:r>
              <w:rPr>
                <w:rFonts w:eastAsia="Calibri"/>
                <w:lang w:val="sv-SE" w:eastAsia="ja-JP"/>
              </w:rPr>
              <w:t>assumed</w:t>
            </w:r>
            <w:proofErr w:type="spellEnd"/>
            <w:r>
              <w:rPr>
                <w:rFonts w:eastAsia="Calibri"/>
                <w:lang w:val="sv-SE" w:eastAsia="ja-JP"/>
              </w:rPr>
              <w:t xml:space="preserve"> in the </w:t>
            </w:r>
            <w:proofErr w:type="spellStart"/>
            <w:r>
              <w:rPr>
                <w:rFonts w:eastAsia="Calibri"/>
                <w:lang w:val="sv-SE" w:eastAsia="ja-JP"/>
              </w:rPr>
              <w:t>study</w:t>
            </w:r>
            <w:proofErr w:type="spellEnd"/>
            <w:r>
              <w:rPr>
                <w:rFonts w:eastAsia="Calibri"/>
                <w:lang w:val="sv-SE" w:eastAsia="ja-JP"/>
              </w:rPr>
              <w:t>. The RF-to-</w:t>
            </w:r>
            <w:proofErr w:type="spellStart"/>
            <w:r>
              <w:rPr>
                <w:rFonts w:eastAsia="Calibri"/>
                <w:lang w:val="sv-SE" w:eastAsia="ja-JP"/>
              </w:rPr>
              <w:t>baseband</w:t>
            </w:r>
            <w:proofErr w:type="spellEnd"/>
            <w:r>
              <w:rPr>
                <w:rFonts w:eastAsia="Calibri"/>
                <w:lang w:val="sv-SE" w:eastAsia="ja-JP"/>
              </w:rPr>
              <w:t xml:space="preserve"> </w:t>
            </w:r>
            <w:proofErr w:type="spellStart"/>
            <w:r>
              <w:rPr>
                <w:rFonts w:eastAsia="Calibri"/>
                <w:lang w:val="sv-SE" w:eastAsia="ja-JP"/>
              </w:rPr>
              <w:t>cost</w:t>
            </w:r>
            <w:proofErr w:type="spellEnd"/>
            <w:r>
              <w:rPr>
                <w:rFonts w:eastAsia="Calibri"/>
                <w:lang w:val="sv-SE" w:eastAsia="ja-JP"/>
              </w:rPr>
              <w:t xml:space="preserve"> </w:t>
            </w:r>
            <w:proofErr w:type="spellStart"/>
            <w:r>
              <w:rPr>
                <w:rFonts w:eastAsia="Calibri"/>
                <w:lang w:val="sv-SE" w:eastAsia="ja-JP"/>
              </w:rPr>
              <w:t>ratio</w:t>
            </w:r>
            <w:proofErr w:type="spellEnd"/>
            <w:r>
              <w:rPr>
                <w:rFonts w:eastAsia="Calibri"/>
                <w:lang w:val="sv-SE" w:eastAsia="ja-JP"/>
              </w:rPr>
              <w:t xml:space="preserve"> </w:t>
            </w:r>
            <w:proofErr w:type="spellStart"/>
            <w:r>
              <w:rPr>
                <w:rFonts w:eastAsia="Calibri"/>
                <w:lang w:val="sv-SE" w:eastAsia="ja-JP"/>
              </w:rPr>
              <w:t>was</w:t>
            </w:r>
            <w:proofErr w:type="spellEnd"/>
            <w:r>
              <w:rPr>
                <w:rFonts w:eastAsia="Calibri"/>
                <w:lang w:val="sv-SE" w:eastAsia="ja-JP"/>
              </w:rPr>
              <w:t xml:space="preserve"> </w:t>
            </w:r>
            <w:proofErr w:type="spellStart"/>
            <w:r>
              <w:rPr>
                <w:rFonts w:eastAsia="Calibri"/>
                <w:lang w:val="sv-SE" w:eastAsia="ja-JP"/>
              </w:rPr>
              <w:t>assumed</w:t>
            </w:r>
            <w:proofErr w:type="spellEnd"/>
            <w:r>
              <w:rPr>
                <w:rFonts w:eastAsia="Calibri"/>
                <w:lang w:val="sv-SE" w:eastAsia="ja-JP"/>
              </w:rPr>
              <w:t xml:space="preserve"> to be 40:60 for an FR1 UE and 50:50 for an FR2 UE. The </w:t>
            </w:r>
            <w:proofErr w:type="spellStart"/>
            <w:r>
              <w:rPr>
                <w:rFonts w:eastAsia="Calibri"/>
                <w:lang w:val="sv-SE" w:eastAsia="ja-JP"/>
              </w:rPr>
              <w:t>study</w:t>
            </w:r>
            <w:proofErr w:type="spellEnd"/>
            <w:r>
              <w:rPr>
                <w:rFonts w:eastAsia="Calibri"/>
                <w:lang w:val="sv-SE" w:eastAsia="ja-JP"/>
              </w:rPr>
              <w:t xml:space="preserve"> </w:t>
            </w:r>
            <w:proofErr w:type="spellStart"/>
            <w:r>
              <w:rPr>
                <w:rFonts w:eastAsia="Calibri"/>
                <w:lang w:val="sv-SE" w:eastAsia="ja-JP"/>
              </w:rPr>
              <w:t>considered</w:t>
            </w:r>
            <w:proofErr w:type="spellEnd"/>
            <w:r>
              <w:rPr>
                <w:rFonts w:eastAsia="Calibri"/>
                <w:lang w:val="sv-SE" w:eastAsia="ja-JP"/>
              </w:rPr>
              <w:t xml:space="preserve"> </w:t>
            </w:r>
            <w:proofErr w:type="spellStart"/>
            <w:r>
              <w:rPr>
                <w:rFonts w:eastAsia="Calibri"/>
                <w:lang w:val="sv-SE" w:eastAsia="ja-JP"/>
              </w:rPr>
              <w:t>impacts</w:t>
            </w:r>
            <w:proofErr w:type="spellEnd"/>
            <w:r>
              <w:rPr>
                <w:rFonts w:eastAsia="Calibri"/>
                <w:lang w:val="sv-SE" w:eastAsia="ja-JP"/>
              </w:rPr>
              <w:t xml:space="preserve"> on </w:t>
            </w:r>
            <w:proofErr w:type="spellStart"/>
            <w:r>
              <w:rPr>
                <w:rFonts w:eastAsia="Calibri"/>
                <w:lang w:val="sv-SE" w:eastAsia="ja-JP"/>
              </w:rPr>
              <w:t>cost</w:t>
            </w:r>
            <w:proofErr w:type="spellEnd"/>
            <w:r>
              <w:rPr>
                <w:rFonts w:eastAsia="Calibri"/>
                <w:lang w:val="sv-SE" w:eastAsia="ja-JP"/>
              </w:rPr>
              <w:t>/</w:t>
            </w:r>
            <w:proofErr w:type="spellStart"/>
            <w:r>
              <w:rPr>
                <w:rFonts w:eastAsia="Calibri"/>
                <w:lang w:val="sv-SE" w:eastAsia="ja-JP"/>
              </w:rPr>
              <w:t>complexity</w:t>
            </w:r>
            <w:proofErr w:type="spellEnd"/>
            <w:r>
              <w:rPr>
                <w:rFonts w:eastAsia="Calibri"/>
                <w:lang w:val="sv-SE" w:eastAsia="ja-JP"/>
              </w:rPr>
              <w:t xml:space="preserve"> </w:t>
            </w:r>
            <w:proofErr w:type="spellStart"/>
            <w:r>
              <w:rPr>
                <w:rFonts w:eastAsia="Calibri"/>
                <w:lang w:val="sv-SE" w:eastAsia="ja-JP"/>
              </w:rPr>
              <w:t>reduction</w:t>
            </w:r>
            <w:proofErr w:type="spellEnd"/>
            <w:r>
              <w:rPr>
                <w:rFonts w:eastAsia="Calibri"/>
                <w:lang w:val="sv-SE" w:eastAsia="ja-JP"/>
              </w:rPr>
              <w:t xml:space="preserve"> from support </w:t>
            </w:r>
            <w:proofErr w:type="spellStart"/>
            <w:r>
              <w:rPr>
                <w:rFonts w:eastAsia="Calibri"/>
                <w:lang w:val="sv-SE" w:eastAsia="ja-JP"/>
              </w:rPr>
              <w:t>of</w:t>
            </w:r>
            <w:proofErr w:type="spellEnd"/>
            <w:r>
              <w:rPr>
                <w:rFonts w:eastAsia="Calibri"/>
                <w:lang w:val="sv-SE" w:eastAsia="ja-JP"/>
              </w:rPr>
              <w:t xml:space="preserve"> </w:t>
            </w:r>
            <w:proofErr w:type="spellStart"/>
            <w:r>
              <w:rPr>
                <w:rFonts w:eastAsia="Calibri"/>
                <w:lang w:val="sv-SE" w:eastAsia="ja-JP"/>
              </w:rPr>
              <w:t>multiple</w:t>
            </w:r>
            <w:proofErr w:type="spellEnd"/>
            <w:r>
              <w:rPr>
                <w:rFonts w:eastAsia="Calibri"/>
                <w:lang w:val="sv-SE" w:eastAsia="ja-JP"/>
              </w:rPr>
              <w:t xml:space="preserve"> RF bands </w:t>
            </w:r>
            <w:proofErr w:type="spellStart"/>
            <w:r>
              <w:rPr>
                <w:rFonts w:eastAsia="Calibri"/>
                <w:lang w:val="sv-SE" w:eastAsia="ja-JP"/>
              </w:rPr>
              <w:t>with</w:t>
            </w:r>
            <w:proofErr w:type="spellEnd"/>
            <w:r>
              <w:rPr>
                <w:rFonts w:eastAsia="Calibri"/>
                <w:lang w:val="sv-SE" w:eastAsia="ja-JP"/>
              </w:rPr>
              <w:t xml:space="preserve">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lastRenderedPageBreak/>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lastRenderedPageBreak/>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rFonts w:hint="eastAsia"/>
                <w:lang w:val="en-US" w:eastAsia="zh-CN"/>
              </w:rPr>
            </w:pPr>
            <w:r>
              <w:rPr>
                <w:lang w:val="en-US" w:eastAsia="zh-CN"/>
              </w:rPr>
              <w:t>SONY</w:t>
            </w:r>
          </w:p>
        </w:tc>
        <w:tc>
          <w:tcPr>
            <w:tcW w:w="1372" w:type="dxa"/>
          </w:tcPr>
          <w:p w14:paraId="1D2C95EF" w14:textId="43F8CEAE" w:rsidR="00A27148" w:rsidRDefault="00A27148" w:rsidP="004F2DE9">
            <w:pPr>
              <w:tabs>
                <w:tab w:val="left" w:pos="551"/>
              </w:tabs>
              <w:rPr>
                <w:rFonts w:hint="eastAsia"/>
                <w:lang w:val="en-US" w:eastAsia="zh-CN"/>
              </w:rPr>
            </w:pPr>
            <w:r>
              <w:rPr>
                <w:lang w:val="en-US" w:eastAsia="zh-CN"/>
              </w:rPr>
              <w:t>Y</w:t>
            </w:r>
          </w:p>
        </w:tc>
        <w:tc>
          <w:tcPr>
            <w:tcW w:w="6780" w:type="dxa"/>
          </w:tcPr>
          <w:p w14:paraId="5280BD93" w14:textId="77777777" w:rsidR="00A27148" w:rsidRDefault="00A27148" w:rsidP="004F2DE9">
            <w:pPr>
              <w:rPr>
                <w:rFonts w:hint="eastAsia"/>
                <w:lang w:val="en-US" w:eastAsia="zh-CN"/>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xml:space="preserve">] have indicated that there will be negative impact on DL data rate/throughput when reducing the number of Rx antennas. The main reason is that reducing the number of </w:t>
      </w:r>
      <w:r w:rsidRPr="000962AC">
        <w:rPr>
          <w:rFonts w:ascii="Times New Roman" w:hAnsi="Times New Roman"/>
        </w:rPr>
        <w:lastRenderedPageBreak/>
        <w:t>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lastRenderedPageBreak/>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It also needs justification how 1 Rx can support more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lastRenderedPageBreak/>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lastRenderedPageBreak/>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lastRenderedPageBreak/>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lastRenderedPageBreak/>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UEs,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UEs, one for </w:t>
      </w:r>
      <w:proofErr w:type="spellStart"/>
      <w:r w:rsidRPr="00482371">
        <w:rPr>
          <w:rFonts w:ascii="Times New Roman" w:hAnsi="Times New Roman"/>
        </w:rPr>
        <w:t>RedCap</w:t>
      </w:r>
      <w:proofErr w:type="spellEnd"/>
      <w:r w:rsidRPr="00482371">
        <w:rPr>
          <w:rFonts w:ascii="Times New Roman" w:hAnsi="Times New Roman"/>
        </w:rPr>
        <w:t xml:space="preserve">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UEs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is 50 MHz, paging configuration for normal NR UEs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UEs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UEs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UEs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UEs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UEs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UEs.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lastRenderedPageBreak/>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w:t>
            </w:r>
            <w:r w:rsidRPr="002C0538">
              <w:rPr>
                <w:lang w:val="en-US"/>
              </w:rPr>
              <w:lastRenderedPageBreak/>
              <w:t xml:space="preserve">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UEs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500FE9FC"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UEs,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bookmarkStart w:id="65" w:name="_GoBack"/>
            <w:bookmarkEnd w:id="65"/>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 xml:space="preserve">This implies that it may be possible to have slower processor with reduced clock frequency, possible distribution of </w:t>
            </w:r>
            <w:r w:rsidR="009721A9" w:rsidRPr="00ED3FEA">
              <w:rPr>
                <w:rFonts w:ascii="Times New Roman" w:hAnsi="Times New Roman"/>
              </w:rPr>
              <w:lastRenderedPageBreak/>
              <w:t>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761398" w:rsidRPr="00ED3FEA" w14:paraId="6B58B6EB" w14:textId="77777777" w:rsidTr="00C73C36">
        <w:tc>
          <w:tcPr>
            <w:tcW w:w="1479" w:type="dxa"/>
          </w:tcPr>
          <w:p w14:paraId="1E0CF7F5" w14:textId="77777777" w:rsidR="00761398" w:rsidRPr="00ED3FEA" w:rsidRDefault="00761398" w:rsidP="00761398">
            <w:pPr>
              <w:jc w:val="both"/>
              <w:rPr>
                <w:lang w:val="en-US" w:eastAsia="ko-KR"/>
              </w:rPr>
            </w:pPr>
          </w:p>
        </w:tc>
        <w:tc>
          <w:tcPr>
            <w:tcW w:w="1372" w:type="dxa"/>
          </w:tcPr>
          <w:p w14:paraId="729137C2" w14:textId="77777777" w:rsidR="00761398" w:rsidRPr="00ED3FEA" w:rsidRDefault="00761398" w:rsidP="00761398">
            <w:pPr>
              <w:tabs>
                <w:tab w:val="left" w:pos="551"/>
              </w:tabs>
              <w:jc w:val="both"/>
              <w:rPr>
                <w:lang w:val="en-US" w:eastAsia="ko-KR"/>
              </w:rPr>
            </w:pPr>
          </w:p>
        </w:tc>
        <w:tc>
          <w:tcPr>
            <w:tcW w:w="6780" w:type="dxa"/>
          </w:tcPr>
          <w:p w14:paraId="481511CD" w14:textId="77777777" w:rsidR="00761398" w:rsidRPr="00ED3FEA" w:rsidRDefault="00761398" w:rsidP="00761398">
            <w:pPr>
              <w:jc w:val="both"/>
              <w:rPr>
                <w:lang w:val="en-US"/>
              </w:rPr>
            </w:pPr>
          </w:p>
        </w:tc>
      </w:tr>
      <w:tr w:rsidR="00761398" w:rsidRPr="00ED3FEA" w14:paraId="00F04978" w14:textId="77777777" w:rsidTr="00C73C36">
        <w:tc>
          <w:tcPr>
            <w:tcW w:w="1479" w:type="dxa"/>
          </w:tcPr>
          <w:p w14:paraId="456E4038" w14:textId="77777777" w:rsidR="00761398" w:rsidRPr="00ED3FEA" w:rsidRDefault="00761398" w:rsidP="00761398">
            <w:pPr>
              <w:jc w:val="both"/>
              <w:rPr>
                <w:lang w:val="en-US" w:eastAsia="ko-KR"/>
              </w:rPr>
            </w:pPr>
          </w:p>
        </w:tc>
        <w:tc>
          <w:tcPr>
            <w:tcW w:w="1372" w:type="dxa"/>
          </w:tcPr>
          <w:p w14:paraId="31A27F15" w14:textId="77777777" w:rsidR="00761398" w:rsidRPr="00ED3FEA" w:rsidRDefault="00761398" w:rsidP="00761398">
            <w:pPr>
              <w:tabs>
                <w:tab w:val="left" w:pos="551"/>
              </w:tabs>
              <w:jc w:val="both"/>
              <w:rPr>
                <w:lang w:val="en-US" w:eastAsia="ko-KR"/>
              </w:rPr>
            </w:pPr>
          </w:p>
        </w:tc>
        <w:tc>
          <w:tcPr>
            <w:tcW w:w="6780" w:type="dxa"/>
          </w:tcPr>
          <w:p w14:paraId="41F22132" w14:textId="77777777" w:rsidR="00761398" w:rsidRPr="00ED3FEA" w:rsidRDefault="00761398" w:rsidP="00761398">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lastRenderedPageBreak/>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5" w:name="_Toc42165618"/>
      <w:bookmarkStart w:id="76" w:name="_Toc51768553"/>
      <w:bookmarkStart w:id="77" w:name="_Toc51771060"/>
      <w:r>
        <w:lastRenderedPageBreak/>
        <w:t>7</w:t>
      </w:r>
      <w:r w:rsidRPr="000E647A">
        <w:t>.</w:t>
      </w:r>
      <w:r>
        <w:t>5</w:t>
      </w:r>
      <w:r w:rsidRPr="000E647A">
        <w:t>.4</w:t>
      </w:r>
      <w:r w:rsidRPr="000E647A">
        <w:tab/>
        <w:t xml:space="preserve">Analysis of </w:t>
      </w:r>
      <w:r>
        <w:t>coexistence with legacy UEs</w:t>
      </w:r>
      <w:bookmarkEnd w:id="75"/>
      <w:bookmarkEnd w:id="76"/>
      <w:bookmarkEnd w:id="77"/>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UEs, </w:t>
      </w:r>
      <w:proofErr w:type="spellStart"/>
      <w:r w:rsidRPr="00ED3FEA">
        <w:rPr>
          <w:lang w:eastAsia="ja-JP"/>
        </w:rPr>
        <w:t>RedCap</w:t>
      </w:r>
      <w:proofErr w:type="spellEnd"/>
      <w:r w:rsidRPr="00ED3FEA">
        <w:rPr>
          <w:lang w:eastAsia="ja-JP"/>
        </w:rPr>
        <w:t xml:space="preserve">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8" w:name="_Toc42165619"/>
      <w:bookmarkStart w:id="79" w:name="_Toc51768554"/>
      <w:bookmarkStart w:id="80" w:name="_Toc51771061"/>
      <w:r>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1" w:name="_Toc42165621"/>
      <w:bookmarkStart w:id="82" w:name="_Toc51768556"/>
      <w:bookmarkStart w:id="83" w:name="_Toc51771063"/>
      <w:r>
        <w:lastRenderedPageBreak/>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lastRenderedPageBreak/>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4" w:name="_Toc42165622"/>
      <w:bookmarkStart w:id="85" w:name="_Toc51768557"/>
      <w:bookmarkStart w:id="86" w:name="_Toc51771064"/>
      <w:r>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7" w:name="_Toc42165623"/>
      <w:bookmarkStart w:id="88" w:name="_Toc51768558"/>
      <w:bookmarkStart w:id="89" w:name="_Toc51771065"/>
      <w:r>
        <w:lastRenderedPageBreak/>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UEs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90" w:name="_Toc42165624"/>
      <w:bookmarkStart w:id="91" w:name="_Toc51768559"/>
      <w:bookmarkStart w:id="92" w:name="_Toc51771066"/>
      <w:r>
        <w:t>7</w:t>
      </w:r>
      <w:r w:rsidRPr="000E647A">
        <w:t>.</w:t>
      </w:r>
      <w:r>
        <w:t>6</w:t>
      </w:r>
      <w:r w:rsidRPr="000E647A">
        <w:t>.4</w:t>
      </w:r>
      <w:r w:rsidRPr="000E647A">
        <w:tab/>
        <w:t xml:space="preserve">Analysis of </w:t>
      </w:r>
      <w:r>
        <w:t>coexistence with legacy UEs</w:t>
      </w:r>
      <w:bookmarkEnd w:id="90"/>
      <w:bookmarkEnd w:id="91"/>
      <w:bookmarkEnd w:id="9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UEs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UEs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lastRenderedPageBreak/>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6" w:name="_Toc42165626"/>
      <w:bookmarkStart w:id="97" w:name="_Toc51768561"/>
      <w:bookmarkStart w:id="9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w:t>
      </w:r>
      <w:r w:rsidR="00146113">
        <w:rPr>
          <w:b/>
          <w:bCs/>
        </w:rPr>
        <w:lastRenderedPageBreak/>
        <w:t>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777777"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6B6DB260" w14:textId="7777777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1AA3646F" w14:textId="77777777"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p w14:paraId="0950B425" w14:textId="77777777"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44D493D1" w14:textId="77777777" w:rsidR="00183ABF" w:rsidRPr="000962AC" w:rsidRDefault="00183ABF" w:rsidP="00761398">
            <w:pPr>
              <w:jc w:val="both"/>
              <w:rPr>
                <w:lang w:val="en-US"/>
              </w:rPr>
            </w:pPr>
            <w:r>
              <w:rPr>
                <w:rFonts w:eastAsia="DengXian" w:hint="eastAsia"/>
                <w:lang w:val="en-US" w:eastAsia="zh-CN"/>
              </w:rPr>
              <w:t>2</w:t>
            </w:r>
            <w:r>
              <w:rPr>
                <w:rFonts w:eastAsia="DengXian"/>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lastRenderedPageBreak/>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UEs would mostly be in RRC_IDLE/INACTIVE states. Furthermore, </w:t>
      </w:r>
      <w:r w:rsidR="00B73947" w:rsidRPr="00727E90">
        <w:rPr>
          <w:rFonts w:ascii="Times New Roman" w:hAnsi="Times New Roman"/>
        </w:rPr>
        <w:lastRenderedPageBreak/>
        <w:t xml:space="preserve">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bl>
    <w:p w14:paraId="77281282" w14:textId="77777777" w:rsidR="00A2056C" w:rsidRPr="000962AC" w:rsidRDefault="00A2056C" w:rsidP="00A2056C">
      <w:pPr>
        <w:jc w:val="both"/>
        <w:rPr>
          <w:bCs/>
        </w:rPr>
      </w:pPr>
    </w:p>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lastRenderedPageBreak/>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UEs) and narrow BW limitation for </w:t>
            </w:r>
            <w:proofErr w:type="spellStart"/>
            <w:r w:rsidRPr="002E6B56">
              <w:rPr>
                <w:rFonts w:eastAsia="Times New Roman"/>
              </w:rPr>
              <w:t>RedCap</w:t>
            </w:r>
            <w:proofErr w:type="spellEnd"/>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Heading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7219B24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lastRenderedPageBreak/>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 xml:space="preserve">the results for </w:t>
            </w:r>
            <w:r w:rsidR="00CD7646">
              <w:rPr>
                <w:rFonts w:ascii="Times New Roman" w:eastAsia="DengXian" w:hAnsi="Times New Roman"/>
              </w:rPr>
              <w:t>{20MHz, 1RX, HD-FDD</w:t>
            </w:r>
            <w:r w:rsidR="00CD7646">
              <w:rPr>
                <w:rFonts w:ascii="Times New Roman" w:eastAsia="DengXian" w:hAnsi="Times New Roman"/>
              </w:rPr>
              <w:t xml:space="preserve">} and </w:t>
            </w:r>
            <w:r w:rsidR="00CD7646">
              <w:rPr>
                <w:rFonts w:ascii="Times New Roman" w:eastAsia="DengXian" w:hAnsi="Times New Roman"/>
              </w:rPr>
              <w:t xml:space="preserve">{20MHz, 1RX, </w:t>
            </w:r>
            <w:r w:rsidR="00CD7646">
              <w:rPr>
                <w:rFonts w:ascii="Times New Roman" w:eastAsia="DengXian" w:hAnsi="Times New Roman"/>
              </w:rPr>
              <w:t>6QAM DL</w:t>
            </w:r>
            <w:r w:rsidR="00CD7646">
              <w:rPr>
                <w:rFonts w:ascii="Times New Roman" w:eastAsia="DengXian" w:hAnsi="Times New Roman"/>
              </w:rPr>
              <w:t>}</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03856"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03856"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lastRenderedPageBreak/>
              <w:t>[3]</w:t>
            </w:r>
          </w:p>
        </w:tc>
        <w:tc>
          <w:tcPr>
            <w:tcW w:w="1456" w:type="dxa"/>
            <w:tcMar>
              <w:top w:w="0" w:type="dxa"/>
              <w:left w:w="70" w:type="dxa"/>
              <w:bottom w:w="0" w:type="dxa"/>
              <w:right w:w="70" w:type="dxa"/>
            </w:tcMar>
            <w:hideMark/>
          </w:tcPr>
          <w:p w14:paraId="1DD8FD26" w14:textId="09A2CE51" w:rsidR="00903501" w:rsidRPr="00903501" w:rsidRDefault="00D03856"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03856"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03856"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03856"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03856"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03856"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03856"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03856"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03856"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03856"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03856"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03856"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03856"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03856"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03856"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03856"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03856"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03856"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03856"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03856"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D03856"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03856"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03856"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03856"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03856"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03856"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03856"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lastRenderedPageBreak/>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03856"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03856"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03856"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03856"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03856"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03856"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03856"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03856"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03856"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654F" w14:textId="77777777" w:rsidR="00D03856" w:rsidRDefault="00D03856" w:rsidP="00581A60">
      <w:pPr>
        <w:spacing w:after="0"/>
      </w:pPr>
      <w:r>
        <w:separator/>
      </w:r>
    </w:p>
  </w:endnote>
  <w:endnote w:type="continuationSeparator" w:id="0">
    <w:p w14:paraId="0DC9ED7E" w14:textId="77777777" w:rsidR="00D03856" w:rsidRDefault="00D03856" w:rsidP="00581A60">
      <w:pPr>
        <w:spacing w:after="0"/>
      </w:pPr>
      <w:r>
        <w:continuationSeparator/>
      </w:r>
    </w:p>
  </w:endnote>
  <w:endnote w:type="continuationNotice" w:id="1">
    <w:p w14:paraId="5F4E8923" w14:textId="77777777" w:rsidR="00D03856" w:rsidRDefault="00D03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CB0B" w14:textId="77777777" w:rsidR="00D03856" w:rsidRDefault="00D03856" w:rsidP="00581A60">
      <w:pPr>
        <w:spacing w:after="0"/>
      </w:pPr>
      <w:r>
        <w:separator/>
      </w:r>
    </w:p>
  </w:footnote>
  <w:footnote w:type="continuationSeparator" w:id="0">
    <w:p w14:paraId="7272E91A" w14:textId="77777777" w:rsidR="00D03856" w:rsidRDefault="00D03856" w:rsidP="00581A60">
      <w:pPr>
        <w:spacing w:after="0"/>
      </w:pPr>
      <w:r>
        <w:continuationSeparator/>
      </w:r>
    </w:p>
  </w:footnote>
  <w:footnote w:type="continuationNotice" w:id="1">
    <w:p w14:paraId="78011C9A" w14:textId="77777777" w:rsidR="00D03856" w:rsidRDefault="00D038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5"/>
  </w:num>
  <w:num w:numId="4">
    <w:abstractNumId w:val="14"/>
  </w:num>
  <w:num w:numId="5">
    <w:abstractNumId w:val="24"/>
  </w:num>
  <w:num w:numId="6">
    <w:abstractNumId w:val="8"/>
  </w:num>
  <w:num w:numId="7">
    <w:abstractNumId w:val="20"/>
  </w:num>
  <w:num w:numId="8">
    <w:abstractNumId w:val="0"/>
  </w:num>
  <w:num w:numId="9">
    <w:abstractNumId w:val="17"/>
  </w:num>
  <w:num w:numId="10">
    <w:abstractNumId w:val="10"/>
  </w:num>
  <w:num w:numId="11">
    <w:abstractNumId w:val="28"/>
  </w:num>
  <w:num w:numId="12">
    <w:abstractNumId w:val="25"/>
  </w:num>
  <w:num w:numId="13">
    <w:abstractNumId w:val="21"/>
  </w:num>
  <w:num w:numId="14">
    <w:abstractNumId w:val="1"/>
  </w:num>
  <w:num w:numId="15">
    <w:abstractNumId w:val="7"/>
  </w:num>
  <w:num w:numId="16">
    <w:abstractNumId w:val="27"/>
  </w:num>
  <w:num w:numId="17">
    <w:abstractNumId w:val="16"/>
  </w:num>
  <w:num w:numId="18">
    <w:abstractNumId w:val="3"/>
  </w:num>
  <w:num w:numId="19">
    <w:abstractNumId w:val="12"/>
  </w:num>
  <w:num w:numId="20">
    <w:abstractNumId w:val="2"/>
  </w:num>
  <w:num w:numId="21">
    <w:abstractNumId w:val="9"/>
  </w:num>
  <w:num w:numId="22">
    <w:abstractNumId w:val="23"/>
  </w:num>
  <w:num w:numId="23">
    <w:abstractNumId w:val="18"/>
  </w:num>
  <w:num w:numId="24">
    <w:abstractNumId w:val="4"/>
  </w:num>
  <w:num w:numId="25">
    <w:abstractNumId w:val="5"/>
  </w:num>
  <w:num w:numId="26">
    <w:abstractNumId w:val="22"/>
  </w:num>
  <w:num w:numId="27">
    <w:abstractNumId w:val="26"/>
  </w:num>
  <w:num w:numId="28">
    <w:abstractNumId w:val="13"/>
  </w:num>
  <w:num w:numId="29">
    <w:abstractNumId w:val="30"/>
  </w:num>
  <w:num w:numId="30">
    <w:abstractNumId w:val="6"/>
  </w:num>
  <w:num w:numId="31">
    <w:abstractNumId w:val="19"/>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283"/>
    <w:rsid w:val="000E4A64"/>
    <w:rsid w:val="000E4A6F"/>
    <w:rsid w:val="000E4CF6"/>
    <w:rsid w:val="000E4EA8"/>
    <w:rsid w:val="000E51EC"/>
    <w:rsid w:val="000E61C0"/>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23EA"/>
    <w:rsid w:val="004B4141"/>
    <w:rsid w:val="004B432B"/>
    <w:rsid w:val="004B490A"/>
    <w:rsid w:val="004B499D"/>
    <w:rsid w:val="004B5C2F"/>
    <w:rsid w:val="004B5CED"/>
    <w:rsid w:val="004B5F27"/>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171"/>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0726"/>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660"/>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9E"/>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084B"/>
    <w:rsid w:val="00AB1205"/>
    <w:rsid w:val="00AB129A"/>
    <w:rsid w:val="00AB1431"/>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F70"/>
    <w:rsid w:val="00B75FC3"/>
    <w:rsid w:val="00B765EC"/>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1392"/>
    <w:rsid w:val="00CB3175"/>
    <w:rsid w:val="00CB3415"/>
    <w:rsid w:val="00CB36DD"/>
    <w:rsid w:val="00CB3EA0"/>
    <w:rsid w:val="00CB4BEC"/>
    <w:rsid w:val="00CB501C"/>
    <w:rsid w:val="00CB60D9"/>
    <w:rsid w:val="00CB6B2F"/>
    <w:rsid w:val="00CB6ECE"/>
    <w:rsid w:val="00CB7C9F"/>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FF9B0-7FD5-418F-B7B7-68E3CB22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59</Pages>
  <Words>22684</Words>
  <Characters>129300</Characters>
  <Application>Microsoft Office Word</Application>
  <DocSecurity>0</DocSecurity>
  <Lines>1077</Lines>
  <Paragraphs>303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151681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78</cp:revision>
  <dcterms:created xsi:type="dcterms:W3CDTF">2020-10-27T17:56:00Z</dcterms:created>
  <dcterms:modified xsi:type="dcterms:W3CDTF">2020-10-27T23:04:00Z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ies>
</file>