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77777777" w:rsidR="005B3ABA" w:rsidRPr="008E3AB5" w:rsidRDefault="005B3ABA" w:rsidP="005B3ABA">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lastRenderedPageBreak/>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lastRenderedPageBreak/>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w:t>
      </w:r>
      <w:r w:rsidRPr="000962AC">
        <w:lastRenderedPageBreak/>
        <w:t xml:space="preserve">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w:t>
      </w:r>
      <w:r w:rsidR="00AF102D" w:rsidRPr="000962AC">
        <w:rPr>
          <w:rFonts w:ascii="Times New Roman" w:hAnsi="Times New Roman"/>
        </w:rPr>
        <w:lastRenderedPageBreak/>
        <w:t>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lastRenderedPageBreak/>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It also needs justification how 1 Rx can support more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lastRenderedPageBreak/>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lastRenderedPageBreak/>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lastRenderedPageBreak/>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3D6DE53D" w:rsidR="00AD4710" w:rsidRDefault="00AD4710" w:rsidP="00AD4710">
            <w:pPr>
              <w:jc w:val="both"/>
              <w:rPr>
                <w:lang w:val="en-US" w:eastAsia="zh-CN"/>
              </w:rPr>
            </w:pPr>
            <w:r>
              <w:rPr>
                <w:lang w:val="en-US" w:eastAsia="zh-CN"/>
              </w:rPr>
              <w:t>2 RX can also be supported based on use case requirements.</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lastRenderedPageBreak/>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lastRenderedPageBreak/>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w:t>
      </w:r>
      <w:r w:rsidR="007B01F4" w:rsidRPr="00482371">
        <w:rPr>
          <w:rFonts w:ascii="Times New Roman" w:hAnsi="Times New Roman"/>
        </w:rPr>
        <w:lastRenderedPageBreak/>
        <w:t xml:space="preserve">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For FR1, most contributions are fine with considering only 20 MHz.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w:t>
      </w:r>
      <w:r w:rsidRPr="00482371">
        <w:rPr>
          <w:rFonts w:ascii="Times New Roman" w:hAnsi="Times New Roman"/>
        </w:rPr>
        <w:lastRenderedPageBreak/>
        <w:t>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lastRenderedPageBreak/>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lastRenderedPageBreak/>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761398" w:rsidRPr="00ED3FEA" w14:paraId="6B58B6EB" w14:textId="77777777" w:rsidTr="00C73C36">
        <w:tc>
          <w:tcPr>
            <w:tcW w:w="1479" w:type="dxa"/>
          </w:tcPr>
          <w:p w14:paraId="1E0CF7F5" w14:textId="77777777" w:rsidR="00761398" w:rsidRPr="00ED3FEA" w:rsidRDefault="00761398" w:rsidP="00761398">
            <w:pPr>
              <w:jc w:val="both"/>
              <w:rPr>
                <w:lang w:val="en-US" w:eastAsia="ko-KR"/>
              </w:rPr>
            </w:pPr>
          </w:p>
        </w:tc>
        <w:tc>
          <w:tcPr>
            <w:tcW w:w="1372" w:type="dxa"/>
          </w:tcPr>
          <w:p w14:paraId="729137C2" w14:textId="77777777" w:rsidR="00761398" w:rsidRPr="00ED3FEA" w:rsidRDefault="00761398" w:rsidP="00761398">
            <w:pPr>
              <w:tabs>
                <w:tab w:val="left" w:pos="551"/>
              </w:tabs>
              <w:jc w:val="both"/>
              <w:rPr>
                <w:lang w:val="en-US" w:eastAsia="ko-KR"/>
              </w:rPr>
            </w:pPr>
          </w:p>
        </w:tc>
        <w:tc>
          <w:tcPr>
            <w:tcW w:w="6780" w:type="dxa"/>
          </w:tcPr>
          <w:p w14:paraId="481511CD" w14:textId="77777777" w:rsidR="00761398" w:rsidRPr="00ED3FEA" w:rsidRDefault="00761398" w:rsidP="00761398">
            <w:pPr>
              <w:jc w:val="both"/>
              <w:rPr>
                <w:lang w:val="en-US"/>
              </w:rPr>
            </w:pPr>
          </w:p>
        </w:tc>
      </w:tr>
      <w:tr w:rsidR="00761398" w:rsidRPr="00ED3FEA" w14:paraId="00F04978" w14:textId="77777777" w:rsidTr="00C73C36">
        <w:tc>
          <w:tcPr>
            <w:tcW w:w="1479" w:type="dxa"/>
          </w:tcPr>
          <w:p w14:paraId="456E4038" w14:textId="77777777" w:rsidR="00761398" w:rsidRPr="00ED3FEA" w:rsidRDefault="00761398" w:rsidP="00761398">
            <w:pPr>
              <w:jc w:val="both"/>
              <w:rPr>
                <w:lang w:val="en-US" w:eastAsia="ko-KR"/>
              </w:rPr>
            </w:pPr>
          </w:p>
        </w:tc>
        <w:tc>
          <w:tcPr>
            <w:tcW w:w="1372" w:type="dxa"/>
          </w:tcPr>
          <w:p w14:paraId="31A27F15" w14:textId="77777777" w:rsidR="00761398" w:rsidRPr="00ED3FEA" w:rsidRDefault="00761398" w:rsidP="00761398">
            <w:pPr>
              <w:tabs>
                <w:tab w:val="left" w:pos="551"/>
              </w:tabs>
              <w:jc w:val="both"/>
              <w:rPr>
                <w:lang w:val="en-US" w:eastAsia="ko-KR"/>
              </w:rPr>
            </w:pPr>
          </w:p>
        </w:tc>
        <w:tc>
          <w:tcPr>
            <w:tcW w:w="6780" w:type="dxa"/>
          </w:tcPr>
          <w:p w14:paraId="41F22132" w14:textId="77777777" w:rsidR="00761398" w:rsidRPr="00ED3FEA" w:rsidRDefault="00761398" w:rsidP="00761398">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w:t>
            </w:r>
            <w:r w:rsidRPr="003B10A1">
              <w:rPr>
                <w:rFonts w:ascii="Times New Roman" w:hAnsi="Times New Roman"/>
              </w:rPr>
              <w:lastRenderedPageBreak/>
              <w:t xml:space="preserve">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lastRenderedPageBreak/>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777777"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6B6DB260" w14:textId="7777777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1AA3646F" w14:textId="77777777"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p w14:paraId="0950B425" w14:textId="77777777"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44D493D1" w14:textId="77777777" w:rsidR="00183ABF" w:rsidRPr="000962AC" w:rsidRDefault="00183ABF" w:rsidP="00761398">
            <w:pPr>
              <w:jc w:val="both"/>
              <w:rPr>
                <w:lang w:val="en-US"/>
              </w:rPr>
            </w:pPr>
            <w:r>
              <w:rPr>
                <w:rFonts w:eastAsia="DengXian" w:hint="eastAsia"/>
                <w:lang w:val="en-US" w:eastAsia="zh-CN"/>
              </w:rPr>
              <w:t>2</w:t>
            </w:r>
            <w:r>
              <w:rPr>
                <w:rFonts w:eastAsia="DengXian"/>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lastRenderedPageBreak/>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lastRenderedPageBreak/>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lastRenderedPageBreak/>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bl>
    <w:p w14:paraId="77281282" w14:textId="77777777" w:rsidR="00A2056C" w:rsidRPr="000962AC" w:rsidRDefault="00A2056C" w:rsidP="00A2056C">
      <w:pPr>
        <w:jc w:val="both"/>
        <w:rPr>
          <w:bCs/>
        </w:rPr>
      </w:pPr>
    </w:p>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lastRenderedPageBreak/>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7219B24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lastRenderedPageBreak/>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1" w:name="_Toc42165629"/>
      <w:bookmarkStart w:id="102" w:name="_Toc51768564"/>
      <w:bookmarkStart w:id="103" w:name="_Toc51771071"/>
      <w:r>
        <w:t>7</w:t>
      </w:r>
      <w:r w:rsidRPr="000E647A">
        <w:t>.</w:t>
      </w:r>
      <w:r w:rsidR="006A0EB3">
        <w:t>9</w:t>
      </w:r>
      <w:r w:rsidRPr="000E647A">
        <w:t>.3</w:t>
      </w:r>
      <w:r w:rsidRPr="000E647A">
        <w:tab/>
        <w:t xml:space="preserve">Analysis of </w:t>
      </w:r>
      <w:r>
        <w:t>performance impacts</w:t>
      </w:r>
      <w:bookmarkEnd w:id="101"/>
      <w:bookmarkEnd w:id="102"/>
      <w:bookmarkEnd w:id="103"/>
    </w:p>
    <w:p w14:paraId="596FE55B" w14:textId="338B146C" w:rsidR="00090EF0" w:rsidRPr="000E647A" w:rsidRDefault="00090EF0" w:rsidP="00090EF0">
      <w:pPr>
        <w:pStyle w:val="Heading3"/>
      </w:pPr>
      <w:bookmarkStart w:id="104" w:name="_Toc42165630"/>
      <w:bookmarkStart w:id="105" w:name="_Toc51768565"/>
      <w:bookmarkStart w:id="106" w:name="_Toc51771072"/>
      <w:r>
        <w:t>7</w:t>
      </w:r>
      <w:r w:rsidRPr="000E647A">
        <w:t>.</w:t>
      </w:r>
      <w:r w:rsidR="006A0EB3">
        <w:t>9</w:t>
      </w:r>
      <w:r w:rsidRPr="000E647A">
        <w:t>.4</w:t>
      </w:r>
      <w:r w:rsidRPr="000E647A">
        <w:tab/>
        <w:t xml:space="preserve">Analysis of </w:t>
      </w:r>
      <w:r>
        <w:t>coexistence with legacy UEs</w:t>
      </w:r>
      <w:bookmarkEnd w:id="104"/>
      <w:bookmarkEnd w:id="105"/>
      <w:bookmarkEnd w:id="106"/>
    </w:p>
    <w:p w14:paraId="34BEBF22" w14:textId="55F702ED" w:rsidR="00090EF0" w:rsidRPr="000E647A" w:rsidRDefault="00090EF0" w:rsidP="00090EF0">
      <w:pPr>
        <w:pStyle w:val="Heading3"/>
      </w:pPr>
      <w:bookmarkStart w:id="107" w:name="_Toc42165631"/>
      <w:bookmarkStart w:id="108" w:name="_Toc51768566"/>
      <w:bookmarkStart w:id="109" w:name="_Toc51771073"/>
      <w:r>
        <w:t>7</w:t>
      </w:r>
      <w:r w:rsidRPr="000E647A">
        <w:t>.</w:t>
      </w:r>
      <w:r w:rsidR="006A0EB3">
        <w:t>9</w:t>
      </w:r>
      <w:r w:rsidRPr="000E647A">
        <w:t>.</w:t>
      </w:r>
      <w:r>
        <w:t>5</w:t>
      </w:r>
      <w:r w:rsidRPr="000E647A">
        <w:tab/>
        <w:t>Analysis of specification impacts</w:t>
      </w:r>
      <w:bookmarkEnd w:id="107"/>
      <w:bookmarkEnd w:id="108"/>
      <w:bookmarkEnd w:id="10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0" w:name="_Toc42034927"/>
      <w:bookmarkStart w:id="111" w:name="_Toc42211937"/>
      <w:bookmarkStart w:id="112" w:name="_Hlk41391803"/>
      <w:r>
        <w:t>References</w:t>
      </w:r>
      <w:bookmarkEnd w:id="110"/>
      <w:bookmarkEnd w:id="1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D4A96"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D4A96"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D4A96"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D4A96"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D4A96"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9D4A96"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9D4A96"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D4A96"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9D4A96"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D4A96"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D4A96"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D4A96"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D4A96"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D4A96"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D4A96"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D4A96"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D4A96"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D4A96"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9D4A96"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9D4A96"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D4A96"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D4A96"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9D4A96"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D4A96"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D4A96"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9D4A96"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D4A96"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D4A96"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D4A96"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D4A96"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D4A96"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D4A96"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D4A96"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D4A96"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D4A96"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D4A96"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D4A96"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D4A96"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D3827" w14:textId="77777777" w:rsidR="00E52A3C" w:rsidRDefault="00E52A3C" w:rsidP="00581A60">
      <w:pPr>
        <w:spacing w:after="0"/>
      </w:pPr>
      <w:r>
        <w:separator/>
      </w:r>
    </w:p>
  </w:endnote>
  <w:endnote w:type="continuationSeparator" w:id="0">
    <w:p w14:paraId="2E4224DF" w14:textId="77777777" w:rsidR="00E52A3C" w:rsidRDefault="00E52A3C" w:rsidP="00581A60">
      <w:pPr>
        <w:spacing w:after="0"/>
      </w:pPr>
      <w:r>
        <w:continuationSeparator/>
      </w:r>
    </w:p>
  </w:endnote>
  <w:endnote w:type="continuationNotice" w:id="1">
    <w:p w14:paraId="5774A475" w14:textId="77777777" w:rsidR="00E52A3C" w:rsidRDefault="00E52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510BC" w14:textId="77777777" w:rsidR="00E52A3C" w:rsidRDefault="00E52A3C" w:rsidP="00581A60">
      <w:pPr>
        <w:spacing w:after="0"/>
      </w:pPr>
      <w:r>
        <w:separator/>
      </w:r>
    </w:p>
  </w:footnote>
  <w:footnote w:type="continuationSeparator" w:id="0">
    <w:p w14:paraId="66DD4251" w14:textId="77777777" w:rsidR="00E52A3C" w:rsidRDefault="00E52A3C" w:rsidP="00581A60">
      <w:pPr>
        <w:spacing w:after="0"/>
      </w:pPr>
      <w:r>
        <w:continuationSeparator/>
      </w:r>
    </w:p>
  </w:footnote>
  <w:footnote w:type="continuationNotice" w:id="1">
    <w:p w14:paraId="09F13AE8" w14:textId="77777777" w:rsidR="00E52A3C" w:rsidRDefault="00E52A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5"/>
  </w:num>
  <w:num w:numId="4">
    <w:abstractNumId w:val="14"/>
  </w:num>
  <w:num w:numId="5">
    <w:abstractNumId w:val="24"/>
  </w:num>
  <w:num w:numId="6">
    <w:abstractNumId w:val="8"/>
  </w:num>
  <w:num w:numId="7">
    <w:abstractNumId w:val="20"/>
  </w:num>
  <w:num w:numId="8">
    <w:abstractNumId w:val="0"/>
  </w:num>
  <w:num w:numId="9">
    <w:abstractNumId w:val="17"/>
  </w:num>
  <w:num w:numId="10">
    <w:abstractNumId w:val="10"/>
  </w:num>
  <w:num w:numId="11">
    <w:abstractNumId w:val="28"/>
  </w:num>
  <w:num w:numId="12">
    <w:abstractNumId w:val="25"/>
  </w:num>
  <w:num w:numId="13">
    <w:abstractNumId w:val="21"/>
  </w:num>
  <w:num w:numId="14">
    <w:abstractNumId w:val="1"/>
  </w:num>
  <w:num w:numId="15">
    <w:abstractNumId w:val="7"/>
  </w:num>
  <w:num w:numId="16">
    <w:abstractNumId w:val="27"/>
  </w:num>
  <w:num w:numId="17">
    <w:abstractNumId w:val="16"/>
  </w:num>
  <w:num w:numId="18">
    <w:abstractNumId w:val="3"/>
  </w:num>
  <w:num w:numId="19">
    <w:abstractNumId w:val="12"/>
  </w:num>
  <w:num w:numId="20">
    <w:abstractNumId w:val="2"/>
  </w:num>
  <w:num w:numId="21">
    <w:abstractNumId w:val="9"/>
  </w:num>
  <w:num w:numId="22">
    <w:abstractNumId w:val="23"/>
  </w:num>
  <w:num w:numId="23">
    <w:abstractNumId w:val="18"/>
  </w:num>
  <w:num w:numId="24">
    <w:abstractNumId w:val="4"/>
  </w:num>
  <w:num w:numId="25">
    <w:abstractNumId w:val="5"/>
  </w:num>
  <w:num w:numId="26">
    <w:abstractNumId w:val="22"/>
  </w:num>
  <w:num w:numId="27">
    <w:abstractNumId w:val="26"/>
  </w:num>
  <w:num w:numId="28">
    <w:abstractNumId w:val="13"/>
  </w:num>
  <w:num w:numId="29">
    <w:abstractNumId w:val="30"/>
  </w:num>
  <w:num w:numId="30">
    <w:abstractNumId w:val="6"/>
  </w:num>
  <w:num w:numId="31">
    <w:abstractNumId w:val="19"/>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61C0"/>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2F"/>
    <w:rsid w:val="004B5CED"/>
    <w:rsid w:val="004B5F27"/>
    <w:rsid w:val="004B78CC"/>
    <w:rsid w:val="004C0072"/>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0726"/>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E7DD6"/>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9E"/>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084B"/>
    <w:rsid w:val="00AB1205"/>
    <w:rsid w:val="00AB129A"/>
    <w:rsid w:val="00AB1431"/>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F70"/>
    <w:rsid w:val="00B75FC3"/>
    <w:rsid w:val="00B765EC"/>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1392"/>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9A47D-4098-4727-9B82-573C40C997F5}">
  <ds:schemaRefs>
    <ds:schemaRef ds:uri="http://schemas.openxmlformats.org/officeDocument/2006/bibliography"/>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22406</Words>
  <Characters>127717</Characters>
  <Application>Microsoft Office Word</Application>
  <DocSecurity>0</DocSecurity>
  <Lines>1064</Lines>
  <Paragraphs>299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24</cp:revision>
  <dcterms:created xsi:type="dcterms:W3CDTF">2020-10-27T17:56:00Z</dcterms:created>
  <dcterms:modified xsi:type="dcterms:W3CDTF">2020-10-27T18:12:00Z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ies>
</file>