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E5D34" w14:textId="77777777"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宋体"/>
          <w:lang w:eastAsia="zh-CN"/>
        </w:rPr>
      </w:pPr>
      <w:r>
        <w:rPr>
          <w:rFonts w:eastAsia="宋体"/>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宋体"/>
          <w:lang w:eastAsia="zh-CN"/>
        </w:rPr>
      </w:pPr>
      <w:r>
        <w:rPr>
          <w:rFonts w:eastAsia="宋体"/>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77777777" w:rsidR="007321B3" w:rsidRDefault="007321B3">
      <w:pPr>
        <w:pStyle w:val="BodyText"/>
        <w:spacing w:after="0"/>
        <w:rPr>
          <w:rFonts w:ascii="Times New Roman" w:hAnsi="Times New Roman"/>
          <w:sz w:val="22"/>
          <w:szCs w:val="22"/>
          <w:lang w:eastAsia="zh-CN"/>
        </w:rPr>
      </w:pPr>
    </w:p>
    <w:p w14:paraId="4E0DF7C1" w14:textId="77777777" w:rsidR="007321B3" w:rsidRDefault="007321B3">
      <w:pPr>
        <w:pStyle w:val="BodyText"/>
        <w:spacing w:after="0"/>
        <w:rPr>
          <w:rFonts w:ascii="Times New Roman" w:hAnsi="Times New Roman"/>
          <w:sz w:val="22"/>
          <w:szCs w:val="22"/>
          <w:lang w:eastAsia="zh-CN"/>
        </w:rPr>
      </w:pPr>
    </w:p>
    <w:p w14:paraId="08E69350" w14:textId="77777777"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77777777" w:rsidR="007321B3" w:rsidRDefault="007321B3">
      <w:pPr>
        <w:pStyle w:val="ListParagraph"/>
        <w:spacing w:line="256" w:lineRule="auto"/>
        <w:ind w:left="1296"/>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83431C">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83431C">
            <w:pPr>
              <w:overflowPunct/>
              <w:autoSpaceDE/>
              <w:adjustRightInd/>
              <w:spacing w:after="0"/>
              <w:rPr>
                <w:lang w:eastAsia="zh-CN"/>
              </w:rPr>
            </w:pPr>
            <w:r>
              <w:rPr>
                <w:rFonts w:hint="eastAsia"/>
                <w:lang w:eastAsia="zh-CN"/>
              </w:rPr>
              <w:t>The choice of numerology</w:t>
            </w:r>
            <w:r>
              <w:rPr>
                <w:lang w:eastAsia="zh-CN"/>
              </w:rPr>
              <w:t>(ies)</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7.9pt" o:ole="">
                        <v:imagedata r:id="rId15" o:title=""/>
                      </v:shape>
                      <o:OLEObject Type="Embed" ProgID="Equation.3" ShapeID="_x0000_i1025" DrawAspect="Content" ObjectID="_1665333413" r:id="rId16"/>
                    </w:object>
                  </w:r>
                  <w:r>
                    <w:t xml:space="preserve">should be updated since it is defined as </w:t>
                  </w:r>
                  <w:r>
                    <w:rPr>
                      <w:rFonts w:ascii="Times New Roman" w:hAnsi="Times New Roman"/>
                      <w:position w:val="-12"/>
                    </w:rPr>
                    <w:object w:dxaOrig="1740" w:dyaOrig="375" w14:anchorId="7A8FF72A">
                      <v:shape id="_x0000_i1026" type="#_x0000_t75" style="width:87.4pt;height:18.75pt" o:ole="">
                        <v:imagedata r:id="rId17" o:title=""/>
                      </v:shape>
                      <o:OLEObject Type="Embed" ProgID="Equation.3" ShapeID="_x0000_i1026" DrawAspect="Content" ObjectID="_166533341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83431C">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83431C">
            <w:pPr>
              <w:overflowPunct/>
              <w:autoSpaceDE/>
              <w:adjustRightInd/>
              <w:spacing w:after="0"/>
              <w:rPr>
                <w:rFonts w:eastAsiaTheme="minorEastAsia"/>
                <w:lang w:val="sv-SE" w:eastAsia="ko-KR"/>
              </w:rPr>
            </w:pPr>
            <w:r w:rsidRPr="00E57E82">
              <w:rPr>
                <w:rFonts w:eastAsiaTheme="minorEastAsia"/>
                <w:lang w:val="sv-SE" w:eastAsia="ko-KR"/>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E57E82" w14:paraId="5AB818A6" w14:textId="77777777" w:rsidTr="0058288B">
                                    <w:tc>
                                      <w:tcPr>
                                        <w:tcW w:w="1129" w:type="dxa"/>
                                      </w:tcPr>
                                      <w:p w14:paraId="7F2EB2AC" w14:textId="77777777" w:rsidR="00E57E82" w:rsidRDefault="00E57E82" w:rsidP="0058288B">
                                        <w:pPr>
                                          <w:rPr>
                                            <w:lang w:val="sv-SE"/>
                                          </w:rPr>
                                        </w:pPr>
                                        <w:r>
                                          <w:rPr>
                                            <w:lang w:val="sv-SE"/>
                                          </w:rPr>
                                          <w:t>SCS</w:t>
                                        </w:r>
                                      </w:p>
                                    </w:tc>
                                    <w:tc>
                                      <w:tcPr>
                                        <w:tcW w:w="6946" w:type="dxa"/>
                                      </w:tcPr>
                                      <w:p w14:paraId="3D89636D" w14:textId="77777777" w:rsidR="00E57E82" w:rsidRDefault="00E57E82" w:rsidP="0058288B">
                                        <w:pPr>
                                          <w:rPr>
                                            <w:lang w:val="sv-SE"/>
                                          </w:rPr>
                                        </w:pPr>
                                        <w:r>
                                          <w:rPr>
                                            <w:lang w:val="sv-SE"/>
                                          </w:rPr>
                                          <w:t>PHY impact (other than common impact for unlicensed support)</w:t>
                                        </w:r>
                                      </w:p>
                                    </w:tc>
                                  </w:tr>
                                  <w:tr w:rsidR="00E57E82" w14:paraId="1CB1B3E9" w14:textId="77777777" w:rsidTr="0058288B">
                                    <w:tc>
                                      <w:tcPr>
                                        <w:tcW w:w="1129" w:type="dxa"/>
                                      </w:tcPr>
                                      <w:p w14:paraId="63968027" w14:textId="77777777" w:rsidR="00E57E82" w:rsidRDefault="00E57E82" w:rsidP="0058288B">
                                        <w:pPr>
                                          <w:rPr>
                                            <w:lang w:val="sv-SE"/>
                                          </w:rPr>
                                        </w:pPr>
                                        <w:r>
                                          <w:rPr>
                                            <w:rFonts w:hint="eastAsia"/>
                                            <w:lang w:val="sv-SE"/>
                                          </w:rPr>
                                          <w:t>120 kHz</w:t>
                                        </w:r>
                                      </w:p>
                                    </w:tc>
                                    <w:tc>
                                      <w:tcPr>
                                        <w:tcW w:w="6946" w:type="dxa"/>
                                      </w:tcPr>
                                      <w:p w14:paraId="1FBF4EEE" w14:textId="77777777" w:rsidR="00E57E82" w:rsidRPr="0058288B" w:rsidRDefault="00E57E82" w:rsidP="0058288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E57E82" w:rsidRPr="0058288B" w:rsidRDefault="00E57E82" w:rsidP="0058288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E57E82" w:rsidRPr="0058288B" w:rsidRDefault="00E57E82" w:rsidP="0058288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E57E82" w:rsidRPr="004C4CED" w14:paraId="1925C7E7" w14:textId="77777777" w:rsidTr="0058288B">
                                    <w:tc>
                                      <w:tcPr>
                                        <w:tcW w:w="1129" w:type="dxa"/>
                                      </w:tcPr>
                                      <w:p w14:paraId="684FACC3" w14:textId="77777777" w:rsidR="00E57E82" w:rsidRDefault="00E57E82" w:rsidP="0058288B">
                                        <w:pPr>
                                          <w:rPr>
                                            <w:lang w:val="sv-SE"/>
                                          </w:rPr>
                                        </w:pPr>
                                        <w:r>
                                          <w:rPr>
                                            <w:rFonts w:hint="eastAsia"/>
                                            <w:lang w:val="sv-SE"/>
                                          </w:rPr>
                                          <w:t>240 kHz</w:t>
                                        </w:r>
                                      </w:p>
                                    </w:tc>
                                    <w:tc>
                                      <w:tcPr>
                                        <w:tcW w:w="6946" w:type="dxa"/>
                                      </w:tcPr>
                                      <w:p w14:paraId="53A39ABE" w14:textId="77777777" w:rsidR="00E57E82" w:rsidRPr="0058288B" w:rsidRDefault="00E57E82" w:rsidP="0058288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E57E82" w:rsidRPr="0058288B" w:rsidRDefault="00E57E82" w:rsidP="0058288B">
                                        <w:pPr>
                                          <w:spacing w:before="0" w:after="0" w:line="240" w:lineRule="auto"/>
                                          <w:rPr>
                                            <w:sz w:val="18"/>
                                            <w:szCs w:val="18"/>
                                            <w:lang w:val="sv-SE"/>
                                          </w:rPr>
                                        </w:pPr>
                                        <w:r w:rsidRPr="0058288B">
                                          <w:rPr>
                                            <w:sz w:val="18"/>
                                            <w:szCs w:val="18"/>
                                            <w:lang w:val="sv-SE"/>
                                          </w:rPr>
                                          <w:t>- RO configuration</w:t>
                                        </w:r>
                                      </w:p>
                                      <w:p w14:paraId="75B0A1E3" w14:textId="77777777" w:rsidR="00E57E82" w:rsidRPr="0058288B" w:rsidRDefault="00E57E82" w:rsidP="0058288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E57E82" w:rsidRPr="0058288B" w:rsidRDefault="00E57E82" w:rsidP="0058288B">
                                        <w:pPr>
                                          <w:spacing w:before="0" w:after="0" w:line="240" w:lineRule="auto"/>
                                          <w:rPr>
                                            <w:sz w:val="18"/>
                                            <w:szCs w:val="18"/>
                                          </w:rPr>
                                        </w:pPr>
                                        <w:r w:rsidRPr="0058288B">
                                          <w:rPr>
                                            <w:sz w:val="18"/>
                                            <w:szCs w:val="18"/>
                                          </w:rPr>
                                          <w:t>- PDCCH Monitoring</w:t>
                                        </w:r>
                                      </w:p>
                                      <w:p w14:paraId="5F2B3F3C" w14:textId="77777777" w:rsidR="00E57E82" w:rsidRPr="0058288B" w:rsidRDefault="00E57E82" w:rsidP="0058288B">
                                        <w:pPr>
                                          <w:spacing w:before="0" w:after="0" w:line="240" w:lineRule="auto"/>
                                          <w:rPr>
                                            <w:sz w:val="18"/>
                                            <w:szCs w:val="18"/>
                                            <w:lang w:val="sv-SE"/>
                                          </w:rPr>
                                        </w:pPr>
                                        <w:r w:rsidRPr="0058288B">
                                          <w:rPr>
                                            <w:sz w:val="18"/>
                                            <w:szCs w:val="18"/>
                                          </w:rPr>
                                          <w:t>- HARQ process</w:t>
                                        </w:r>
                                      </w:p>
                                    </w:tc>
                                  </w:tr>
                                  <w:tr w:rsidR="00E57E82" w:rsidRPr="004C4CED" w14:paraId="71949E69" w14:textId="77777777" w:rsidTr="0058288B">
                                    <w:tc>
                                      <w:tcPr>
                                        <w:tcW w:w="1129" w:type="dxa"/>
                                      </w:tcPr>
                                      <w:p w14:paraId="597299FF" w14:textId="77777777" w:rsidR="00E57E82" w:rsidRDefault="00E57E82" w:rsidP="0058288B">
                                        <w:pPr>
                                          <w:rPr>
                                            <w:lang w:val="sv-SE"/>
                                          </w:rPr>
                                        </w:pPr>
                                        <w:r>
                                          <w:rPr>
                                            <w:rFonts w:hint="eastAsia"/>
                                            <w:lang w:val="sv-SE"/>
                                          </w:rPr>
                                          <w:t>480 k</w:t>
                                        </w:r>
                                        <w:r>
                                          <w:rPr>
                                            <w:lang w:val="sv-SE"/>
                                          </w:rPr>
                                          <w:t>Hz</w:t>
                                        </w:r>
                                      </w:p>
                                    </w:tc>
                                    <w:tc>
                                      <w:tcPr>
                                        <w:tcW w:w="6946" w:type="dxa"/>
                                      </w:tcPr>
                                      <w:p w14:paraId="1C8AA481" w14:textId="77777777" w:rsidR="00E57E82" w:rsidRPr="0058288B" w:rsidRDefault="00E57E82" w:rsidP="0058288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E57E82" w:rsidRDefault="00E57E82" w:rsidP="0058288B">
                                        <w:pPr>
                                          <w:spacing w:before="0" w:after="0" w:line="240" w:lineRule="auto"/>
                                          <w:rPr>
                                            <w:sz w:val="18"/>
                                            <w:szCs w:val="18"/>
                                            <w:lang w:val="sv-SE"/>
                                          </w:rPr>
                                        </w:pPr>
                                        <w:r w:rsidRPr="0058288B">
                                          <w:rPr>
                                            <w:sz w:val="18"/>
                                            <w:szCs w:val="18"/>
                                            <w:lang w:val="sv-SE"/>
                                          </w:rPr>
                                          <w:t>- SSB patterns</w:t>
                                        </w:r>
                                      </w:p>
                                      <w:p w14:paraId="594E2B15"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E57E82" w:rsidRPr="0058288B" w:rsidRDefault="00E57E82" w:rsidP="0058288B">
                                        <w:pPr>
                                          <w:spacing w:before="0" w:after="0" w:line="240" w:lineRule="auto"/>
                                          <w:rPr>
                                            <w:sz w:val="18"/>
                                            <w:szCs w:val="18"/>
                                            <w:lang w:val="sv-SE"/>
                                          </w:rPr>
                                        </w:pPr>
                                        <w:r w:rsidRPr="0058288B">
                                          <w:rPr>
                                            <w:sz w:val="18"/>
                                            <w:szCs w:val="18"/>
                                            <w:lang w:val="sv-SE"/>
                                          </w:rPr>
                                          <w:t>- RO configuration</w:t>
                                        </w:r>
                                      </w:p>
                                      <w:p w14:paraId="60F7592A" w14:textId="77777777" w:rsidR="00E57E82" w:rsidRPr="0058288B" w:rsidRDefault="00E57E82" w:rsidP="0058288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E57E82" w:rsidRPr="00864C4A" w:rsidRDefault="00E57E82" w:rsidP="009A7341">
                                        <w:pPr>
                                          <w:spacing w:before="0" w:after="0" w:line="240" w:lineRule="auto"/>
                                          <w:rPr>
                                            <w:sz w:val="18"/>
                                            <w:szCs w:val="18"/>
                                          </w:rPr>
                                        </w:pPr>
                                        <w:r w:rsidRPr="0058288B">
                                          <w:rPr>
                                            <w:sz w:val="18"/>
                                            <w:szCs w:val="18"/>
                                          </w:rPr>
                                          <w:t>- PDCCH Monitoring</w:t>
                                        </w:r>
                                      </w:p>
                                    </w:tc>
                                  </w:tr>
                                  <w:tr w:rsidR="00E57E82" w:rsidRPr="004C4CED" w14:paraId="364E29B9" w14:textId="77777777" w:rsidTr="0058288B">
                                    <w:tc>
                                      <w:tcPr>
                                        <w:tcW w:w="1129" w:type="dxa"/>
                                      </w:tcPr>
                                      <w:p w14:paraId="6D8E1AC7" w14:textId="77777777" w:rsidR="00E57E82" w:rsidRDefault="00E57E82" w:rsidP="0058288B">
                                        <w:pPr>
                                          <w:rPr>
                                            <w:lang w:val="sv-SE"/>
                                          </w:rPr>
                                        </w:pPr>
                                        <w:r>
                                          <w:rPr>
                                            <w:rFonts w:hint="eastAsia"/>
                                            <w:lang w:val="sv-SE"/>
                                          </w:rPr>
                                          <w:t>960 kHz</w:t>
                                        </w:r>
                                      </w:p>
                                    </w:tc>
                                    <w:tc>
                                      <w:tcPr>
                                        <w:tcW w:w="6946" w:type="dxa"/>
                                      </w:tcPr>
                                      <w:p w14:paraId="7FA62F36" w14:textId="77777777" w:rsidR="00E57E82" w:rsidRPr="0058288B" w:rsidRDefault="00E57E82" w:rsidP="0058288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E57E82" w:rsidRDefault="00E57E82" w:rsidP="0058288B">
                                        <w:pPr>
                                          <w:spacing w:before="0" w:after="0" w:line="240" w:lineRule="auto"/>
                                          <w:rPr>
                                            <w:sz w:val="18"/>
                                            <w:szCs w:val="18"/>
                                            <w:lang w:val="sv-SE"/>
                                          </w:rPr>
                                        </w:pPr>
                                        <w:r w:rsidRPr="0058288B">
                                          <w:rPr>
                                            <w:sz w:val="18"/>
                                            <w:szCs w:val="18"/>
                                            <w:lang w:val="sv-SE"/>
                                          </w:rPr>
                                          <w:t>- SSB patterns</w:t>
                                        </w:r>
                                      </w:p>
                                      <w:p w14:paraId="0F987E97"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E57E82" w:rsidRPr="0058288B" w:rsidRDefault="00E57E82" w:rsidP="0058288B">
                                        <w:pPr>
                                          <w:spacing w:before="0" w:after="0" w:line="240" w:lineRule="auto"/>
                                          <w:rPr>
                                            <w:sz w:val="18"/>
                                            <w:szCs w:val="18"/>
                                            <w:lang w:val="sv-SE"/>
                                          </w:rPr>
                                        </w:pPr>
                                        <w:r w:rsidRPr="0058288B">
                                          <w:rPr>
                                            <w:sz w:val="18"/>
                                            <w:szCs w:val="18"/>
                                            <w:lang w:val="sv-SE"/>
                                          </w:rPr>
                                          <w:t>- RO configuration</w:t>
                                        </w:r>
                                      </w:p>
                                      <w:p w14:paraId="2A6390B9"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E57E82" w:rsidRPr="0014669A" w:rsidRDefault="00E57E82" w:rsidP="009A7341">
                                        <w:pPr>
                                          <w:spacing w:before="0" w:after="0" w:line="240" w:lineRule="auto"/>
                                          <w:rPr>
                                            <w:sz w:val="18"/>
                                            <w:szCs w:val="18"/>
                                          </w:rPr>
                                        </w:pPr>
                                        <w:r w:rsidRPr="0058288B">
                                          <w:rPr>
                                            <w:sz w:val="18"/>
                                            <w:szCs w:val="18"/>
                                          </w:rPr>
                                          <w:t>- PDCCH Monitoring</w:t>
                                        </w:r>
                                      </w:p>
                                    </w:tc>
                                  </w:tr>
                                </w:tbl>
                                <w:p w14:paraId="6FA37EC9" w14:textId="77777777" w:rsidR="00E57E82" w:rsidRPr="0058288B" w:rsidRDefault="00E57E82"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E57E82" w14:paraId="5AB818A6" w14:textId="77777777" w:rsidTr="0058288B">
                              <w:tc>
                                <w:tcPr>
                                  <w:tcW w:w="1129" w:type="dxa"/>
                                </w:tcPr>
                                <w:p w14:paraId="7F2EB2AC" w14:textId="77777777" w:rsidR="00E57E82" w:rsidRDefault="00E57E82" w:rsidP="0058288B">
                                  <w:pPr>
                                    <w:rPr>
                                      <w:lang w:val="sv-SE"/>
                                    </w:rPr>
                                  </w:pPr>
                                  <w:r>
                                    <w:rPr>
                                      <w:lang w:val="sv-SE"/>
                                    </w:rPr>
                                    <w:t>SCS</w:t>
                                  </w:r>
                                </w:p>
                              </w:tc>
                              <w:tc>
                                <w:tcPr>
                                  <w:tcW w:w="6946" w:type="dxa"/>
                                </w:tcPr>
                                <w:p w14:paraId="3D89636D" w14:textId="77777777" w:rsidR="00E57E82" w:rsidRDefault="00E57E82" w:rsidP="0058288B">
                                  <w:pPr>
                                    <w:rPr>
                                      <w:lang w:val="sv-SE"/>
                                    </w:rPr>
                                  </w:pPr>
                                  <w:r>
                                    <w:rPr>
                                      <w:lang w:val="sv-SE"/>
                                    </w:rPr>
                                    <w:t>PHY impact (other than common impact for unlicensed support)</w:t>
                                  </w:r>
                                </w:p>
                              </w:tc>
                            </w:tr>
                            <w:tr w:rsidR="00E57E82" w14:paraId="1CB1B3E9" w14:textId="77777777" w:rsidTr="0058288B">
                              <w:tc>
                                <w:tcPr>
                                  <w:tcW w:w="1129" w:type="dxa"/>
                                </w:tcPr>
                                <w:p w14:paraId="63968027" w14:textId="77777777" w:rsidR="00E57E82" w:rsidRDefault="00E57E82" w:rsidP="0058288B">
                                  <w:pPr>
                                    <w:rPr>
                                      <w:lang w:val="sv-SE"/>
                                    </w:rPr>
                                  </w:pPr>
                                  <w:r>
                                    <w:rPr>
                                      <w:rFonts w:hint="eastAsia"/>
                                      <w:lang w:val="sv-SE"/>
                                    </w:rPr>
                                    <w:t>120 kHz</w:t>
                                  </w:r>
                                </w:p>
                              </w:tc>
                              <w:tc>
                                <w:tcPr>
                                  <w:tcW w:w="6946" w:type="dxa"/>
                                </w:tcPr>
                                <w:p w14:paraId="1FBF4EEE" w14:textId="77777777" w:rsidR="00E57E82" w:rsidRPr="0058288B" w:rsidRDefault="00E57E82" w:rsidP="0058288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E57E82" w:rsidRPr="0058288B" w:rsidRDefault="00E57E82" w:rsidP="0058288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E57E82" w:rsidRPr="0058288B" w:rsidRDefault="00E57E82" w:rsidP="0058288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E57E82" w:rsidRPr="004C4CED" w14:paraId="1925C7E7" w14:textId="77777777" w:rsidTr="0058288B">
                              <w:tc>
                                <w:tcPr>
                                  <w:tcW w:w="1129" w:type="dxa"/>
                                </w:tcPr>
                                <w:p w14:paraId="684FACC3" w14:textId="77777777" w:rsidR="00E57E82" w:rsidRDefault="00E57E82" w:rsidP="0058288B">
                                  <w:pPr>
                                    <w:rPr>
                                      <w:lang w:val="sv-SE"/>
                                    </w:rPr>
                                  </w:pPr>
                                  <w:r>
                                    <w:rPr>
                                      <w:rFonts w:hint="eastAsia"/>
                                      <w:lang w:val="sv-SE"/>
                                    </w:rPr>
                                    <w:t>240 kHz</w:t>
                                  </w:r>
                                </w:p>
                              </w:tc>
                              <w:tc>
                                <w:tcPr>
                                  <w:tcW w:w="6946" w:type="dxa"/>
                                </w:tcPr>
                                <w:p w14:paraId="53A39ABE" w14:textId="77777777" w:rsidR="00E57E82" w:rsidRPr="0058288B" w:rsidRDefault="00E57E82" w:rsidP="0058288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E57E82" w:rsidRPr="0058288B" w:rsidRDefault="00E57E82" w:rsidP="0058288B">
                                  <w:pPr>
                                    <w:spacing w:before="0" w:after="0" w:line="240" w:lineRule="auto"/>
                                    <w:rPr>
                                      <w:sz w:val="18"/>
                                      <w:szCs w:val="18"/>
                                      <w:lang w:val="sv-SE"/>
                                    </w:rPr>
                                  </w:pPr>
                                  <w:r w:rsidRPr="0058288B">
                                    <w:rPr>
                                      <w:sz w:val="18"/>
                                      <w:szCs w:val="18"/>
                                      <w:lang w:val="sv-SE"/>
                                    </w:rPr>
                                    <w:t>- RO configuration</w:t>
                                  </w:r>
                                </w:p>
                                <w:p w14:paraId="75B0A1E3" w14:textId="77777777" w:rsidR="00E57E82" w:rsidRPr="0058288B" w:rsidRDefault="00E57E82" w:rsidP="0058288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E57E82" w:rsidRPr="0058288B" w:rsidRDefault="00E57E82" w:rsidP="0058288B">
                                  <w:pPr>
                                    <w:spacing w:before="0" w:after="0" w:line="240" w:lineRule="auto"/>
                                    <w:rPr>
                                      <w:sz w:val="18"/>
                                      <w:szCs w:val="18"/>
                                    </w:rPr>
                                  </w:pPr>
                                  <w:r w:rsidRPr="0058288B">
                                    <w:rPr>
                                      <w:sz w:val="18"/>
                                      <w:szCs w:val="18"/>
                                    </w:rPr>
                                    <w:t>- PDCCH Monitoring</w:t>
                                  </w:r>
                                </w:p>
                                <w:p w14:paraId="5F2B3F3C" w14:textId="77777777" w:rsidR="00E57E82" w:rsidRPr="0058288B" w:rsidRDefault="00E57E82" w:rsidP="0058288B">
                                  <w:pPr>
                                    <w:spacing w:before="0" w:after="0" w:line="240" w:lineRule="auto"/>
                                    <w:rPr>
                                      <w:sz w:val="18"/>
                                      <w:szCs w:val="18"/>
                                      <w:lang w:val="sv-SE"/>
                                    </w:rPr>
                                  </w:pPr>
                                  <w:r w:rsidRPr="0058288B">
                                    <w:rPr>
                                      <w:sz w:val="18"/>
                                      <w:szCs w:val="18"/>
                                    </w:rPr>
                                    <w:t>- HARQ process</w:t>
                                  </w:r>
                                </w:p>
                              </w:tc>
                            </w:tr>
                            <w:tr w:rsidR="00E57E82" w:rsidRPr="004C4CED" w14:paraId="71949E69" w14:textId="77777777" w:rsidTr="0058288B">
                              <w:tc>
                                <w:tcPr>
                                  <w:tcW w:w="1129" w:type="dxa"/>
                                </w:tcPr>
                                <w:p w14:paraId="597299FF" w14:textId="77777777" w:rsidR="00E57E82" w:rsidRDefault="00E57E82" w:rsidP="0058288B">
                                  <w:pPr>
                                    <w:rPr>
                                      <w:lang w:val="sv-SE"/>
                                    </w:rPr>
                                  </w:pPr>
                                  <w:r>
                                    <w:rPr>
                                      <w:rFonts w:hint="eastAsia"/>
                                      <w:lang w:val="sv-SE"/>
                                    </w:rPr>
                                    <w:t>480 k</w:t>
                                  </w:r>
                                  <w:r>
                                    <w:rPr>
                                      <w:lang w:val="sv-SE"/>
                                    </w:rPr>
                                    <w:t>Hz</w:t>
                                  </w:r>
                                </w:p>
                              </w:tc>
                              <w:tc>
                                <w:tcPr>
                                  <w:tcW w:w="6946" w:type="dxa"/>
                                </w:tcPr>
                                <w:p w14:paraId="1C8AA481" w14:textId="77777777" w:rsidR="00E57E82" w:rsidRPr="0058288B" w:rsidRDefault="00E57E82" w:rsidP="0058288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E57E82" w:rsidRDefault="00E57E82" w:rsidP="0058288B">
                                  <w:pPr>
                                    <w:spacing w:before="0" w:after="0" w:line="240" w:lineRule="auto"/>
                                    <w:rPr>
                                      <w:sz w:val="18"/>
                                      <w:szCs w:val="18"/>
                                      <w:lang w:val="sv-SE"/>
                                    </w:rPr>
                                  </w:pPr>
                                  <w:r w:rsidRPr="0058288B">
                                    <w:rPr>
                                      <w:sz w:val="18"/>
                                      <w:szCs w:val="18"/>
                                      <w:lang w:val="sv-SE"/>
                                    </w:rPr>
                                    <w:t>- SSB patterns</w:t>
                                  </w:r>
                                </w:p>
                                <w:p w14:paraId="594E2B15"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E57E82" w:rsidRPr="0058288B" w:rsidRDefault="00E57E82" w:rsidP="0058288B">
                                  <w:pPr>
                                    <w:spacing w:before="0" w:after="0" w:line="240" w:lineRule="auto"/>
                                    <w:rPr>
                                      <w:sz w:val="18"/>
                                      <w:szCs w:val="18"/>
                                      <w:lang w:val="sv-SE"/>
                                    </w:rPr>
                                  </w:pPr>
                                  <w:r w:rsidRPr="0058288B">
                                    <w:rPr>
                                      <w:sz w:val="18"/>
                                      <w:szCs w:val="18"/>
                                      <w:lang w:val="sv-SE"/>
                                    </w:rPr>
                                    <w:t>- RO configuration</w:t>
                                  </w:r>
                                </w:p>
                                <w:p w14:paraId="60F7592A" w14:textId="77777777" w:rsidR="00E57E82" w:rsidRPr="0058288B" w:rsidRDefault="00E57E82" w:rsidP="0058288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E57E82" w:rsidRPr="00864C4A" w:rsidRDefault="00E57E82" w:rsidP="009A7341">
                                  <w:pPr>
                                    <w:spacing w:before="0" w:after="0" w:line="240" w:lineRule="auto"/>
                                    <w:rPr>
                                      <w:sz w:val="18"/>
                                      <w:szCs w:val="18"/>
                                    </w:rPr>
                                  </w:pPr>
                                  <w:r w:rsidRPr="0058288B">
                                    <w:rPr>
                                      <w:sz w:val="18"/>
                                      <w:szCs w:val="18"/>
                                    </w:rPr>
                                    <w:t>- PDCCH Monitoring</w:t>
                                  </w:r>
                                </w:p>
                              </w:tc>
                            </w:tr>
                            <w:tr w:rsidR="00E57E82" w:rsidRPr="004C4CED" w14:paraId="364E29B9" w14:textId="77777777" w:rsidTr="0058288B">
                              <w:tc>
                                <w:tcPr>
                                  <w:tcW w:w="1129" w:type="dxa"/>
                                </w:tcPr>
                                <w:p w14:paraId="6D8E1AC7" w14:textId="77777777" w:rsidR="00E57E82" w:rsidRDefault="00E57E82" w:rsidP="0058288B">
                                  <w:pPr>
                                    <w:rPr>
                                      <w:lang w:val="sv-SE"/>
                                    </w:rPr>
                                  </w:pPr>
                                  <w:r>
                                    <w:rPr>
                                      <w:rFonts w:hint="eastAsia"/>
                                      <w:lang w:val="sv-SE"/>
                                    </w:rPr>
                                    <w:t>960 kHz</w:t>
                                  </w:r>
                                </w:p>
                              </w:tc>
                              <w:tc>
                                <w:tcPr>
                                  <w:tcW w:w="6946" w:type="dxa"/>
                                </w:tcPr>
                                <w:p w14:paraId="7FA62F36" w14:textId="77777777" w:rsidR="00E57E82" w:rsidRPr="0058288B" w:rsidRDefault="00E57E82" w:rsidP="0058288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E57E82" w:rsidRDefault="00E57E82" w:rsidP="0058288B">
                                  <w:pPr>
                                    <w:spacing w:before="0" w:after="0" w:line="240" w:lineRule="auto"/>
                                    <w:rPr>
                                      <w:sz w:val="18"/>
                                      <w:szCs w:val="18"/>
                                      <w:lang w:val="sv-SE"/>
                                    </w:rPr>
                                  </w:pPr>
                                  <w:r w:rsidRPr="0058288B">
                                    <w:rPr>
                                      <w:sz w:val="18"/>
                                      <w:szCs w:val="18"/>
                                      <w:lang w:val="sv-SE"/>
                                    </w:rPr>
                                    <w:t>- SSB patterns</w:t>
                                  </w:r>
                                </w:p>
                                <w:p w14:paraId="0F987E97"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E57E82" w:rsidRPr="0058288B" w:rsidRDefault="00E57E82" w:rsidP="0058288B">
                                  <w:pPr>
                                    <w:spacing w:before="0" w:after="0" w:line="240" w:lineRule="auto"/>
                                    <w:rPr>
                                      <w:sz w:val="18"/>
                                      <w:szCs w:val="18"/>
                                      <w:lang w:val="sv-SE"/>
                                    </w:rPr>
                                  </w:pPr>
                                  <w:r w:rsidRPr="0058288B">
                                    <w:rPr>
                                      <w:sz w:val="18"/>
                                      <w:szCs w:val="18"/>
                                      <w:lang w:val="sv-SE"/>
                                    </w:rPr>
                                    <w:t>- RO configuration</w:t>
                                  </w:r>
                                </w:p>
                                <w:p w14:paraId="2A6390B9" w14:textId="77777777" w:rsidR="00E57E82" w:rsidRPr="0058288B" w:rsidRDefault="00E57E82" w:rsidP="0058288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E57E82" w:rsidRPr="0014669A" w:rsidRDefault="00E57E82" w:rsidP="009A7341">
                                  <w:pPr>
                                    <w:spacing w:before="0" w:after="0" w:line="240" w:lineRule="auto"/>
                                    <w:rPr>
                                      <w:sz w:val="18"/>
                                      <w:szCs w:val="18"/>
                                    </w:rPr>
                                  </w:pPr>
                                  <w:r w:rsidRPr="0058288B">
                                    <w:rPr>
                                      <w:sz w:val="18"/>
                                      <w:szCs w:val="18"/>
                                    </w:rPr>
                                    <w:t>- PDCCH Monitoring</w:t>
                                  </w:r>
                                </w:p>
                              </w:tc>
                            </w:tr>
                          </w:tbl>
                          <w:p w14:paraId="6FA37EC9" w14:textId="77777777" w:rsidR="00E57E82" w:rsidRPr="0058288B" w:rsidRDefault="00E57E82" w:rsidP="00E57E82">
                            <w:pPr>
                              <w:rPr>
                                <w:lang w:val="sv-SE"/>
                              </w:rPr>
                            </w:pPr>
                          </w:p>
                        </w:txbxContent>
                      </v:textbox>
                      <w10:wrap type="square"/>
                    </v:shape>
                  </w:pict>
                </mc:Fallback>
              </mc:AlternateContent>
            </w:r>
          </w:p>
          <w:p w14:paraId="4A3CD796" w14:textId="77777777" w:rsidR="00E57E82" w:rsidRPr="00E57E82" w:rsidRDefault="00E57E82" w:rsidP="0083431C">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83431C">
            <w:pPr>
              <w:overflowPunct/>
              <w:autoSpaceDE/>
              <w:adjustRightInd/>
              <w:spacing w:after="0"/>
              <w:rPr>
                <w:rFonts w:eastAsiaTheme="minorEastAsia"/>
                <w:lang w:val="sv-SE" w:eastAsia="ko-KR"/>
              </w:rPr>
            </w:pPr>
          </w:p>
        </w:tc>
      </w:tr>
    </w:tbl>
    <w:p w14:paraId="0F2A551C" w14:textId="77777777" w:rsidR="007321B3" w:rsidRPr="00E57E82" w:rsidRDefault="007321B3">
      <w:pPr>
        <w:pStyle w:val="BodyText"/>
        <w:spacing w:after="0"/>
        <w:rPr>
          <w:rFonts w:ascii="Times New Roman" w:hAnsi="Times New Roman"/>
          <w:sz w:val="22"/>
          <w:szCs w:val="22"/>
          <w:lang w:val="sv-SE"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77777777" w:rsidR="00E57E82" w:rsidRPr="00A72FEB" w:rsidRDefault="00E57E82" w:rsidP="0083431C">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83431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83431C">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777777" w:rsidR="00E57E82" w:rsidRPr="00E57E82" w:rsidRDefault="00E57E82">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4890F80F" w14:textId="77777777" w:rsidR="00E57E82" w:rsidRDefault="00E57E82">
            <w:pPr>
              <w:overflowPunct/>
              <w:autoSpaceDE/>
              <w:adjustRightInd/>
              <w:spacing w:after="0"/>
              <w:rPr>
                <w:rFonts w:hint="eastAsia"/>
                <w:lang w:eastAsia="zh-CN"/>
              </w:rPr>
            </w:pP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1335C9" w14:textId="77777777" w:rsidR="00E57E82" w:rsidRPr="00364B2A" w:rsidRDefault="00E57E82" w:rsidP="0083431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83431C">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83431C">
            <w:pPr>
              <w:overflowPunct/>
              <w:autoSpaceDE/>
              <w:adjustRightInd/>
              <w:spacing w:after="0"/>
              <w:rPr>
                <w:lang w:val="sv-SE" w:eastAsia="zh-CN"/>
              </w:rPr>
            </w:pPr>
          </w:p>
          <w:p w14:paraId="5856FF38" w14:textId="77777777" w:rsidR="00E57E82" w:rsidRPr="00E57E82" w:rsidRDefault="00E57E82" w:rsidP="0083431C">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Just matching the maximum single carrier bandwidth as WiGiG does not ensure the same peak rate.</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宋体"/>
          <w:lang w:eastAsia="zh-CN"/>
        </w:rPr>
      </w:pPr>
      <w:r>
        <w:rPr>
          <w:rFonts w:eastAsia="宋体"/>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77777777" w:rsidR="007321B3" w:rsidRDefault="007321B3">
      <w:pPr>
        <w:pStyle w:val="BodyText"/>
        <w:spacing w:after="0"/>
        <w:rPr>
          <w:rFonts w:ascii="Times New Roman" w:hAnsi="Times New Roman"/>
          <w:sz w:val="22"/>
          <w:szCs w:val="22"/>
          <w:lang w:eastAsia="zh-CN"/>
        </w:rPr>
      </w:pP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7777777"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83431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83431C">
            <w:pPr>
              <w:overflowPunct/>
              <w:autoSpaceDE/>
              <w:adjustRightInd/>
              <w:spacing w:after="0"/>
              <w:rPr>
                <w:lang w:eastAsia="zh-CN"/>
              </w:rPr>
            </w:pPr>
            <w:r>
              <w:rPr>
                <w:lang w:eastAsia="zh-CN"/>
              </w:rPr>
              <w:t xml:space="preserve"> </w:t>
            </w:r>
          </w:p>
          <w:p w14:paraId="05330475" w14:textId="77777777" w:rsidR="00E57E82" w:rsidRPr="00867D2A" w:rsidRDefault="00E57E82" w:rsidP="0083431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83431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83431C">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bl>
    <w:p w14:paraId="5B8F8E33" w14:textId="77777777" w:rsidR="007321B3" w:rsidRPr="00E57E82" w:rsidRDefault="007321B3">
      <w:pPr>
        <w:pStyle w:val="BodyText"/>
        <w:spacing w:after="0"/>
        <w:rPr>
          <w:rFonts w:ascii="Times New Roman" w:hAnsi="Times New Roman"/>
          <w:sz w:val="22"/>
          <w:szCs w:val="22"/>
          <w:lang w:eastAsia="zh-CN"/>
        </w:rPr>
      </w:pPr>
      <w:bookmarkStart w:id="0" w:name="_GoBack"/>
      <w:bookmarkEnd w:id="0"/>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宋体"/>
          <w:lang w:eastAsia="zh-CN"/>
        </w:rPr>
      </w:pPr>
      <w:r>
        <w:rPr>
          <w:rFonts w:eastAsia="宋体"/>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7777777" w:rsidR="007321B3" w:rsidRDefault="007321B3">
      <w:pPr>
        <w:pStyle w:val="BodyText"/>
        <w:spacing w:after="0"/>
        <w:rPr>
          <w:rFonts w:ascii="Times New Roman" w:hAnsi="Times New Roman"/>
          <w:sz w:val="22"/>
          <w:szCs w:val="22"/>
          <w:lang w:eastAsia="zh-CN"/>
        </w:rPr>
      </w:pP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77777777" w:rsidR="007321B3" w:rsidRDefault="007321B3">
      <w:pPr>
        <w:pStyle w:val="BodyText"/>
        <w:spacing w:after="0"/>
        <w:rPr>
          <w:rFonts w:ascii="Times New Roman" w:hAnsi="Times New Roman"/>
          <w:sz w:val="22"/>
          <w:szCs w:val="22"/>
          <w:lang w:eastAsia="zh-CN"/>
        </w:rPr>
      </w:pPr>
    </w:p>
    <w:p w14:paraId="339A67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7777777" w:rsidR="007321B3" w:rsidRDefault="007321B3">
      <w:pPr>
        <w:pStyle w:val="BodyText"/>
        <w:spacing w:after="0"/>
        <w:rPr>
          <w:rFonts w:ascii="Times New Roman" w:hAnsi="Times New Roman"/>
          <w:sz w:val="22"/>
          <w:szCs w:val="22"/>
          <w:lang w:eastAsia="zh-CN"/>
        </w:rPr>
      </w:pP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77777777" w:rsidR="007321B3" w:rsidRDefault="007321B3">
      <w:pPr>
        <w:pStyle w:val="ListParagraph"/>
        <w:spacing w:line="256" w:lineRule="auto"/>
        <w:ind w:left="1296"/>
        <w:rPr>
          <w:lang w:eastAsia="zh-CN"/>
        </w:rPr>
      </w:pPr>
    </w:p>
    <w:p w14:paraId="1B5CFB6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bl>
    <w:p w14:paraId="5848841F" w14:textId="77777777" w:rsidR="007321B3"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宋体"/>
          <w:lang w:eastAsia="zh-CN"/>
        </w:rPr>
      </w:pPr>
      <w:r>
        <w:rPr>
          <w:rFonts w:eastAsia="宋体"/>
          <w:lang w:eastAsia="zh-CN"/>
        </w:rPr>
        <w:t>Reuse FR2 PRACH configuration tables for 52.6–71 GHz.</w:t>
      </w:r>
    </w:p>
    <w:p w14:paraId="361DD199" w14:textId="77777777" w:rsidR="007321B3" w:rsidRDefault="00B908C1">
      <w:pPr>
        <w:pStyle w:val="ListParagraph"/>
        <w:numPr>
          <w:ilvl w:val="1"/>
          <w:numId w:val="13"/>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77777777" w:rsidR="007321B3" w:rsidRDefault="007321B3">
      <w:pPr>
        <w:pStyle w:val="BodyText"/>
        <w:spacing w:after="0"/>
        <w:rPr>
          <w:rFonts w:ascii="Times New Roman" w:hAnsi="Times New Roman"/>
          <w:sz w:val="22"/>
          <w:szCs w:val="22"/>
          <w:lang w:eastAsia="zh-CN"/>
        </w:rPr>
      </w:pP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BE032C0" w14:textId="77777777" w:rsidR="007321B3" w:rsidRDefault="007321B3">
      <w:pPr>
        <w:pStyle w:val="BodyText"/>
        <w:spacing w:after="0"/>
        <w:rPr>
          <w:rFonts w:ascii="Times New Roman" w:hAnsi="Times New Roman"/>
          <w:sz w:val="22"/>
          <w:szCs w:val="22"/>
          <w:lang w:eastAsia="zh-CN"/>
        </w:rPr>
      </w:pPr>
    </w:p>
    <w:p w14:paraId="7307CDDB" w14:textId="77777777" w:rsidR="007321B3" w:rsidRDefault="007321B3">
      <w:pPr>
        <w:pStyle w:val="ListParagraph"/>
        <w:spacing w:line="256" w:lineRule="auto"/>
        <w:ind w:left="1296"/>
        <w:rPr>
          <w:lang w:eastAsia="zh-CN"/>
        </w:rPr>
      </w:pPr>
    </w:p>
    <w:p w14:paraId="0D71502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bl>
    <w:p w14:paraId="19FADD58" w14:textId="77777777" w:rsidR="007321B3"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2D41229" w14:textId="77777777" w:rsidR="007321B3" w:rsidRDefault="00B908C1">
      <w:pPr>
        <w:pStyle w:val="ListParagraph"/>
        <w:numPr>
          <w:ilvl w:val="1"/>
          <w:numId w:val="9"/>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2CC998EB" w14:textId="77777777" w:rsidR="007321B3" w:rsidRDefault="00B908C1">
      <w:pPr>
        <w:pStyle w:val="ListParagraph"/>
        <w:numPr>
          <w:ilvl w:val="1"/>
          <w:numId w:val="9"/>
        </w:numPr>
        <w:rPr>
          <w:rFonts w:eastAsia="宋体"/>
          <w:lang w:eastAsia="zh-CN"/>
        </w:rPr>
      </w:pPr>
      <w:r>
        <w:rPr>
          <w:rFonts w:eastAsia="宋体"/>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宋体"/>
          <w:lang w:eastAsia="zh-CN"/>
        </w:rPr>
      </w:pPr>
      <w:r>
        <w:rPr>
          <w:rFonts w:eastAsia="宋体"/>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宋体"/>
          <w:lang w:eastAsia="zh-CN"/>
        </w:rPr>
      </w:pPr>
      <w:r>
        <w:rPr>
          <w:rFonts w:eastAsia="宋体"/>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4C17DCCA" w14:textId="77777777" w:rsidR="007321B3" w:rsidRDefault="00B908C1">
      <w:pPr>
        <w:pStyle w:val="ListParagraph"/>
        <w:numPr>
          <w:ilvl w:val="1"/>
          <w:numId w:val="9"/>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4A7E115E" w14:textId="77777777" w:rsidR="007321B3" w:rsidRDefault="00B908C1">
      <w:pPr>
        <w:pStyle w:val="ListParagraph"/>
        <w:numPr>
          <w:ilvl w:val="1"/>
          <w:numId w:val="9"/>
        </w:numPr>
        <w:rPr>
          <w:rFonts w:eastAsia="宋体"/>
          <w:lang w:eastAsia="zh-CN"/>
        </w:rPr>
      </w:pPr>
      <w:r>
        <w:rPr>
          <w:rFonts w:eastAsia="宋体"/>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宋体"/>
          <w:lang w:eastAsia="zh-CN"/>
        </w:rPr>
      </w:pPr>
      <w:r>
        <w:rPr>
          <w:rFonts w:eastAsia="宋体"/>
          <w:lang w:eastAsia="zh-CN"/>
        </w:rPr>
        <w:t>From [31]:</w:t>
      </w:r>
    </w:p>
    <w:p w14:paraId="510D4D7A" w14:textId="77777777" w:rsidR="007321B3" w:rsidRDefault="00B908C1">
      <w:pPr>
        <w:pStyle w:val="ListParagraph"/>
        <w:numPr>
          <w:ilvl w:val="1"/>
          <w:numId w:val="9"/>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7321B3"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4DEFFF" w14:textId="77777777" w:rsidR="007321B3" w:rsidRDefault="007321B3">
            <w:pPr>
              <w:overflowPunct/>
              <w:autoSpaceDE/>
              <w:adjustRightInd/>
              <w:spacing w:after="0"/>
              <w:rPr>
                <w:lang w:val="sv-SE" w:eastAsia="zh-CN"/>
              </w:rPr>
            </w:pP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A36FE" w14:textId="77777777" w:rsidR="00B908C1" w:rsidRDefault="00B908C1">
      <w:pPr>
        <w:spacing w:after="0" w:line="240" w:lineRule="auto"/>
      </w:pPr>
      <w:r>
        <w:separator/>
      </w:r>
    </w:p>
  </w:endnote>
  <w:endnote w:type="continuationSeparator" w:id="0">
    <w:p w14:paraId="64E7AE32" w14:textId="77777777" w:rsidR="00B908C1" w:rsidRDefault="00B9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D03D" w14:textId="77777777" w:rsidR="007321B3" w:rsidRDefault="00B9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7321B3" w:rsidRDefault="007321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9B21" w14:textId="77777777" w:rsidR="007321B3" w:rsidRDefault="00B908C1">
    <w:pPr>
      <w:pStyle w:val="Footer"/>
      <w:ind w:right="360"/>
    </w:pPr>
    <w:r>
      <w:rPr>
        <w:rStyle w:val="PageNumber"/>
      </w:rPr>
      <w:fldChar w:fldCharType="begin"/>
    </w:r>
    <w:r>
      <w:rPr>
        <w:rStyle w:val="PageNumber"/>
      </w:rPr>
      <w:instrText xml:space="preserve"> PAGE </w:instrText>
    </w:r>
    <w:r>
      <w:rPr>
        <w:rStyle w:val="PageNumber"/>
      </w:rPr>
      <w:fldChar w:fldCharType="separate"/>
    </w:r>
    <w:r w:rsidR="00E57E82">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7E82">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F979C" w14:textId="77777777" w:rsidR="00B908C1" w:rsidRDefault="00B908C1">
      <w:pPr>
        <w:spacing w:after="0" w:line="240" w:lineRule="auto"/>
      </w:pPr>
      <w:r>
        <w:separator/>
      </w:r>
    </w:p>
  </w:footnote>
  <w:footnote w:type="continuationSeparator" w:id="0">
    <w:p w14:paraId="1CF1D816" w14:textId="77777777" w:rsidR="00B908C1" w:rsidRDefault="00B90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CC0E" w14:textId="77777777" w:rsidR="007321B3" w:rsidRDefault="00B908C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
  </w:num>
  <w:num w:numId="7">
    <w:abstractNumId w:val="3"/>
  </w:num>
  <w:num w:numId="8">
    <w:abstractNumId w:val="12"/>
  </w:num>
  <w:num w:numId="9">
    <w:abstractNumId w:val="9"/>
  </w:num>
  <w:num w:numId="10">
    <w:abstractNumId w:val="8"/>
  </w:num>
  <w:num w:numId="11">
    <w:abstractNumId w:val="6"/>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4AD4CB2"/>
  <w15:docId w15:val="{436EA1C7-76F8-4751-9D7B-501ABD55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11A9"/>
    <w:rsid w:val="00125956"/>
    <w:rsid w:val="00135A55"/>
    <w:rsid w:val="00152A43"/>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063c6eb4-0fc5-41cf-90f7-6fad9b894f44"/>
    <ds:schemaRef ds:uri="http://schemas.microsoft.com/office/2006/metadata/properties"/>
    <ds:schemaRef ds:uri="71c5aaf6-e6ce-465b-b873-5148d2a4c105"/>
    <ds:schemaRef ds:uri="http://www.w3.org/XML/1998/namespace"/>
    <ds:schemaRef ds:uri="http://schemas.microsoft.com/office/2006/documentManagement/types"/>
    <ds:schemaRef ds:uri="b672847a-5f88-42a2-b3e2-50bdf8de63d5"/>
    <ds:schemaRef ds:uri="http://purl.org/dc/terms/"/>
    <ds:schemaRef ds:uri="http://purl.org/dc/elements/1.1/"/>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D89F84D-1D78-4BD2-AD1A-2730BB060826}">
  <ds:schemaRefs>
    <ds:schemaRef ds:uri="http://schemas.openxmlformats.org/officeDocument/2006/bibliography"/>
  </ds:schemaRefs>
</ds:datastoreItem>
</file>

<file path=customXml/itemProps8.xml><?xml version="1.0" encoding="utf-8"?>
<ds:datastoreItem xmlns:ds="http://schemas.openxmlformats.org/officeDocument/2006/customXml" ds:itemID="{0E2CFB3D-E94F-4243-83D4-2E95D317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46</Pages>
  <Words>17415</Words>
  <Characters>99272</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116455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David mazzarese</cp:lastModifiedBy>
  <cp:revision>2</cp:revision>
  <cp:lastPrinted>2011-11-09T07:49:00Z</cp:lastPrinted>
  <dcterms:created xsi:type="dcterms:W3CDTF">2020-10-27T11:50:00Z</dcterms:created>
  <dcterms:modified xsi:type="dcterms:W3CDTF">2020-10-27T11:50:00Z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1603781498</vt:lpwstr>
  </property>
</Properties>
</file>