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5A749" w14:textId="26724811" w:rsidR="00F521DD" w:rsidRPr="00AC32CE" w:rsidRDefault="00F521DD" w:rsidP="00F521DD">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w:t>
      </w:r>
      <w:r w:rsidR="007F5ADE">
        <w:rPr>
          <w:rFonts w:cs="Arial"/>
          <w:b/>
          <w:sz w:val="24"/>
          <w:szCs w:val="24"/>
        </w:rPr>
        <w:t>10</w:t>
      </w:r>
      <w:r w:rsidR="00ED23DA">
        <w:rPr>
          <w:rFonts w:cs="Arial"/>
          <w:b/>
          <w:sz w:val="24"/>
          <w:szCs w:val="24"/>
        </w:rPr>
        <w:t>2-e</w:t>
      </w:r>
      <w:r w:rsidRPr="007D3E81">
        <w:rPr>
          <w:rFonts w:cs="Arial"/>
          <w:b/>
          <w:sz w:val="24"/>
          <w:szCs w:val="24"/>
        </w:rPr>
        <w:tab/>
      </w:r>
      <w:r>
        <w:rPr>
          <w:rFonts w:cs="Arial"/>
          <w:b/>
          <w:sz w:val="24"/>
          <w:szCs w:val="24"/>
        </w:rPr>
        <w:t>R1-</w:t>
      </w:r>
      <w:r w:rsidR="009244B3">
        <w:rPr>
          <w:rFonts w:cs="Arial"/>
          <w:b/>
          <w:sz w:val="24"/>
          <w:szCs w:val="24"/>
        </w:rPr>
        <w:t>2005894</w:t>
      </w:r>
    </w:p>
    <w:p w14:paraId="55BF6C97" w14:textId="75FE86FE" w:rsidR="00F521DD" w:rsidRDefault="007B1EE9" w:rsidP="00F521DD">
      <w:pPr>
        <w:pStyle w:val="CRCoverPage"/>
        <w:tabs>
          <w:tab w:val="right" w:pos="9639"/>
          <w:tab w:val="right" w:pos="13323"/>
        </w:tabs>
        <w:spacing w:after="0"/>
        <w:jc w:val="both"/>
        <w:rPr>
          <w:rFonts w:cs="Arial"/>
          <w:b/>
          <w:sz w:val="24"/>
          <w:szCs w:val="24"/>
        </w:rPr>
      </w:pPr>
      <w:r>
        <w:rPr>
          <w:rFonts w:cs="Arial"/>
          <w:b/>
          <w:sz w:val="24"/>
          <w:szCs w:val="24"/>
          <w:lang w:val="en-US"/>
        </w:rPr>
        <w:t xml:space="preserve">e-Meeting, </w:t>
      </w:r>
      <w:r w:rsidRPr="007B1EE9">
        <w:rPr>
          <w:rFonts w:cs="Arial"/>
          <w:b/>
          <w:bCs/>
          <w:sz w:val="24"/>
          <w:szCs w:val="18"/>
          <w:lang w:eastAsia="ja-JP"/>
        </w:rPr>
        <w:t>August 17</w:t>
      </w:r>
      <w:r w:rsidRPr="007B1EE9">
        <w:rPr>
          <w:rFonts w:cs="Arial"/>
          <w:b/>
          <w:bCs/>
          <w:sz w:val="24"/>
          <w:szCs w:val="18"/>
          <w:vertAlign w:val="superscript"/>
          <w:lang w:eastAsia="ja-JP"/>
        </w:rPr>
        <w:t>th</w:t>
      </w:r>
      <w:r w:rsidRPr="007B1EE9">
        <w:rPr>
          <w:rFonts w:cs="Arial"/>
          <w:b/>
          <w:bCs/>
          <w:sz w:val="24"/>
          <w:szCs w:val="18"/>
          <w:lang w:eastAsia="ja-JP"/>
        </w:rPr>
        <w:t xml:space="preserve"> – 28</w:t>
      </w:r>
      <w:r w:rsidRPr="007B1EE9">
        <w:rPr>
          <w:rFonts w:cs="Arial"/>
          <w:b/>
          <w:bCs/>
          <w:sz w:val="24"/>
          <w:szCs w:val="18"/>
          <w:vertAlign w:val="superscript"/>
          <w:lang w:eastAsia="ja-JP"/>
        </w:rPr>
        <w:t>th</w:t>
      </w:r>
      <w:r w:rsidRPr="007B1EE9">
        <w:rPr>
          <w:rFonts w:cs="Arial"/>
          <w:b/>
          <w:bCs/>
          <w:sz w:val="24"/>
          <w:szCs w:val="18"/>
          <w:lang w:eastAsia="ja-JP"/>
        </w:rPr>
        <w:t>, 2020</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bookmarkStart w:id="1" w:name="_GoBack"/>
      <w:bookmarkEnd w:id="1"/>
    </w:p>
    <w:p w14:paraId="1F8DBEAD" w14:textId="434FCAFF"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w:t>
      </w:r>
      <w:r w:rsidR="007B1EE9">
        <w:rPr>
          <w:rFonts w:ascii="Arial" w:hAnsi="Arial"/>
          <w:sz w:val="24"/>
        </w:rPr>
        <w:t>2</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23E6222B"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B1EE9">
        <w:rPr>
          <w:rFonts w:ascii="Arial" w:hAnsi="Arial"/>
          <w:sz w:val="24"/>
        </w:rPr>
        <w:t>Discussion on IAB Backhaul DL Power Control</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2" w:name="OLE_LINK1"/>
    </w:p>
    <w:p w14:paraId="3BA1044F" w14:textId="32B35087" w:rsidR="00F521DD" w:rsidRPr="00857192" w:rsidRDefault="001B1F75" w:rsidP="00F521DD">
      <w:pPr>
        <w:pStyle w:val="3GPPNormalText"/>
        <w:rPr>
          <w:sz w:val="20"/>
          <w:szCs w:val="20"/>
        </w:rPr>
      </w:pPr>
      <w:r>
        <w:rPr>
          <w:sz w:val="20"/>
          <w:szCs w:val="20"/>
        </w:rPr>
        <w:t xml:space="preserve">Regarding </w:t>
      </w:r>
      <w:r>
        <w:rPr>
          <w:rFonts w:eastAsia="Times New Roman"/>
          <w:sz w:val="20"/>
          <w:szCs w:val="20"/>
          <w:lang w:eastAsia="en-US"/>
        </w:rPr>
        <w:t>SDM/FDM-based resource management</w:t>
      </w:r>
      <w:r>
        <w:rPr>
          <w:sz w:val="20"/>
          <w:szCs w:val="20"/>
        </w:rPr>
        <w:t xml:space="preserve">, </w:t>
      </w:r>
      <w:r w:rsidR="00F521DD" w:rsidRPr="00857192">
        <w:rPr>
          <w:sz w:val="20"/>
          <w:szCs w:val="20"/>
        </w:rPr>
        <w:t>RAN1#9</w:t>
      </w:r>
      <w:r w:rsidR="00F521DD">
        <w:rPr>
          <w:sz w:val="20"/>
          <w:szCs w:val="20"/>
        </w:rPr>
        <w:t>8bis</w:t>
      </w:r>
      <w:r w:rsidR="007F5ADE">
        <w:rPr>
          <w:sz w:val="20"/>
          <w:szCs w:val="20"/>
        </w:rPr>
        <w:t>-RAN1#99</w:t>
      </w:r>
      <w:r w:rsidR="00F521DD" w:rsidRPr="00857192">
        <w:rPr>
          <w:sz w:val="20"/>
          <w:szCs w:val="20"/>
        </w:rPr>
        <w:t xml:space="preserve"> ha</w:t>
      </w:r>
      <w:r w:rsidR="007F5ADE">
        <w:rPr>
          <w:sz w:val="20"/>
          <w:szCs w:val="20"/>
        </w:rPr>
        <w:t>ve</w:t>
      </w:r>
      <w:r w:rsidR="00F521DD" w:rsidRPr="00857192">
        <w:rPr>
          <w:sz w:val="20"/>
          <w:szCs w:val="20"/>
        </w:rPr>
        <w:t xml:space="preserve"> made the following agreements</w:t>
      </w:r>
      <w:r w:rsidR="007F5ADE">
        <w:rPr>
          <w:rFonts w:eastAsia="Times New Roman"/>
          <w:sz w:val="20"/>
          <w:szCs w:val="20"/>
          <w:lang w:eastAsia="en-US"/>
        </w:rPr>
        <w:t xml:space="preserve">. </w:t>
      </w:r>
      <w:r w:rsidR="00F521DD">
        <w:rPr>
          <w:rFonts w:eastAsia="Times New Roman"/>
          <w:sz w:val="20"/>
          <w:szCs w:val="20"/>
          <w:lang w:eastAsia="en-US"/>
        </w:rPr>
        <w:t>[1]</w:t>
      </w:r>
      <w:r w:rsidR="007F5ADE">
        <w:rPr>
          <w:rFonts w:eastAsia="Times New Roman"/>
          <w:sz w:val="20"/>
          <w:szCs w:val="20"/>
          <w:lang w:eastAsia="en-US"/>
        </w:rPr>
        <w:t>-[2]</w:t>
      </w:r>
      <w:r w:rsidR="00F521DD" w:rsidRPr="00857192">
        <w:rPr>
          <w:sz w:val="20"/>
          <w:szCs w:val="20"/>
        </w:rPr>
        <w:t xml:space="preserve">. </w:t>
      </w:r>
    </w:p>
    <w:p w14:paraId="4F8151C7" w14:textId="77777777" w:rsidR="007F5ADE" w:rsidRPr="002770B0" w:rsidRDefault="007F5ADE" w:rsidP="007F5ADE">
      <w:pPr>
        <w:pStyle w:val="maintext"/>
        <w:numPr>
          <w:ilvl w:val="0"/>
          <w:numId w:val="24"/>
        </w:numPr>
        <w:spacing w:before="0" w:after="0"/>
        <w:ind w:firstLineChars="0"/>
        <w:rPr>
          <w:rFonts w:eastAsia="Times New Roman" w:cs="Times New Roman"/>
          <w:i/>
          <w:lang w:val="en-US" w:eastAsia="en-US"/>
        </w:rPr>
      </w:pPr>
      <w:r w:rsidRPr="002770B0">
        <w:rPr>
          <w:rFonts w:eastAsia="Times New Roman" w:cs="Times New Roman"/>
          <w:i/>
          <w:lang w:val="en-US" w:eastAsia="en-US"/>
        </w:rPr>
        <w:t>The donor CU and the parent node can be made aware of the multiplexing capability between MT and DU (TDM required, TDM not required) of an IAB node to for any {MT CC, DU cell} pair.</w:t>
      </w:r>
    </w:p>
    <w:p w14:paraId="2F2B2965" w14:textId="77777777" w:rsidR="007F5ADE" w:rsidRPr="002770B0" w:rsidRDefault="007F5ADE" w:rsidP="007F5ADE">
      <w:pPr>
        <w:pStyle w:val="ListParagraph"/>
        <w:numPr>
          <w:ilvl w:val="1"/>
          <w:numId w:val="24"/>
        </w:numPr>
        <w:spacing w:before="60" w:after="120" w:line="240" w:lineRule="auto"/>
        <w:ind w:left="1224"/>
        <w:jc w:val="both"/>
        <w:rPr>
          <w:rFonts w:ascii="Times New Roman" w:hAnsi="Times New Roman"/>
          <w:i/>
          <w:sz w:val="16"/>
          <w:szCs w:val="20"/>
          <w:lang w:eastAsia="zh-CN"/>
        </w:rPr>
      </w:pPr>
      <w:r w:rsidRPr="002770B0">
        <w:rPr>
          <w:rFonts w:ascii="Times New Roman" w:eastAsia="Times New Roman" w:hAnsi="Times New Roman"/>
          <w:i/>
          <w:sz w:val="20"/>
        </w:rPr>
        <w:t>Signaling details up to RAN2/RAN3.</w:t>
      </w:r>
    </w:p>
    <w:p w14:paraId="25DFC2F6" w14:textId="77777777" w:rsidR="007F5ADE" w:rsidRPr="007F5ADE" w:rsidRDefault="007F5ADE" w:rsidP="007F5ADE">
      <w:pPr>
        <w:pStyle w:val="maintext"/>
        <w:numPr>
          <w:ilvl w:val="0"/>
          <w:numId w:val="24"/>
        </w:numPr>
        <w:spacing w:after="0"/>
        <w:ind w:firstLineChars="0"/>
        <w:rPr>
          <w:rFonts w:eastAsia="Times New Roman" w:cs="Times New Roman"/>
          <w:i/>
          <w:lang w:val="en-US" w:eastAsia="en-US"/>
        </w:rPr>
      </w:pPr>
      <w:r w:rsidRPr="007F5ADE">
        <w:rPr>
          <w:i/>
        </w:rPr>
        <w:t>The indication of the multiplexing capability for the case of no-TDM between IAB MT and IAB DU is additionally provided with respect to each transmission-direction combination (per MT CC/DU cell pair):</w:t>
      </w:r>
    </w:p>
    <w:p w14:paraId="144724D9" w14:textId="77777777" w:rsidR="007F5ADE" w:rsidRPr="007F5ADE" w:rsidRDefault="007F5ADE" w:rsidP="007F5ADE">
      <w:pPr>
        <w:pStyle w:val="ListParagraph"/>
        <w:numPr>
          <w:ilvl w:val="1"/>
          <w:numId w:val="24"/>
        </w:numPr>
        <w:spacing w:before="60" w:after="0" w:line="240" w:lineRule="auto"/>
        <w:ind w:left="1224"/>
        <w:contextualSpacing w:val="0"/>
        <w:jc w:val="both"/>
        <w:rPr>
          <w:rFonts w:ascii="Times New Roman" w:hAnsi="Times New Roman"/>
          <w:i/>
          <w:sz w:val="14"/>
          <w:szCs w:val="20"/>
          <w:lang w:eastAsia="zh-CN"/>
        </w:rPr>
      </w:pPr>
      <w:r w:rsidRPr="007F5ADE">
        <w:rPr>
          <w:rFonts w:ascii="Times New Roman" w:hAnsi="Times New Roman"/>
          <w:i/>
          <w:sz w:val="20"/>
        </w:rPr>
        <w:t>MT-TX/DU-TX</w:t>
      </w:r>
    </w:p>
    <w:p w14:paraId="085D4545" w14:textId="77777777" w:rsidR="007F5ADE" w:rsidRPr="007F5ADE" w:rsidRDefault="007F5ADE" w:rsidP="007F5ADE">
      <w:pPr>
        <w:pStyle w:val="ListParagraph"/>
        <w:numPr>
          <w:ilvl w:val="1"/>
          <w:numId w:val="24"/>
        </w:numPr>
        <w:spacing w:before="60" w:after="0" w:line="240" w:lineRule="auto"/>
        <w:ind w:left="1224"/>
        <w:contextualSpacing w:val="0"/>
        <w:jc w:val="both"/>
        <w:rPr>
          <w:rFonts w:ascii="Times New Roman" w:hAnsi="Times New Roman"/>
          <w:i/>
          <w:sz w:val="14"/>
          <w:szCs w:val="20"/>
          <w:lang w:eastAsia="zh-CN"/>
        </w:rPr>
      </w:pPr>
      <w:r w:rsidRPr="007F5ADE">
        <w:rPr>
          <w:rFonts w:ascii="Times New Roman" w:hAnsi="Times New Roman"/>
          <w:i/>
          <w:sz w:val="20"/>
        </w:rPr>
        <w:t xml:space="preserve">MT-TX/DU-RX </w:t>
      </w:r>
    </w:p>
    <w:p w14:paraId="7D371086" w14:textId="77777777" w:rsidR="007F5ADE" w:rsidRPr="007F5ADE" w:rsidRDefault="007F5ADE" w:rsidP="007F5ADE">
      <w:pPr>
        <w:pStyle w:val="ListParagraph"/>
        <w:numPr>
          <w:ilvl w:val="1"/>
          <w:numId w:val="24"/>
        </w:numPr>
        <w:spacing w:before="60" w:after="0" w:line="240" w:lineRule="auto"/>
        <w:ind w:left="1224"/>
        <w:contextualSpacing w:val="0"/>
        <w:jc w:val="both"/>
        <w:rPr>
          <w:rFonts w:ascii="Times New Roman" w:hAnsi="Times New Roman"/>
          <w:i/>
          <w:sz w:val="14"/>
          <w:szCs w:val="20"/>
          <w:lang w:eastAsia="zh-CN"/>
        </w:rPr>
      </w:pPr>
      <w:r w:rsidRPr="007F5ADE">
        <w:rPr>
          <w:rFonts w:ascii="Times New Roman" w:hAnsi="Times New Roman"/>
          <w:i/>
          <w:sz w:val="20"/>
        </w:rPr>
        <w:t>MT-RX/DU-TX</w:t>
      </w:r>
    </w:p>
    <w:p w14:paraId="4481E82E" w14:textId="77777777" w:rsidR="007F5ADE" w:rsidRPr="007F5ADE" w:rsidRDefault="007F5ADE" w:rsidP="007F5ADE">
      <w:pPr>
        <w:pStyle w:val="ListParagraph"/>
        <w:numPr>
          <w:ilvl w:val="1"/>
          <w:numId w:val="24"/>
        </w:numPr>
        <w:spacing w:before="60" w:after="0" w:line="240" w:lineRule="auto"/>
        <w:ind w:left="1224"/>
        <w:contextualSpacing w:val="0"/>
        <w:jc w:val="both"/>
        <w:rPr>
          <w:rFonts w:ascii="Times New Roman" w:hAnsi="Times New Roman"/>
          <w:i/>
          <w:sz w:val="14"/>
          <w:szCs w:val="20"/>
          <w:lang w:eastAsia="zh-CN"/>
        </w:rPr>
      </w:pPr>
      <w:r w:rsidRPr="007F5ADE">
        <w:rPr>
          <w:rFonts w:ascii="Times New Roman" w:hAnsi="Times New Roman"/>
          <w:i/>
          <w:sz w:val="20"/>
        </w:rPr>
        <w:t>MT-RX/DU-RX</w:t>
      </w:r>
    </w:p>
    <w:p w14:paraId="46B4FE28" w14:textId="77777777" w:rsidR="007F5ADE" w:rsidRPr="007F5ADE" w:rsidRDefault="007F5ADE" w:rsidP="001B1F75">
      <w:pPr>
        <w:spacing w:before="60" w:after="120"/>
        <w:ind w:left="864"/>
        <w:jc w:val="both"/>
        <w:rPr>
          <w:i/>
          <w:sz w:val="14"/>
          <w:lang w:eastAsia="zh-CN"/>
        </w:rPr>
      </w:pPr>
      <w:r w:rsidRPr="007F5ADE">
        <w:rPr>
          <w:i/>
        </w:rPr>
        <w:t>Note: This agreement does not require any additional specification impact in RAN1 in Rel-16, i.e. in Rel-16 the behaviour of the IAB node is only defined for TDM cases. The behaviour for no-TDM is left to IAB-node/network implementation in Rel-16.</w:t>
      </w:r>
    </w:p>
    <w:p w14:paraId="61AE8EC2" w14:textId="349F732C" w:rsidR="00F521DD" w:rsidRDefault="00F521DD" w:rsidP="00F521DD">
      <w:pPr>
        <w:spacing w:after="60"/>
        <w:jc w:val="both"/>
      </w:pPr>
      <w:r w:rsidRPr="00C82094">
        <w:t xml:space="preserve">In this contribution, based on those discussion and agreements, we further elaborate on </w:t>
      </w:r>
      <w:r w:rsidR="008B7E46">
        <w:t xml:space="preserve">IAB backhaul DL power control </w:t>
      </w:r>
      <w:r>
        <w:t>m</w:t>
      </w:r>
      <w:r w:rsidRPr="00C82094">
        <w:t xml:space="preserve">echanisms </w:t>
      </w:r>
      <w:r w:rsidR="008B7E46">
        <w:t xml:space="preserve">to support IAB MT/DU simultaneous operations. </w:t>
      </w:r>
      <w:r w:rsidRPr="00C82094">
        <w:t xml:space="preserve"> </w:t>
      </w:r>
    </w:p>
    <w:p w14:paraId="00A7913B" w14:textId="6DDF286B" w:rsidR="00F521DD" w:rsidRPr="0095487A" w:rsidRDefault="008B7E46" w:rsidP="00F521DD">
      <w:pPr>
        <w:pStyle w:val="Heading1"/>
        <w:jc w:val="both"/>
        <w:rPr>
          <w:rFonts w:eastAsia="SimSun"/>
          <w:color w:val="000000"/>
          <w:lang w:eastAsia="zh-CN"/>
        </w:rPr>
      </w:pPr>
      <w:r>
        <w:rPr>
          <w:rFonts w:eastAsia="SimSun"/>
          <w:color w:val="000000"/>
          <w:lang w:val="en-US" w:eastAsia="zh-CN"/>
        </w:rPr>
        <w:t xml:space="preserve">IAB Backhaul DL Power Control to Support MT/DU Simultaneous Operations </w:t>
      </w:r>
    </w:p>
    <w:p w14:paraId="63543D40" w14:textId="5DE2A39A" w:rsidR="00265D6B" w:rsidRDefault="00E86148" w:rsidP="00F521DD">
      <w:pPr>
        <w:jc w:val="both"/>
        <w:rPr>
          <w:color w:val="000000"/>
          <w:lang w:val="en-US" w:eastAsia="zh-CN"/>
        </w:rPr>
      </w:pPr>
      <w:bookmarkStart w:id="3" w:name="_Ref510628869"/>
      <w:r>
        <w:rPr>
          <w:color w:val="000000"/>
          <w:lang w:eastAsia="zh-CN"/>
        </w:rPr>
        <w:t>In Rel-16, the IAB discussion are focused on supporting TDM based DU function and MT function within an IAB node</w:t>
      </w:r>
      <w:r w:rsidR="00404E6C">
        <w:rPr>
          <w:color w:val="000000"/>
          <w:lang w:eastAsia="zh-CN"/>
        </w:rPr>
        <w:t xml:space="preserve">. In Rel-17 WID [3], </w:t>
      </w:r>
      <w:r w:rsidR="008C3B63">
        <w:rPr>
          <w:color w:val="000000"/>
          <w:lang w:eastAsia="zh-CN"/>
        </w:rPr>
        <w:t xml:space="preserve">there are duplexing enhancements to support simultaneous operation (transmission </w:t>
      </w:r>
      <w:r w:rsidR="007B63BF">
        <w:rPr>
          <w:color w:val="000000"/>
          <w:lang w:eastAsia="zh-CN"/>
        </w:rPr>
        <w:t xml:space="preserve">and/or reception) of IAB-node’s child and </w:t>
      </w:r>
      <w:r w:rsidR="009A7D22">
        <w:rPr>
          <w:color w:val="000000"/>
          <w:lang w:eastAsia="zh-CN"/>
        </w:rPr>
        <w:t>parent links (i.e., MT TX/DU TX, MT TX/DU RX, MT RX/DU TX, MT RX/DU RX)</w:t>
      </w:r>
      <w:r w:rsidR="00C53214">
        <w:rPr>
          <w:color w:val="000000"/>
          <w:lang w:eastAsia="zh-CN"/>
        </w:rPr>
        <w:t>, as shown in Figure 1</w:t>
      </w:r>
      <w:r w:rsidR="00D71359">
        <w:rPr>
          <w:color w:val="000000"/>
          <w:lang w:val="en-US" w:eastAsia="zh-CN"/>
        </w:rPr>
        <w:t xml:space="preserve">. </w:t>
      </w:r>
    </w:p>
    <w:p w14:paraId="55CF8A49" w14:textId="1D940FCD" w:rsidR="00B16F19" w:rsidRDefault="008C3B63" w:rsidP="008C3B63">
      <w:pPr>
        <w:spacing w:after="120"/>
        <w:jc w:val="center"/>
        <w:rPr>
          <w:bCs/>
          <w:lang w:val="en-US" w:eastAsia="zh-CN"/>
        </w:rPr>
      </w:pPr>
      <w:r>
        <w:rPr>
          <w:bCs/>
          <w:noProof/>
          <w:lang w:val="en-US" w:eastAsia="zh-CN"/>
        </w:rPr>
        <w:drawing>
          <wp:inline distT="0" distB="0" distL="0" distR="0" wp14:anchorId="36229DA2" wp14:editId="297321D9">
            <wp:extent cx="4775226" cy="1555750"/>
            <wp:effectExtent l="0" t="0" r="6350" b="6350"/>
            <wp:docPr id="1" name="Picture 1"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ur MTDU operatio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18855" cy="1569964"/>
                    </a:xfrm>
                    <a:prstGeom prst="rect">
                      <a:avLst/>
                    </a:prstGeom>
                  </pic:spPr>
                </pic:pic>
              </a:graphicData>
            </a:graphic>
          </wp:inline>
        </w:drawing>
      </w:r>
    </w:p>
    <w:p w14:paraId="542EDF06" w14:textId="55BCE4C9" w:rsidR="008C3B63" w:rsidRDefault="008C3B63" w:rsidP="008C3B63">
      <w:pPr>
        <w:spacing w:after="120"/>
        <w:jc w:val="center"/>
        <w:rPr>
          <w:bCs/>
          <w:lang w:val="en-US" w:eastAsia="zh-CN"/>
        </w:rPr>
      </w:pPr>
      <w:r>
        <w:rPr>
          <w:bCs/>
          <w:lang w:val="en-US" w:eastAsia="zh-CN"/>
        </w:rPr>
        <w:t>Figure 1: IAB MT/DU simultaneous transmission four cases</w:t>
      </w:r>
    </w:p>
    <w:p w14:paraId="11ECF488" w14:textId="5C258027" w:rsidR="008C3B63" w:rsidRDefault="008C3B63" w:rsidP="00C07F46">
      <w:pPr>
        <w:pStyle w:val="N1"/>
        <w:ind w:left="0"/>
        <w:rPr>
          <w:rFonts w:ascii="Times New Roman" w:eastAsia="SimSun" w:hAnsi="Times New Roman" w:cs="Times New Roman"/>
          <w:sz w:val="20"/>
          <w:szCs w:val="20"/>
          <w:lang w:eastAsia="zh-CN"/>
        </w:rPr>
      </w:pPr>
      <w:r w:rsidRPr="008C3B63">
        <w:rPr>
          <w:rFonts w:ascii="Times New Roman" w:eastAsia="SimSun" w:hAnsi="Times New Roman" w:cs="Times New Roman"/>
          <w:sz w:val="20"/>
          <w:szCs w:val="20"/>
          <w:lang w:eastAsia="zh-CN"/>
        </w:rPr>
        <w:lastRenderedPageBreak/>
        <w:t xml:space="preserve">If IAB MT/DU simultaneous transmission is allowed, there will be additional power control demands other than UL power control </w:t>
      </w:r>
      <w:r>
        <w:rPr>
          <w:rFonts w:ascii="Times New Roman" w:eastAsia="SimSun" w:hAnsi="Times New Roman" w:cs="Times New Roman"/>
          <w:sz w:val="20"/>
          <w:szCs w:val="20"/>
          <w:lang w:eastAsia="zh-CN"/>
        </w:rPr>
        <w:t xml:space="preserve">mechanism </w:t>
      </w:r>
      <w:r w:rsidRPr="008C3B63">
        <w:rPr>
          <w:rFonts w:ascii="Times New Roman" w:eastAsia="SimSun" w:hAnsi="Times New Roman" w:cs="Times New Roman"/>
          <w:sz w:val="20"/>
          <w:szCs w:val="20"/>
          <w:lang w:eastAsia="zh-CN"/>
        </w:rPr>
        <w:t xml:space="preserve">in current specification. For example, in Figure </w:t>
      </w:r>
      <w:r>
        <w:rPr>
          <w:rFonts w:ascii="Times New Roman" w:eastAsia="SimSun" w:hAnsi="Times New Roman" w:cs="Times New Roman"/>
          <w:sz w:val="20"/>
          <w:szCs w:val="20"/>
          <w:lang w:eastAsia="zh-CN"/>
        </w:rPr>
        <w:t>1</w:t>
      </w:r>
      <w:r w:rsidRPr="008C3B63">
        <w:rPr>
          <w:rFonts w:ascii="Times New Roman" w:eastAsia="SimSun" w:hAnsi="Times New Roman" w:cs="Times New Roman"/>
          <w:sz w:val="20"/>
          <w:szCs w:val="20"/>
          <w:lang w:eastAsia="zh-CN"/>
        </w:rPr>
        <w:t xml:space="preserve"> case(b), an IAB MT is receiving from its parent DU and the co-located DU is receiving from its child. Since DL transmission usually has higher EIRP than UL transmission, there will be high chance that </w:t>
      </w:r>
      <w:r>
        <w:rPr>
          <w:rFonts w:ascii="Times New Roman" w:eastAsia="SimSun" w:hAnsi="Times New Roman" w:cs="Times New Roman"/>
          <w:sz w:val="20"/>
          <w:szCs w:val="20"/>
          <w:lang w:eastAsia="zh-CN"/>
        </w:rPr>
        <w:t xml:space="preserve">the </w:t>
      </w:r>
      <w:r w:rsidRPr="008C3B63">
        <w:rPr>
          <w:rFonts w:ascii="Times New Roman" w:eastAsia="SimSun" w:hAnsi="Times New Roman" w:cs="Times New Roman"/>
          <w:sz w:val="20"/>
          <w:szCs w:val="20"/>
          <w:lang w:eastAsia="zh-CN"/>
        </w:rPr>
        <w:t>MT received power will be much higher than the co-located DU received power, which will cause high interference. Since UL transmission power is limited by the UE/MT capability, UL power control in current specification may not fully solve this issue. Hence, DL power control (MT inform</w:t>
      </w:r>
      <w:r w:rsidR="00ED527E">
        <w:rPr>
          <w:rFonts w:ascii="Times New Roman" w:eastAsia="SimSun" w:hAnsi="Times New Roman" w:cs="Times New Roman"/>
          <w:sz w:val="20"/>
          <w:szCs w:val="20"/>
          <w:lang w:eastAsia="zh-CN"/>
        </w:rPr>
        <w:t>s</w:t>
      </w:r>
      <w:r w:rsidRPr="008C3B63">
        <w:rPr>
          <w:rFonts w:ascii="Times New Roman" w:eastAsia="SimSun" w:hAnsi="Times New Roman" w:cs="Times New Roman"/>
          <w:sz w:val="20"/>
          <w:szCs w:val="20"/>
          <w:lang w:eastAsia="zh-CN"/>
        </w:rPr>
        <w:t xml:space="preserve"> its parent DU to adjust its DL transmission power) is needed for IAB backhaul. </w:t>
      </w:r>
    </w:p>
    <w:p w14:paraId="38965D26" w14:textId="69A0172E" w:rsidR="008C3B63" w:rsidRDefault="008C3B63" w:rsidP="00C07F46">
      <w:pPr>
        <w:pStyle w:val="N1"/>
        <w:ind w:left="0"/>
        <w:rPr>
          <w:rFonts w:ascii="Times New Roman" w:eastAsia="SimSun" w:hAnsi="Times New Roman" w:cs="Times New Roman"/>
          <w:sz w:val="20"/>
          <w:szCs w:val="20"/>
          <w:lang w:eastAsia="zh-CN"/>
        </w:rPr>
      </w:pPr>
    </w:p>
    <w:p w14:paraId="6DA8933E" w14:textId="11CB6230" w:rsidR="00734291" w:rsidRPr="00734291" w:rsidRDefault="00734291" w:rsidP="00C07F46">
      <w:pPr>
        <w:pStyle w:val="N3"/>
        <w:ind w:left="0"/>
        <w:jc w:val="both"/>
        <w:rPr>
          <w:rFonts w:ascii="Times New Roman" w:cs="Times New Roman"/>
        </w:rPr>
      </w:pPr>
      <w:proofErr w:type="gramStart"/>
      <w:r w:rsidRPr="00734291">
        <w:rPr>
          <w:rFonts w:ascii="Times New Roman" w:cs="Times New Roman"/>
          <w:lang w:eastAsia="zh-CN"/>
        </w:rPr>
        <w:t>Similar to</w:t>
      </w:r>
      <w:proofErr w:type="gramEnd"/>
      <w:r w:rsidRPr="00734291">
        <w:rPr>
          <w:rFonts w:ascii="Times New Roman" w:cs="Times New Roman"/>
          <w:lang w:eastAsia="zh-CN"/>
        </w:rPr>
        <w:t xml:space="preserve"> UL power control, there can be open-loop and closed-loop DL power control mechanisms</w:t>
      </w:r>
      <w:r w:rsidR="00960911">
        <w:rPr>
          <w:rFonts w:ascii="Times New Roman" w:cs="Times New Roman"/>
          <w:lang w:eastAsia="zh-CN"/>
        </w:rPr>
        <w:t>, which can be applied for different DL channels/DL signals (e.g. PDCCH and PDSCH)</w:t>
      </w:r>
      <w:r w:rsidRPr="00734291">
        <w:rPr>
          <w:rFonts w:ascii="Times New Roman" w:cs="Times New Roman"/>
          <w:lang w:eastAsia="zh-CN"/>
        </w:rPr>
        <w:t xml:space="preserve">. </w:t>
      </w:r>
      <w:r w:rsidRPr="00734291">
        <w:rPr>
          <w:rFonts w:ascii="Times New Roman" w:cs="Times New Roman"/>
        </w:rPr>
        <w:t xml:space="preserve">In open-loop DL power control mechanism (illustrated in Figure </w:t>
      </w:r>
      <w:r>
        <w:rPr>
          <w:rFonts w:ascii="Times New Roman" w:cs="Times New Roman"/>
        </w:rPr>
        <w:t>2</w:t>
      </w:r>
      <w:r w:rsidRPr="00734291">
        <w:rPr>
          <w:rFonts w:ascii="Times New Roman" w:cs="Times New Roman"/>
        </w:rPr>
        <w:t xml:space="preserve">), the parent DU’s DL transmission power setting algorithm will be based on some configured parameters and UL </w:t>
      </w:r>
      <w:r w:rsidR="004D33D4">
        <w:rPr>
          <w:rFonts w:ascii="Times New Roman" w:cs="Times New Roman"/>
        </w:rPr>
        <w:t>reference signal</w:t>
      </w:r>
      <w:r w:rsidRPr="00734291">
        <w:rPr>
          <w:rFonts w:ascii="Times New Roman" w:cs="Times New Roman"/>
        </w:rPr>
        <w:t xml:space="preserve"> measurement for path</w:t>
      </w:r>
      <w:r w:rsidR="004D33D4">
        <w:rPr>
          <w:rFonts w:ascii="Times New Roman" w:cs="Times New Roman"/>
        </w:rPr>
        <w:t>-</w:t>
      </w:r>
      <w:r w:rsidRPr="00734291">
        <w:rPr>
          <w:rFonts w:ascii="Times New Roman" w:cs="Times New Roman"/>
        </w:rPr>
        <w:t xml:space="preserve">loss calculation. The parameter configurations can </w:t>
      </w:r>
      <w:r w:rsidR="004F517E" w:rsidRPr="00734291">
        <w:rPr>
          <w:rFonts w:ascii="Times New Roman" w:cs="Times New Roman"/>
        </w:rPr>
        <w:t>include</w:t>
      </w:r>
      <w:r w:rsidRPr="00734291">
        <w:rPr>
          <w:rFonts w:ascii="Times New Roman" w:cs="Times New Roman"/>
        </w:rPr>
        <w:t xml:space="preserve"> UL </w:t>
      </w:r>
      <w:r w:rsidR="004D33D4">
        <w:rPr>
          <w:rFonts w:ascii="Times New Roman" w:cs="Times New Roman"/>
        </w:rPr>
        <w:t>reference signal</w:t>
      </w:r>
      <w:r w:rsidRPr="00734291">
        <w:rPr>
          <w:rFonts w:ascii="Times New Roman" w:cs="Times New Roman"/>
        </w:rPr>
        <w:t xml:space="preserve"> power</w:t>
      </w:r>
      <w:r w:rsidR="00C07F46">
        <w:rPr>
          <w:rFonts w:ascii="Times New Roman" w:cs="Times New Roman"/>
        </w:rPr>
        <w:t>, t</w:t>
      </w:r>
      <w:r w:rsidRPr="00734291">
        <w:rPr>
          <w:rFonts w:ascii="Times New Roman" w:cs="Times New Roman"/>
        </w:rPr>
        <w:t>arget DL reception power</w:t>
      </w:r>
      <w:r w:rsidR="00C07F46">
        <w:rPr>
          <w:rFonts w:ascii="Times New Roman" w:cs="Times New Roman"/>
        </w:rPr>
        <w:t>, fractional path-loss compensation factor, etc</w:t>
      </w:r>
      <w:r w:rsidRPr="00734291">
        <w:rPr>
          <w:rFonts w:ascii="Times New Roman" w:cs="Times New Roman"/>
        </w:rPr>
        <w:t xml:space="preserve">. </w:t>
      </w:r>
    </w:p>
    <w:p w14:paraId="3DA63B91" w14:textId="7A810ADA" w:rsidR="00734291" w:rsidRDefault="00734291" w:rsidP="008C3B63">
      <w:pPr>
        <w:pStyle w:val="N1"/>
        <w:ind w:left="0"/>
        <w:rPr>
          <w:rFonts w:ascii="Times New Roman" w:eastAsia="SimSun" w:hAnsi="Times New Roman" w:cs="Times New Roman"/>
          <w:sz w:val="20"/>
          <w:szCs w:val="20"/>
          <w:lang w:eastAsia="zh-CN"/>
        </w:rPr>
      </w:pPr>
    </w:p>
    <w:p w14:paraId="028A45A9" w14:textId="40EA6C47" w:rsidR="008C3B63" w:rsidRPr="008C3B63" w:rsidRDefault="008C3B63" w:rsidP="008C3B63">
      <w:pPr>
        <w:pStyle w:val="N1"/>
        <w:ind w:left="0"/>
        <w:jc w:val="center"/>
        <w:rPr>
          <w:rFonts w:ascii="Times New Roman" w:eastAsia="SimSun" w:hAnsi="Times New Roman" w:cs="Times New Roman"/>
          <w:sz w:val="20"/>
          <w:szCs w:val="20"/>
          <w:lang w:eastAsia="zh-CN"/>
        </w:rPr>
      </w:pPr>
      <w:r>
        <w:rPr>
          <w:noProof/>
        </w:rPr>
        <w:drawing>
          <wp:inline distT="0" distB="0" distL="0" distR="0" wp14:anchorId="7C48BB34" wp14:editId="23873656">
            <wp:extent cx="3981283" cy="1356018"/>
            <wp:effectExtent l="0" t="0" r="635" b="0"/>
            <wp:docPr id="8" name="Picture 8"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LPC-openloop1.jpg"/>
                    <pic:cNvPicPr/>
                  </pic:nvPicPr>
                  <pic:blipFill>
                    <a:blip r:embed="rId9"/>
                    <a:stretch>
                      <a:fillRect/>
                    </a:stretch>
                  </pic:blipFill>
                  <pic:spPr>
                    <a:xfrm>
                      <a:off x="0" y="0"/>
                      <a:ext cx="4014197" cy="1367228"/>
                    </a:xfrm>
                    <a:prstGeom prst="rect">
                      <a:avLst/>
                    </a:prstGeom>
                  </pic:spPr>
                </pic:pic>
              </a:graphicData>
            </a:graphic>
          </wp:inline>
        </w:drawing>
      </w:r>
    </w:p>
    <w:p w14:paraId="05C0F591" w14:textId="328B0EBD" w:rsidR="008C3B63" w:rsidRDefault="008C3B63" w:rsidP="008C3B63">
      <w:pPr>
        <w:spacing w:after="120"/>
        <w:jc w:val="center"/>
        <w:rPr>
          <w:bCs/>
          <w:lang w:val="en-US" w:eastAsia="zh-CN"/>
        </w:rPr>
      </w:pPr>
      <w:r>
        <w:rPr>
          <w:bCs/>
          <w:lang w:val="en-US" w:eastAsia="zh-CN"/>
        </w:rPr>
        <w:t>Figure 2: Open-loop DL power control illustration</w:t>
      </w:r>
    </w:p>
    <w:p w14:paraId="367B2EC1" w14:textId="084EA730" w:rsidR="00ED527E" w:rsidRPr="00ED527E" w:rsidRDefault="00ED527E" w:rsidP="00ED527E">
      <w:pPr>
        <w:pStyle w:val="N3"/>
        <w:ind w:left="0"/>
        <w:rPr>
          <w:rFonts w:ascii="Times New Roman" w:cs="Times New Roman"/>
        </w:rPr>
      </w:pPr>
      <w:r w:rsidRPr="00ED527E">
        <w:rPr>
          <w:rFonts w:ascii="Times New Roman" w:cs="Times New Roman"/>
        </w:rPr>
        <w:t xml:space="preserve">For example, a </w:t>
      </w:r>
      <w:r>
        <w:rPr>
          <w:rFonts w:ascii="Times New Roman" w:cs="Times New Roman"/>
        </w:rPr>
        <w:t xml:space="preserve">parent DU </w:t>
      </w:r>
      <w:r w:rsidRPr="00ED527E">
        <w:rPr>
          <w:rFonts w:ascii="Times New Roman" w:cs="Times New Roman"/>
        </w:rPr>
        <w:t xml:space="preserve">DL transmission power can be determined on active DL BWP </w:t>
      </w:r>
      <m:oMath>
        <m:r>
          <w:rPr>
            <w:rFonts w:ascii="Cambria Math" w:hAnsi="Cambria Math" w:cs="Times New Roman"/>
            <w:color w:val="000000" w:themeColor="text1"/>
          </w:rPr>
          <m:t>b</m:t>
        </m:r>
      </m:oMath>
      <w:r w:rsidRPr="00ED527E">
        <w:rPr>
          <w:rFonts w:ascii="Times New Roman" w:cs="Times New Roman"/>
          <w:color w:val="000000" w:themeColor="text1"/>
        </w:rPr>
        <w:t xml:space="preserve"> of carrier </w:t>
      </w:r>
      <m:oMath>
        <m:r>
          <w:rPr>
            <w:rFonts w:ascii="Cambria Math" w:hAnsi="Cambria Math" w:cs="Times New Roman"/>
            <w:color w:val="000000" w:themeColor="text1"/>
          </w:rPr>
          <m:t>f</m:t>
        </m:r>
      </m:oMath>
      <w:r w:rsidRPr="00ED527E">
        <w:rPr>
          <w:rFonts w:ascii="Times New Roman" w:cs="Times New Roman"/>
          <w:color w:val="000000" w:themeColor="text1"/>
        </w:rPr>
        <w:t xml:space="preserve"> of serving cell </w:t>
      </w:r>
      <m:oMath>
        <m:r>
          <w:rPr>
            <w:rFonts w:ascii="Cambria Math" w:hAnsi="Cambria Math" w:cs="Times New Roman"/>
            <w:color w:val="000000" w:themeColor="text1"/>
          </w:rPr>
          <m:t>c</m:t>
        </m:r>
      </m:oMath>
      <w:r w:rsidRPr="00ED527E">
        <w:rPr>
          <w:rFonts w:ascii="Times New Roman" w:cs="Times New Roman"/>
          <w:color w:val="000000" w:themeColor="text1"/>
        </w:rPr>
        <w:t xml:space="preserve"> in transmission occasion </w:t>
      </w:r>
      <m:oMath>
        <m:r>
          <w:rPr>
            <w:rFonts w:ascii="Cambria Math" w:hAnsi="Cambria Math" w:cs="Times New Roman"/>
            <w:color w:val="000000" w:themeColor="text1"/>
          </w:rPr>
          <m:t>i</m:t>
        </m:r>
      </m:oMath>
      <w:r w:rsidRPr="00ED527E">
        <w:rPr>
          <w:rFonts w:ascii="Times New Roman" w:cs="Times New Roman"/>
          <w:color w:val="000000" w:themeColor="text1"/>
        </w:rPr>
        <w:t xml:space="preserve"> as </w:t>
      </w:r>
    </w:p>
    <w:p w14:paraId="2EBD6639" w14:textId="77777777" w:rsidR="00ED527E" w:rsidRPr="00ED527E" w:rsidRDefault="00ED527E" w:rsidP="00ED527E">
      <w:pPr>
        <w:pStyle w:val="N1"/>
        <w:rPr>
          <w:rFonts w:ascii="Times New Roman" w:hAnsi="Times New Roman" w:cs="Times New Roman"/>
          <w:sz w:val="20"/>
          <w:szCs w:val="20"/>
        </w:rPr>
      </w:pPr>
    </w:p>
    <w:p w14:paraId="330776D1" w14:textId="77777777" w:rsidR="00ED527E" w:rsidRPr="00ED527E" w:rsidRDefault="00ED527E" w:rsidP="00ED527E">
      <w:pPr>
        <w:pStyle w:val="N1"/>
        <w:rPr>
          <w:rFonts w:ascii="Times New Roman" w:hAnsi="Times New Roman" w:cs="Times New Roman"/>
          <w:sz w:val="20"/>
          <w:szCs w:val="20"/>
        </w:rPr>
      </w:pPr>
      <w:r w:rsidRPr="00ED527E">
        <w:rPr>
          <w:rFonts w:ascii="Times New Roman" w:hAnsi="Times New Roman" w:cs="Times New Roman"/>
          <w:color w:val="000000" w:themeColor="text1"/>
          <w:sz w:val="20"/>
          <w:szCs w:val="20"/>
        </w:rPr>
        <w:t xml:space="preserve">                   </w:t>
      </w:r>
      <m:oMath>
        <m:r>
          <w:rPr>
            <w:rFonts w:ascii="Cambria Math" w:hAnsi="Cambria Math" w:cs="Times New Roman"/>
            <w:color w:val="000000" w:themeColor="text1"/>
            <w:sz w:val="20"/>
            <w:szCs w:val="20"/>
          </w:rPr>
          <m:t xml:space="preserve">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DL,b,f,c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r>
          <w:rPr>
            <w:rFonts w:ascii="Cambria Math" w:hAnsi="Cambria Math" w:cs="Times New Roman"/>
            <w:color w:val="000000" w:themeColor="text1"/>
            <w:sz w:val="20"/>
            <w:szCs w:val="20"/>
          </w:rPr>
          <m:t>=</m:t>
        </m:r>
        <m:r>
          <m:rPr>
            <m:sty m:val="p"/>
          </m:rPr>
          <w:rPr>
            <w:rFonts w:ascii="Cambria Math" w:hAnsi="Cambria Math" w:cs="Times New Roman"/>
            <w:color w:val="000000" w:themeColor="text1"/>
            <w:sz w:val="20"/>
            <w:szCs w:val="20"/>
          </w:rPr>
          <m:t>min⁡</m:t>
        </m:r>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DMAX,f,c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r>
          <w:rPr>
            <w:rFonts w:ascii="Cambria Math" w:hAnsi="Cambria Math" w:cs="Times New Roman"/>
            <w:color w:val="000000" w:themeColor="text1"/>
            <w:sz w:val="20"/>
            <w:szCs w:val="20"/>
          </w:rPr>
          <m:t xml:space="preserve">,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DLtarget,b,f,c</m:t>
            </m:r>
          </m:sub>
        </m:sSub>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α</m:t>
                </m:r>
              </m:e>
              <m:sub>
                <m:r>
                  <w:rPr>
                    <w:rFonts w:ascii="Cambria Math" w:hAnsi="Cambria Math" w:cs="Times New Roman"/>
                    <w:color w:val="000000" w:themeColor="text1"/>
                    <w:sz w:val="20"/>
                    <w:szCs w:val="20"/>
                  </w:rPr>
                  <m:t>b,f,c</m:t>
                </m:r>
              </m:sub>
            </m:sSub>
            <m:r>
              <w:rPr>
                <w:rFonts w:ascii="Cambria Math" w:hAnsi="Cambria Math" w:cs="Times New Roman"/>
                <w:color w:val="000000" w:themeColor="text1"/>
                <w:sz w:val="20"/>
                <w:szCs w:val="20"/>
              </w:rPr>
              <m:t>·PL</m:t>
            </m:r>
          </m:e>
          <m:sub>
            <m:r>
              <w:rPr>
                <w:rFonts w:ascii="Cambria Math" w:hAnsi="Cambria Math" w:cs="Times New Roman"/>
                <w:color w:val="000000" w:themeColor="text1"/>
                <w:sz w:val="20"/>
                <w:szCs w:val="20"/>
              </w:rPr>
              <m:t>b,f,c</m:t>
            </m:r>
          </m:sub>
        </m:sSub>
        <m:r>
          <w:rPr>
            <w:rFonts w:ascii="Cambria Math" w:hAnsi="Cambria Math" w:cs="Times New Roman"/>
            <w:color w:val="000000" w:themeColor="text1"/>
            <w:sz w:val="20"/>
            <w:szCs w:val="20"/>
          </w:rPr>
          <m:t>}</m:t>
        </m:r>
      </m:oMath>
      <w:r w:rsidRPr="00ED527E">
        <w:rPr>
          <w:rFonts w:ascii="Times New Roman" w:hAnsi="Times New Roman" w:cs="Times New Roman"/>
          <w:color w:val="000000" w:themeColor="text1"/>
          <w:sz w:val="20"/>
          <w:szCs w:val="20"/>
        </w:rPr>
        <w:t xml:space="preserve">                              (1)</w:t>
      </w:r>
    </w:p>
    <w:p w14:paraId="40660F29" w14:textId="77777777" w:rsidR="00ED527E" w:rsidRPr="00ED527E" w:rsidRDefault="00ED527E" w:rsidP="00ED527E">
      <w:pPr>
        <w:pStyle w:val="N1"/>
        <w:rPr>
          <w:rFonts w:ascii="Times New Roman" w:hAnsi="Times New Roman" w:cs="Times New Roman"/>
          <w:sz w:val="20"/>
          <w:szCs w:val="20"/>
        </w:rPr>
      </w:pPr>
    </w:p>
    <w:p w14:paraId="26606C91" w14:textId="77777777" w:rsidR="00ED527E" w:rsidRPr="00ED527E" w:rsidRDefault="00ED527E" w:rsidP="00ED527E">
      <w:pPr>
        <w:pStyle w:val="N1"/>
        <w:ind w:left="0"/>
        <w:rPr>
          <w:rFonts w:ascii="Times New Roman" w:hAnsi="Times New Roman" w:cs="Times New Roman"/>
          <w:sz w:val="20"/>
          <w:szCs w:val="20"/>
        </w:rPr>
      </w:pPr>
      <w:r w:rsidRPr="00ED527E">
        <w:rPr>
          <w:rFonts w:ascii="Times New Roman" w:hAnsi="Times New Roman" w:cs="Times New Roman"/>
          <w:sz w:val="20"/>
          <w:szCs w:val="20"/>
        </w:rPr>
        <w:t xml:space="preserve">where </w:t>
      </w:r>
    </w:p>
    <w:p w14:paraId="5C31B3E4" w14:textId="77777777" w:rsidR="00ED527E" w:rsidRPr="00ED527E" w:rsidRDefault="00BE003A" w:rsidP="00ED527E">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DMAX,f,c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oMath>
      <w:r w:rsidR="00ED527E" w:rsidRPr="00ED527E">
        <w:rPr>
          <w:rFonts w:ascii="Times New Roman" w:hAnsi="Times New Roman" w:cs="Times New Roman"/>
          <w:color w:val="000000" w:themeColor="text1"/>
          <w:sz w:val="20"/>
          <w:szCs w:val="20"/>
        </w:rPr>
        <w:t xml:space="preserve"> is the parent DU’s configured maximum output power for carrier </w:t>
      </w:r>
      <m:oMath>
        <m:r>
          <w:rPr>
            <w:rFonts w:ascii="Cambria Math" w:hAnsi="Cambria Math" w:cs="Times New Roman"/>
            <w:color w:val="000000" w:themeColor="text1"/>
            <w:sz w:val="20"/>
            <w:szCs w:val="20"/>
          </w:rPr>
          <m:t>f</m:t>
        </m:r>
      </m:oMath>
      <w:r w:rsidR="00ED527E" w:rsidRPr="00ED527E">
        <w:rPr>
          <w:rFonts w:ascii="Times New Roman" w:hAnsi="Times New Roman" w:cs="Times New Roman"/>
          <w:color w:val="000000" w:themeColor="text1"/>
          <w:sz w:val="20"/>
          <w:szCs w:val="20"/>
        </w:rPr>
        <w:t xml:space="preserve"> of serving cell </w:t>
      </w:r>
      <m:oMath>
        <m:r>
          <w:rPr>
            <w:rFonts w:ascii="Cambria Math" w:hAnsi="Cambria Math" w:cs="Times New Roman"/>
            <w:color w:val="000000" w:themeColor="text1"/>
            <w:sz w:val="20"/>
            <w:szCs w:val="20"/>
          </w:rPr>
          <m:t>c</m:t>
        </m:r>
      </m:oMath>
      <w:r w:rsidR="00ED527E" w:rsidRPr="00ED527E">
        <w:rPr>
          <w:rFonts w:ascii="Times New Roman" w:hAnsi="Times New Roman" w:cs="Times New Roman"/>
          <w:color w:val="000000" w:themeColor="text1"/>
          <w:sz w:val="20"/>
          <w:szCs w:val="20"/>
        </w:rPr>
        <w:t xml:space="preserve"> in transmission occasion </w:t>
      </w:r>
      <m:oMath>
        <m:r>
          <w:rPr>
            <w:rFonts w:ascii="Cambria Math" w:hAnsi="Cambria Math" w:cs="Times New Roman"/>
            <w:color w:val="000000" w:themeColor="text1"/>
            <w:sz w:val="20"/>
            <w:szCs w:val="20"/>
          </w:rPr>
          <m:t>i</m:t>
        </m:r>
      </m:oMath>
      <w:r w:rsidR="00ED527E" w:rsidRPr="00ED527E">
        <w:rPr>
          <w:rFonts w:ascii="Times New Roman" w:hAnsi="Times New Roman" w:cs="Times New Roman"/>
          <w:color w:val="000000" w:themeColor="text1"/>
          <w:sz w:val="20"/>
          <w:szCs w:val="20"/>
        </w:rPr>
        <w:t xml:space="preserve">; </w:t>
      </w:r>
    </w:p>
    <w:p w14:paraId="79CF1B06" w14:textId="77777777" w:rsidR="00ED527E" w:rsidRPr="00ED527E" w:rsidRDefault="00BE003A" w:rsidP="00ED527E">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DL,target,b,f,c</m:t>
            </m:r>
          </m:sub>
        </m:sSub>
      </m:oMath>
      <w:r w:rsidR="00ED527E" w:rsidRPr="00ED527E">
        <w:rPr>
          <w:rFonts w:ascii="Times New Roman" w:hAnsi="Times New Roman" w:cs="Times New Roman"/>
          <w:color w:val="000000" w:themeColor="text1"/>
          <w:sz w:val="20"/>
          <w:szCs w:val="20"/>
        </w:rPr>
        <w:t xml:space="preserve"> is the DL target reception power according to parameter configurations for the </w:t>
      </w:r>
      <w:r w:rsidR="00ED527E" w:rsidRPr="00ED527E">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D527E" w:rsidRPr="00ED527E">
        <w:rPr>
          <w:rFonts w:ascii="Times New Roman" w:hAnsi="Times New Roman" w:cs="Times New Roman"/>
          <w:color w:val="000000" w:themeColor="text1"/>
          <w:sz w:val="20"/>
          <w:szCs w:val="20"/>
        </w:rPr>
        <w:t xml:space="preserve"> of carrier </w:t>
      </w:r>
      <m:oMath>
        <m:r>
          <w:rPr>
            <w:rFonts w:ascii="Cambria Math" w:hAnsi="Cambria Math" w:cs="Times New Roman"/>
            <w:color w:val="000000" w:themeColor="text1"/>
            <w:sz w:val="20"/>
            <w:szCs w:val="20"/>
          </w:rPr>
          <m:t>f</m:t>
        </m:r>
      </m:oMath>
      <w:r w:rsidR="00ED527E" w:rsidRPr="00ED527E">
        <w:rPr>
          <w:rFonts w:ascii="Times New Roman" w:hAnsi="Times New Roman" w:cs="Times New Roman"/>
          <w:color w:val="000000" w:themeColor="text1"/>
          <w:sz w:val="20"/>
          <w:szCs w:val="20"/>
        </w:rPr>
        <w:t xml:space="preserve"> of serving cell </w:t>
      </w:r>
      <m:oMath>
        <m:r>
          <w:rPr>
            <w:rFonts w:ascii="Cambria Math" w:hAnsi="Cambria Math" w:cs="Times New Roman"/>
            <w:color w:val="000000" w:themeColor="text1"/>
            <w:sz w:val="20"/>
            <w:szCs w:val="20"/>
          </w:rPr>
          <m:t>c</m:t>
        </m:r>
      </m:oMath>
      <w:r w:rsidR="00ED527E" w:rsidRPr="00ED527E">
        <w:rPr>
          <w:rFonts w:ascii="Times New Roman" w:hAnsi="Times New Roman" w:cs="Times New Roman"/>
          <w:color w:val="000000" w:themeColor="text1"/>
          <w:sz w:val="20"/>
          <w:szCs w:val="20"/>
        </w:rPr>
        <w:t xml:space="preserve">; </w:t>
      </w:r>
    </w:p>
    <w:p w14:paraId="194CB649" w14:textId="77777777" w:rsidR="00ED527E" w:rsidRPr="00ED527E" w:rsidRDefault="00BE003A" w:rsidP="00ED527E">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α</m:t>
            </m:r>
          </m:e>
          <m:sub>
            <m:r>
              <w:rPr>
                <w:rFonts w:ascii="Cambria Math" w:hAnsi="Cambria Math" w:cs="Times New Roman"/>
                <w:color w:val="000000" w:themeColor="text1"/>
                <w:sz w:val="20"/>
                <w:szCs w:val="20"/>
              </w:rPr>
              <m:t>b,f,c</m:t>
            </m:r>
          </m:sub>
        </m:sSub>
      </m:oMath>
      <w:r w:rsidR="00ED527E" w:rsidRPr="00ED527E">
        <w:rPr>
          <w:rFonts w:ascii="Times New Roman" w:hAnsi="Times New Roman" w:cs="Times New Roman"/>
          <w:color w:val="000000" w:themeColor="text1"/>
          <w:sz w:val="20"/>
          <w:szCs w:val="20"/>
        </w:rPr>
        <w:t xml:space="preserve"> is the open-loop fractional path-loss compensation factor for the </w:t>
      </w:r>
      <w:r w:rsidR="00ED527E" w:rsidRPr="00ED527E">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D527E" w:rsidRPr="00ED527E">
        <w:rPr>
          <w:rFonts w:ascii="Times New Roman" w:hAnsi="Times New Roman" w:cs="Times New Roman"/>
          <w:color w:val="000000" w:themeColor="text1"/>
          <w:sz w:val="20"/>
          <w:szCs w:val="20"/>
        </w:rPr>
        <w:t xml:space="preserve"> of carrier </w:t>
      </w:r>
      <m:oMath>
        <m:r>
          <w:rPr>
            <w:rFonts w:ascii="Cambria Math" w:hAnsi="Cambria Math" w:cs="Times New Roman"/>
            <w:color w:val="000000" w:themeColor="text1"/>
            <w:sz w:val="20"/>
            <w:szCs w:val="20"/>
          </w:rPr>
          <m:t>f</m:t>
        </m:r>
      </m:oMath>
      <w:r w:rsidR="00ED527E" w:rsidRPr="00ED527E">
        <w:rPr>
          <w:rFonts w:ascii="Times New Roman" w:hAnsi="Times New Roman" w:cs="Times New Roman"/>
          <w:color w:val="000000" w:themeColor="text1"/>
          <w:sz w:val="20"/>
          <w:szCs w:val="20"/>
        </w:rPr>
        <w:t xml:space="preserve"> of serving cell </w:t>
      </w:r>
      <m:oMath>
        <m:r>
          <w:rPr>
            <w:rFonts w:ascii="Cambria Math" w:hAnsi="Cambria Math" w:cs="Times New Roman"/>
            <w:color w:val="000000" w:themeColor="text1"/>
            <w:sz w:val="20"/>
            <w:szCs w:val="20"/>
          </w:rPr>
          <m:t>c</m:t>
        </m:r>
      </m:oMath>
      <w:r w:rsidR="00ED527E" w:rsidRPr="00ED527E">
        <w:rPr>
          <w:rFonts w:ascii="Times New Roman" w:hAnsi="Times New Roman" w:cs="Times New Roman"/>
          <w:color w:val="000000" w:themeColor="text1"/>
          <w:sz w:val="20"/>
          <w:szCs w:val="20"/>
        </w:rPr>
        <w:t xml:space="preserve">; </w:t>
      </w:r>
    </w:p>
    <w:p w14:paraId="2EF9C0CC" w14:textId="17E8B7AE" w:rsidR="00ED527E" w:rsidRPr="00ED527E" w:rsidRDefault="00BE003A" w:rsidP="00ED527E">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PL</m:t>
            </m:r>
          </m:e>
          <m:sub>
            <m:r>
              <w:rPr>
                <w:rFonts w:ascii="Cambria Math" w:hAnsi="Cambria Math" w:cs="Times New Roman"/>
                <w:color w:val="000000" w:themeColor="text1"/>
                <w:sz w:val="20"/>
                <w:szCs w:val="20"/>
              </w:rPr>
              <m:t>b,f,c</m:t>
            </m:r>
          </m:sub>
        </m:sSub>
      </m:oMath>
      <w:r w:rsidR="00ED527E" w:rsidRPr="00ED527E">
        <w:rPr>
          <w:rFonts w:ascii="Times New Roman" w:hAnsi="Times New Roman" w:cs="Times New Roman"/>
          <w:color w:val="000000" w:themeColor="text1"/>
          <w:sz w:val="20"/>
          <w:szCs w:val="20"/>
        </w:rPr>
        <w:t xml:space="preserve"> is the pathloss for the </w:t>
      </w:r>
      <w:r w:rsidR="00ED527E" w:rsidRPr="00ED527E">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D527E" w:rsidRPr="00ED527E">
        <w:rPr>
          <w:rFonts w:ascii="Times New Roman" w:hAnsi="Times New Roman" w:cs="Times New Roman"/>
          <w:color w:val="000000" w:themeColor="text1"/>
          <w:sz w:val="20"/>
          <w:szCs w:val="20"/>
        </w:rPr>
        <w:t xml:space="preserve"> of carrier </w:t>
      </w:r>
      <m:oMath>
        <m:r>
          <w:rPr>
            <w:rFonts w:ascii="Cambria Math" w:hAnsi="Cambria Math" w:cs="Times New Roman"/>
            <w:color w:val="000000" w:themeColor="text1"/>
            <w:sz w:val="20"/>
            <w:szCs w:val="20"/>
          </w:rPr>
          <m:t>f</m:t>
        </m:r>
      </m:oMath>
      <w:r w:rsidR="00ED527E" w:rsidRPr="00ED527E">
        <w:rPr>
          <w:rFonts w:ascii="Times New Roman" w:hAnsi="Times New Roman" w:cs="Times New Roman"/>
          <w:color w:val="000000" w:themeColor="text1"/>
          <w:sz w:val="20"/>
          <w:szCs w:val="20"/>
        </w:rPr>
        <w:t xml:space="preserve"> of serving cell </w:t>
      </w:r>
      <m:oMath>
        <m:r>
          <w:rPr>
            <w:rFonts w:ascii="Cambria Math" w:hAnsi="Cambria Math" w:cs="Times New Roman"/>
            <w:color w:val="000000" w:themeColor="text1"/>
            <w:sz w:val="20"/>
            <w:szCs w:val="20"/>
          </w:rPr>
          <m:t>c</m:t>
        </m:r>
      </m:oMath>
      <w:r w:rsidR="00ED527E" w:rsidRPr="00ED527E">
        <w:rPr>
          <w:rFonts w:ascii="Times New Roman" w:hAnsi="Times New Roman" w:cs="Times New Roman"/>
          <w:color w:val="000000" w:themeColor="text1"/>
          <w:sz w:val="20"/>
          <w:szCs w:val="20"/>
        </w:rPr>
        <w:t xml:space="preserve"> based on the associated UL RS measurement. It is calculated by UL reference signal power </w:t>
      </w:r>
      <w:r w:rsidR="00ED527E">
        <w:rPr>
          <w:rFonts w:ascii="Times New Roman" w:hAnsi="Times New Roman" w:cs="Times New Roman"/>
          <w:color w:val="000000" w:themeColor="text1"/>
          <w:sz w:val="20"/>
          <w:szCs w:val="20"/>
        </w:rPr>
        <w:t>(</w:t>
      </w:r>
      <w:r w:rsidR="00ED527E" w:rsidRPr="00ED527E">
        <w:rPr>
          <w:rFonts w:ascii="Times New Roman" w:hAnsi="Times New Roman" w:cs="Times New Roman"/>
          <w:color w:val="000000" w:themeColor="text1"/>
          <w:sz w:val="20"/>
          <w:szCs w:val="20"/>
        </w:rPr>
        <w:t>according to parameter configurations</w:t>
      </w:r>
      <w:r w:rsidR="00ED527E">
        <w:rPr>
          <w:rFonts w:ascii="Times New Roman" w:hAnsi="Times New Roman" w:cs="Times New Roman"/>
          <w:color w:val="000000" w:themeColor="text1"/>
          <w:sz w:val="20"/>
          <w:szCs w:val="20"/>
        </w:rPr>
        <w:t>)</w:t>
      </w:r>
      <w:r w:rsidR="00ED527E" w:rsidRPr="00ED527E">
        <w:rPr>
          <w:rFonts w:ascii="Times New Roman" w:hAnsi="Times New Roman" w:cs="Times New Roman"/>
          <w:color w:val="000000" w:themeColor="text1"/>
          <w:sz w:val="20"/>
          <w:szCs w:val="20"/>
        </w:rPr>
        <w:t xml:space="preserve"> and UL RS reception measurements.  </w:t>
      </w:r>
    </w:p>
    <w:p w14:paraId="5EF6E462" w14:textId="475855FF" w:rsidR="008C3B63" w:rsidRPr="00ED527E" w:rsidRDefault="008C3B63" w:rsidP="00F26481">
      <w:pPr>
        <w:spacing w:after="120"/>
        <w:jc w:val="both"/>
        <w:rPr>
          <w:b/>
          <w:lang w:val="en-US" w:eastAsia="zh-CN"/>
        </w:rPr>
      </w:pPr>
    </w:p>
    <w:p w14:paraId="64B71D5E" w14:textId="37CA2287" w:rsidR="00C07F46" w:rsidRPr="00C07F46" w:rsidRDefault="00C07F46" w:rsidP="00C07F46">
      <w:pPr>
        <w:pStyle w:val="N3"/>
        <w:ind w:left="0"/>
        <w:jc w:val="both"/>
        <w:rPr>
          <w:rFonts w:ascii="Times New Roman" w:cs="Times New Roman"/>
        </w:rPr>
      </w:pPr>
      <w:r w:rsidRPr="00C07F46">
        <w:rPr>
          <w:rFonts w:ascii="Times New Roman" w:cs="Times New Roman"/>
        </w:rPr>
        <w:t xml:space="preserve">In closed-loop DL power control mechanism (illustrated in Figure </w:t>
      </w:r>
      <w:r>
        <w:rPr>
          <w:rFonts w:ascii="Times New Roman" w:cs="Times New Roman"/>
        </w:rPr>
        <w:t>3</w:t>
      </w:r>
      <w:r w:rsidRPr="00C07F46">
        <w:rPr>
          <w:rFonts w:ascii="Times New Roman" w:cs="Times New Roman"/>
        </w:rPr>
        <w:t>), there will be additional transmit power control (TPC) command transmitted from MT to parent DU according to parent DU’s DL transmission</w:t>
      </w:r>
      <w:r w:rsidR="004F517E">
        <w:rPr>
          <w:rFonts w:ascii="Times New Roman" w:cs="Times New Roman"/>
        </w:rPr>
        <w:t xml:space="preserve"> measurements</w:t>
      </w:r>
      <w:r w:rsidRPr="00C07F46">
        <w:rPr>
          <w:rFonts w:ascii="Times New Roman" w:cs="Times New Roman"/>
        </w:rPr>
        <w:t xml:space="preserve">. The parent DU’s DL transmission power setting algorithm will be based on </w:t>
      </w:r>
      <w:r w:rsidR="004D33D4">
        <w:rPr>
          <w:rFonts w:ascii="Times New Roman" w:cs="Times New Roman"/>
        </w:rPr>
        <w:t xml:space="preserve">the </w:t>
      </w:r>
      <w:r w:rsidRPr="00C07F46">
        <w:rPr>
          <w:rFonts w:ascii="Times New Roman" w:cs="Times New Roman"/>
        </w:rPr>
        <w:t>configured parameters, UL reference signal measurement for path</w:t>
      </w:r>
      <w:r w:rsidR="004D33D4">
        <w:rPr>
          <w:rFonts w:ascii="Times New Roman" w:cs="Times New Roman"/>
        </w:rPr>
        <w:t>-</w:t>
      </w:r>
      <w:r w:rsidRPr="00C07F46">
        <w:rPr>
          <w:rFonts w:ascii="Times New Roman" w:cs="Times New Roman"/>
        </w:rPr>
        <w:t xml:space="preserve">loss calculation and TPC command. </w:t>
      </w:r>
    </w:p>
    <w:p w14:paraId="5FEE96BB" w14:textId="77777777" w:rsidR="00C07F46" w:rsidRPr="00C07F46" w:rsidRDefault="00C07F46" w:rsidP="00C07F46">
      <w:pPr>
        <w:pStyle w:val="N3"/>
        <w:ind w:left="634"/>
        <w:rPr>
          <w:rFonts w:ascii="Times New Roman" w:cs="Times New Roman"/>
        </w:rPr>
      </w:pPr>
    </w:p>
    <w:p w14:paraId="59F31735" w14:textId="7C2DF650" w:rsidR="00C07F46" w:rsidRDefault="00C07F46" w:rsidP="00C07F46">
      <w:pPr>
        <w:spacing w:after="120"/>
        <w:jc w:val="center"/>
        <w:rPr>
          <w:b/>
          <w:lang w:val="en-US" w:eastAsia="zh-CN"/>
        </w:rPr>
      </w:pPr>
      <w:r>
        <w:rPr>
          <w:b/>
          <w:noProof/>
          <w:lang w:val="en-US" w:eastAsia="zh-CN"/>
        </w:rPr>
        <w:drawing>
          <wp:inline distT="0" distB="0" distL="0" distR="0" wp14:anchorId="06750997" wp14:editId="4953A4DF">
            <wp:extent cx="4300543" cy="1499235"/>
            <wp:effectExtent l="0" t="0" r="5080" b="5715"/>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PC-closedloop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11265" cy="1502973"/>
                    </a:xfrm>
                    <a:prstGeom prst="rect">
                      <a:avLst/>
                    </a:prstGeom>
                  </pic:spPr>
                </pic:pic>
              </a:graphicData>
            </a:graphic>
          </wp:inline>
        </w:drawing>
      </w:r>
    </w:p>
    <w:p w14:paraId="545F2FF8" w14:textId="367EB64B" w:rsidR="00C07F46" w:rsidRPr="00C07F46" w:rsidRDefault="00C07F46" w:rsidP="00C07F46">
      <w:pPr>
        <w:pStyle w:val="N1"/>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Pr>
          <w:rFonts w:ascii="Times New Roman" w:hAnsi="Times New Roman" w:cs="Times New Roman"/>
          <w:sz w:val="20"/>
          <w:szCs w:val="20"/>
        </w:rPr>
        <w:t>3</w:t>
      </w:r>
      <w:r w:rsidRPr="00C07F46">
        <w:rPr>
          <w:rFonts w:ascii="Times New Roman" w:hAnsi="Times New Roman" w:cs="Times New Roman"/>
          <w:sz w:val="20"/>
          <w:szCs w:val="20"/>
        </w:rPr>
        <w:t>: Closed-loop DL power control illustration</w:t>
      </w:r>
    </w:p>
    <w:p w14:paraId="0A4F5546" w14:textId="1B484847" w:rsidR="00C07F46" w:rsidRPr="004F517E" w:rsidRDefault="00C07F46" w:rsidP="004F517E">
      <w:pPr>
        <w:spacing w:after="120"/>
        <w:rPr>
          <w:bCs/>
          <w:lang w:val="en-US" w:eastAsia="zh-CN"/>
        </w:rPr>
      </w:pPr>
    </w:p>
    <w:p w14:paraId="03817C50" w14:textId="77777777" w:rsidR="00EF6D9F" w:rsidRDefault="00EF6D9F" w:rsidP="00960911">
      <w:pPr>
        <w:spacing w:after="120"/>
        <w:jc w:val="both"/>
        <w:rPr>
          <w:bCs/>
          <w:lang w:val="en-US" w:eastAsia="zh-CN"/>
        </w:rPr>
      </w:pPr>
    </w:p>
    <w:p w14:paraId="12410D3B" w14:textId="0BA08FB9" w:rsidR="00EF6D9F" w:rsidRDefault="00EF6D9F" w:rsidP="00EF6D9F">
      <w:pPr>
        <w:pStyle w:val="N3"/>
        <w:ind w:left="0"/>
        <w:rPr>
          <w:rFonts w:ascii="Times New Roman" w:cs="Times New Roman"/>
        </w:rPr>
      </w:pPr>
      <w:r w:rsidRPr="00EF6D9F">
        <w:rPr>
          <w:rFonts w:ascii="Times New Roman" w:cs="Times New Roman"/>
        </w:rPr>
        <w:lastRenderedPageBreak/>
        <w:t xml:space="preserve">For example, </w:t>
      </w:r>
      <w:r w:rsidRPr="00ED527E">
        <w:rPr>
          <w:rFonts w:ascii="Times New Roman" w:cs="Times New Roman"/>
        </w:rPr>
        <w:t xml:space="preserve">a </w:t>
      </w:r>
      <w:r>
        <w:rPr>
          <w:rFonts w:ascii="Times New Roman" w:cs="Times New Roman"/>
        </w:rPr>
        <w:t xml:space="preserve">parent DU </w:t>
      </w:r>
      <w:r w:rsidRPr="00ED527E">
        <w:rPr>
          <w:rFonts w:ascii="Times New Roman" w:cs="Times New Roman"/>
        </w:rPr>
        <w:t xml:space="preserve">DL transmission power can be determined on active DL BWP </w:t>
      </w:r>
      <m:oMath>
        <m:r>
          <w:rPr>
            <w:rFonts w:ascii="Cambria Math" w:hAnsi="Cambria Math" w:cs="Times New Roman"/>
            <w:color w:val="000000" w:themeColor="text1"/>
          </w:rPr>
          <m:t>b</m:t>
        </m:r>
      </m:oMath>
      <w:r w:rsidRPr="00ED527E">
        <w:rPr>
          <w:rFonts w:ascii="Times New Roman" w:cs="Times New Roman"/>
          <w:color w:val="000000" w:themeColor="text1"/>
        </w:rPr>
        <w:t xml:space="preserve"> of carrier </w:t>
      </w:r>
      <m:oMath>
        <m:r>
          <w:rPr>
            <w:rFonts w:ascii="Cambria Math" w:hAnsi="Cambria Math" w:cs="Times New Roman"/>
            <w:color w:val="000000" w:themeColor="text1"/>
          </w:rPr>
          <m:t>f</m:t>
        </m:r>
      </m:oMath>
      <w:r w:rsidRPr="00ED527E">
        <w:rPr>
          <w:rFonts w:ascii="Times New Roman" w:cs="Times New Roman"/>
          <w:color w:val="000000" w:themeColor="text1"/>
        </w:rPr>
        <w:t xml:space="preserve"> of serving cell </w:t>
      </w:r>
      <m:oMath>
        <m:r>
          <w:rPr>
            <w:rFonts w:ascii="Cambria Math" w:hAnsi="Cambria Math" w:cs="Times New Roman"/>
            <w:color w:val="000000" w:themeColor="text1"/>
          </w:rPr>
          <m:t>c</m:t>
        </m:r>
      </m:oMath>
      <w:r w:rsidRPr="00ED527E">
        <w:rPr>
          <w:rFonts w:ascii="Times New Roman" w:cs="Times New Roman"/>
          <w:color w:val="000000" w:themeColor="text1"/>
        </w:rPr>
        <w:t xml:space="preserve"> in transmission occasion </w:t>
      </w:r>
      <m:oMath>
        <m:r>
          <w:rPr>
            <w:rFonts w:ascii="Cambria Math" w:hAnsi="Cambria Math" w:cs="Times New Roman"/>
            <w:color w:val="000000" w:themeColor="text1"/>
          </w:rPr>
          <m:t>i</m:t>
        </m:r>
      </m:oMath>
      <w:r>
        <w:rPr>
          <w:rFonts w:ascii="Times New Roman" w:cs="Times New Roman"/>
          <w:color w:val="000000" w:themeColor="text1"/>
        </w:rPr>
        <w:t xml:space="preserve">, with </w:t>
      </w:r>
      <w:r w:rsidRPr="00EF6D9F">
        <w:rPr>
          <w:rFonts w:ascii="Times New Roman" w:cs="Times New Roman"/>
          <w:color w:val="000000" w:themeColor="text1"/>
        </w:rPr>
        <w:t xml:space="preserve">open-loop fractional path-loss compensation index </w:t>
      </w:r>
      <m:oMath>
        <m:r>
          <w:rPr>
            <w:rFonts w:ascii="Cambria Math" w:hAnsi="Cambria Math" w:cs="Times New Roman"/>
            <w:color w:val="000000" w:themeColor="text1"/>
          </w:rPr>
          <m:t>j</m:t>
        </m:r>
      </m:oMath>
      <w:r>
        <w:rPr>
          <w:rFonts w:ascii="Times New Roman" w:cs="Times New Roman"/>
          <w:color w:val="000000" w:themeColor="text1"/>
        </w:rPr>
        <w:t>, b</w:t>
      </w:r>
      <w:r w:rsidRPr="00EF6D9F">
        <w:rPr>
          <w:rFonts w:ascii="Times New Roman" w:cs="Times New Roman"/>
          <w:color w:val="000000" w:themeColor="text1"/>
        </w:rPr>
        <w:t xml:space="preserve">eam pair index </w:t>
      </w:r>
      <m:oMath>
        <m:r>
          <w:rPr>
            <w:rFonts w:ascii="Cambria Math" w:hAnsi="Cambria Math" w:cs="Times New Roman"/>
            <w:color w:val="000000" w:themeColor="text1"/>
          </w:rPr>
          <m:t>q</m:t>
        </m:r>
      </m:oMath>
      <w:r>
        <w:rPr>
          <w:rFonts w:ascii="Times New Roman" w:cs="Times New Roman"/>
          <w:color w:val="000000" w:themeColor="text1"/>
        </w:rPr>
        <w:t xml:space="preserve"> and </w:t>
      </w:r>
      <w:r w:rsidRPr="00EF6D9F">
        <w:rPr>
          <w:rFonts w:ascii="Times New Roman" w:cs="Times New Roman"/>
          <w:color w:val="000000" w:themeColor="text1"/>
        </w:rPr>
        <w:t xml:space="preserve">close-loop process index </w:t>
      </w:r>
      <m:oMath>
        <m:r>
          <w:rPr>
            <w:rFonts w:ascii="Cambria Math" w:hAnsi="Cambria Math" w:cs="Times New Roman"/>
            <w:color w:val="000000" w:themeColor="text1"/>
          </w:rPr>
          <m:t>l</m:t>
        </m:r>
      </m:oMath>
      <w:r>
        <w:rPr>
          <w:rFonts w:ascii="Times New Roman" w:cs="Times New Roman"/>
          <w:color w:val="000000" w:themeColor="text1"/>
        </w:rPr>
        <w:t xml:space="preserve"> </w:t>
      </w:r>
      <w:r w:rsidRPr="00ED527E">
        <w:rPr>
          <w:rFonts w:ascii="Times New Roman" w:cs="Times New Roman"/>
          <w:color w:val="000000" w:themeColor="text1"/>
        </w:rPr>
        <w:t>as</w:t>
      </w:r>
      <w:r w:rsidRPr="00EF6D9F">
        <w:rPr>
          <w:rFonts w:ascii="Times New Roman" w:cs="Times New Roman"/>
        </w:rPr>
        <w:t xml:space="preserve"> </w:t>
      </w:r>
    </w:p>
    <w:p w14:paraId="14D7B51E" w14:textId="77777777" w:rsidR="00EF6D9F" w:rsidRPr="00EF6D9F" w:rsidRDefault="00BE003A" w:rsidP="00EF6D9F">
      <w:pPr>
        <w:pStyle w:val="N1"/>
        <w:ind w:left="0"/>
        <w:rPr>
          <w:rFonts w:ascii="Times New Roman" w:hAnsi="Times New Roman" w:cs="Times New Roman"/>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DL,b,f,c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i,j,q,l</m:t>
            </m:r>
          </m:e>
        </m:d>
        <m:r>
          <w:rPr>
            <w:rFonts w:ascii="Cambria Math" w:hAnsi="Cambria Math" w:cs="Times New Roman"/>
            <w:color w:val="000000" w:themeColor="text1"/>
            <w:sz w:val="20"/>
            <w:szCs w:val="20"/>
          </w:rPr>
          <m:t>=</m:t>
        </m:r>
        <m:r>
          <m:rPr>
            <m:sty m:val="p"/>
          </m:rPr>
          <w:rPr>
            <w:rFonts w:ascii="Cambria Math" w:hAnsi="Cambria Math" w:cs="Times New Roman"/>
            <w:color w:val="000000" w:themeColor="text1"/>
            <w:sz w:val="20"/>
            <w:szCs w:val="20"/>
          </w:rPr>
          <m:t>min⁡</m:t>
        </m:r>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DMAX,f,c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r>
          <w:rPr>
            <w:rFonts w:ascii="Cambria Math" w:hAnsi="Cambria Math" w:cs="Times New Roman"/>
            <w:color w:val="000000" w:themeColor="text1"/>
            <w:sz w:val="20"/>
            <w:szCs w:val="20"/>
          </w:rPr>
          <m:t xml:space="preserve">, </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DLtarget,b,f,c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j</m:t>
            </m:r>
          </m:e>
        </m:d>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α</m:t>
            </m:r>
          </m:e>
          <m:sub>
            <m:r>
              <w:rPr>
                <w:rFonts w:ascii="Cambria Math" w:hAnsi="Cambria Math" w:cs="Times New Roman"/>
                <w:color w:val="000000" w:themeColor="text1"/>
                <w:sz w:val="20"/>
                <w:szCs w:val="20"/>
              </w:rPr>
              <m:t>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j</m:t>
            </m:r>
          </m:e>
        </m:d>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PL</m:t>
            </m:r>
          </m:e>
          <m:sub>
            <m:r>
              <w:rPr>
                <w:rFonts w:ascii="Cambria Math" w:hAnsi="Cambria Math" w:cs="Times New Roman"/>
                <w:color w:val="000000" w:themeColor="text1"/>
                <w:sz w:val="20"/>
                <w:szCs w:val="20"/>
              </w:rPr>
              <m:t>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q</m:t>
            </m:r>
          </m:e>
        </m:d>
        <m:r>
          <w:rPr>
            <w:rFonts w:ascii="Cambria Math" w:hAnsi="Cambria Math" w:cs="Times New Roman"/>
            <w:color w:val="000000" w:themeColor="text1"/>
            <w:sz w:val="20"/>
            <w:szCs w:val="20"/>
          </w:rPr>
          <m:t>+10·</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log</m:t>
            </m:r>
          </m:e>
          <m:sub>
            <m:r>
              <w:rPr>
                <w:rFonts w:ascii="Cambria Math" w:hAnsi="Cambria Math" w:cs="Times New Roman"/>
                <w:color w:val="000000" w:themeColor="text1"/>
                <w:sz w:val="20"/>
                <w:szCs w:val="20"/>
              </w:rPr>
              <m:t>10</m:t>
            </m:r>
          </m:sub>
        </m:sSub>
        <m:d>
          <m:dPr>
            <m:ctrlPr>
              <w:rPr>
                <w:rFonts w:ascii="Cambria Math" w:hAnsi="Cambria Math" w:cs="Times New Roman"/>
                <w:i/>
                <w:color w:val="000000" w:themeColor="text1"/>
                <w:sz w:val="20"/>
                <w:szCs w:val="20"/>
              </w:rPr>
            </m:ctrlPr>
          </m:dPr>
          <m:e>
            <m:sSup>
              <m:sSupPr>
                <m:ctrlPr>
                  <w:rPr>
                    <w:rFonts w:ascii="Cambria Math" w:hAnsi="Cambria Math" w:cs="Times New Roman"/>
                    <w:i/>
                    <w:iCs/>
                    <w:color w:val="000000" w:themeColor="text1"/>
                    <w:sz w:val="20"/>
                    <w:szCs w:val="20"/>
                    <w:lang w:val="pt-BR"/>
                  </w:rPr>
                </m:ctrlPr>
              </m:sSupPr>
              <m:e>
                <m:r>
                  <w:rPr>
                    <w:rFonts w:ascii="Cambria Math" w:hAnsi="Cambria Math" w:cs="Times New Roman"/>
                    <w:color w:val="000000" w:themeColor="text1"/>
                    <w:sz w:val="20"/>
                    <w:szCs w:val="20"/>
                  </w:rPr>
                  <m:t>2</m:t>
                </m:r>
              </m:e>
              <m:sup>
                <m:r>
                  <w:rPr>
                    <w:rFonts w:ascii="Cambria Math" w:hAnsi="Cambria Math" w:cs="Times New Roman"/>
                    <w:color w:val="000000" w:themeColor="text1"/>
                    <w:sz w:val="20"/>
                    <w:szCs w:val="20"/>
                    <w:lang w:val="el-GR"/>
                  </w:rPr>
                  <m:t>μ</m:t>
                </m:r>
              </m:sup>
            </m:sSup>
            <m:r>
              <w:rPr>
                <w:rFonts w:ascii="Cambria Math" w:hAnsi="Cambria Math" w:cs="Times New Roman"/>
                <w:color w:val="000000" w:themeColor="text1"/>
                <w:sz w:val="20"/>
                <w:szCs w:val="20"/>
                <w:lang w:val="pt-BR"/>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RB,b,f,c</m:t>
                </m:r>
              </m:sub>
            </m:sSub>
            <m:r>
              <w:rPr>
                <w:rFonts w:ascii="Cambria Math" w:hAnsi="Cambria Math" w:cs="Times New Roman"/>
                <w:color w:val="000000" w:themeColor="text1"/>
                <w:sz w:val="20"/>
                <w:szCs w:val="20"/>
              </w:rPr>
              <m:t>(i)</m:t>
            </m:r>
          </m:e>
        </m:d>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Δ</m:t>
            </m:r>
          </m:e>
          <m:sub>
            <m:r>
              <w:rPr>
                <w:rFonts w:ascii="Cambria Math" w:hAnsi="Cambria Math" w:cs="Times New Roman"/>
                <w:color w:val="000000" w:themeColor="text1"/>
                <w:sz w:val="20"/>
                <w:szCs w:val="20"/>
              </w:rPr>
              <m:t>TF,b,f,c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f</m:t>
            </m:r>
          </m:e>
          <m:sub>
            <m:r>
              <w:rPr>
                <w:rFonts w:ascii="Cambria Math" w:hAnsi="Cambria Math" w:cs="Times New Roman"/>
                <w:color w:val="000000" w:themeColor="text1"/>
                <w:sz w:val="20"/>
                <w:szCs w:val="20"/>
              </w:rPr>
              <m:t>TPC,b,f,c</m:t>
            </m:r>
          </m:sub>
        </m:sSub>
        <m:r>
          <w:rPr>
            <w:rFonts w:ascii="Cambria Math" w:hAnsi="Cambria Math" w:cs="Times New Roman"/>
            <w:color w:val="000000" w:themeColor="text1"/>
            <w:sz w:val="20"/>
            <w:szCs w:val="20"/>
          </w:rPr>
          <m:t>(i,l)}</m:t>
        </m:r>
      </m:oMath>
      <w:r w:rsidR="00EF6D9F" w:rsidRPr="00EF6D9F">
        <w:rPr>
          <w:rFonts w:ascii="Times New Roman" w:hAnsi="Times New Roman" w:cs="Times New Roman"/>
          <w:color w:val="000000" w:themeColor="text1"/>
          <w:sz w:val="20"/>
          <w:szCs w:val="20"/>
        </w:rPr>
        <w:t xml:space="preserve">                                                                                     (2)</w:t>
      </w:r>
    </w:p>
    <w:p w14:paraId="1319490A" w14:textId="77777777" w:rsidR="00EF6D9F" w:rsidRDefault="00EF6D9F" w:rsidP="00EF6D9F">
      <w:pPr>
        <w:pStyle w:val="N1"/>
        <w:ind w:left="0"/>
        <w:rPr>
          <w:rFonts w:ascii="Times New Roman" w:hAnsi="Times New Roman" w:cs="Times New Roman"/>
          <w:sz w:val="20"/>
          <w:szCs w:val="20"/>
        </w:rPr>
      </w:pPr>
    </w:p>
    <w:p w14:paraId="27F52DD7" w14:textId="6ED8ED6C" w:rsidR="00EF6D9F" w:rsidRPr="00EF6D9F" w:rsidRDefault="00EF6D9F" w:rsidP="00EF6D9F">
      <w:pPr>
        <w:pStyle w:val="N1"/>
        <w:ind w:left="0"/>
        <w:rPr>
          <w:rFonts w:ascii="Times New Roman" w:hAnsi="Times New Roman" w:cs="Times New Roman"/>
          <w:sz w:val="20"/>
          <w:szCs w:val="20"/>
        </w:rPr>
      </w:pPr>
      <w:r w:rsidRPr="00EF6D9F">
        <w:rPr>
          <w:rFonts w:ascii="Times New Roman" w:hAnsi="Times New Roman" w:cs="Times New Roman"/>
          <w:sz w:val="20"/>
          <w:szCs w:val="20"/>
        </w:rPr>
        <w:t xml:space="preserve">where </w:t>
      </w:r>
    </w:p>
    <w:p w14:paraId="03EC5BAA" w14:textId="77777777" w:rsidR="00EF6D9F" w:rsidRPr="00EF6D9F" w:rsidRDefault="00BE003A" w:rsidP="00EF6D9F">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DMAX,f,c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oMath>
      <w:r w:rsidR="00EF6D9F" w:rsidRPr="00EF6D9F">
        <w:rPr>
          <w:rFonts w:ascii="Times New Roman" w:hAnsi="Times New Roman" w:cs="Times New Roman"/>
          <w:color w:val="000000" w:themeColor="text1"/>
          <w:sz w:val="20"/>
          <w:szCs w:val="20"/>
        </w:rPr>
        <w:t xml:space="preserve"> is the parent DU’s configured maximum output power for carrier </w:t>
      </w:r>
      <m:oMath>
        <m:r>
          <w:rPr>
            <w:rFonts w:ascii="Cambria Math" w:hAnsi="Cambria Math" w:cs="Times New Roman"/>
            <w:color w:val="000000" w:themeColor="text1"/>
            <w:sz w:val="20"/>
            <w:szCs w:val="20"/>
          </w:rPr>
          <m:t>f</m:t>
        </m:r>
      </m:oMath>
      <w:r w:rsidR="00EF6D9F" w:rsidRPr="00EF6D9F">
        <w:rPr>
          <w:rFonts w:ascii="Times New Roman" w:hAnsi="Times New Roman" w:cs="Times New Roman"/>
          <w:color w:val="000000" w:themeColor="text1"/>
          <w:sz w:val="20"/>
          <w:szCs w:val="20"/>
        </w:rPr>
        <w:t xml:space="preserve"> of serving cell </w:t>
      </w:r>
      <m:oMath>
        <m:r>
          <w:rPr>
            <w:rFonts w:ascii="Cambria Math" w:hAnsi="Cambria Math" w:cs="Times New Roman"/>
            <w:color w:val="000000" w:themeColor="text1"/>
            <w:sz w:val="20"/>
            <w:szCs w:val="20"/>
          </w:rPr>
          <m:t>c</m:t>
        </m:r>
      </m:oMath>
      <w:r w:rsidR="00EF6D9F" w:rsidRPr="00EF6D9F">
        <w:rPr>
          <w:rFonts w:ascii="Times New Roman" w:hAnsi="Times New Roman" w:cs="Times New Roman"/>
          <w:color w:val="000000" w:themeColor="text1"/>
          <w:sz w:val="20"/>
          <w:szCs w:val="20"/>
        </w:rPr>
        <w:t xml:space="preserve"> in transmission occasion </w:t>
      </w:r>
      <m:oMath>
        <m:r>
          <w:rPr>
            <w:rFonts w:ascii="Cambria Math" w:hAnsi="Cambria Math" w:cs="Times New Roman"/>
            <w:color w:val="000000" w:themeColor="text1"/>
            <w:sz w:val="20"/>
            <w:szCs w:val="20"/>
          </w:rPr>
          <m:t>i</m:t>
        </m:r>
      </m:oMath>
      <w:r w:rsidR="00EF6D9F" w:rsidRPr="00EF6D9F">
        <w:rPr>
          <w:rFonts w:ascii="Times New Roman" w:hAnsi="Times New Roman" w:cs="Times New Roman"/>
          <w:color w:val="000000" w:themeColor="text1"/>
          <w:sz w:val="20"/>
          <w:szCs w:val="20"/>
        </w:rPr>
        <w:t xml:space="preserve">; </w:t>
      </w:r>
    </w:p>
    <w:p w14:paraId="1D8531F9" w14:textId="77777777" w:rsidR="00EF6D9F" w:rsidRPr="00EF6D9F" w:rsidRDefault="00BE003A" w:rsidP="00EF6D9F">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DL,target,f,c</m:t>
            </m:r>
          </m:sub>
        </m:sSub>
        <m:r>
          <w:rPr>
            <w:rFonts w:ascii="Cambria Math" w:hAnsi="Cambria Math" w:cs="Times New Roman"/>
            <w:color w:val="000000" w:themeColor="text1"/>
            <w:sz w:val="20"/>
            <w:szCs w:val="20"/>
          </w:rPr>
          <m:t>(j)</m:t>
        </m:r>
      </m:oMath>
      <w:r w:rsidR="00EF6D9F" w:rsidRPr="00EF6D9F">
        <w:rPr>
          <w:rFonts w:ascii="Times New Roman" w:hAnsi="Times New Roman" w:cs="Times New Roman"/>
          <w:color w:val="000000" w:themeColor="text1"/>
          <w:sz w:val="20"/>
          <w:szCs w:val="20"/>
        </w:rPr>
        <w:t xml:space="preserve"> is the DL target reception power according to parameter configurations for the </w:t>
      </w:r>
      <w:r w:rsidR="00EF6D9F" w:rsidRPr="00EF6D9F">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F6D9F" w:rsidRPr="00EF6D9F">
        <w:rPr>
          <w:rFonts w:ascii="Times New Roman" w:hAnsi="Times New Roman" w:cs="Times New Roman"/>
          <w:color w:val="000000" w:themeColor="text1"/>
          <w:sz w:val="20"/>
          <w:szCs w:val="20"/>
        </w:rPr>
        <w:t xml:space="preserve">, carrier </w:t>
      </w:r>
      <m:oMath>
        <m:r>
          <w:rPr>
            <w:rFonts w:ascii="Cambria Math" w:hAnsi="Cambria Math" w:cs="Times New Roman"/>
            <w:color w:val="000000" w:themeColor="text1"/>
            <w:sz w:val="20"/>
            <w:szCs w:val="20"/>
          </w:rPr>
          <m:t>f</m:t>
        </m:r>
      </m:oMath>
      <w:r w:rsidR="00EF6D9F" w:rsidRPr="00EF6D9F">
        <w:rPr>
          <w:rFonts w:ascii="Times New Roman" w:hAnsi="Times New Roman" w:cs="Times New Roman"/>
          <w:color w:val="000000" w:themeColor="text1"/>
          <w:sz w:val="20"/>
          <w:szCs w:val="20"/>
        </w:rPr>
        <w:t xml:space="preserve">, serving cell </w:t>
      </w:r>
      <m:oMath>
        <m:r>
          <w:rPr>
            <w:rFonts w:ascii="Cambria Math" w:hAnsi="Cambria Math" w:cs="Times New Roman"/>
            <w:color w:val="000000" w:themeColor="text1"/>
            <w:sz w:val="20"/>
            <w:szCs w:val="20"/>
          </w:rPr>
          <m:t>c</m:t>
        </m:r>
      </m:oMath>
      <w:r w:rsidR="00EF6D9F" w:rsidRPr="00EF6D9F">
        <w:rPr>
          <w:rFonts w:ascii="Times New Roman" w:hAnsi="Times New Roman" w:cs="Times New Roman"/>
          <w:color w:val="000000" w:themeColor="text1"/>
          <w:sz w:val="20"/>
          <w:szCs w:val="20"/>
        </w:rPr>
        <w:t xml:space="preserve"> and open-loop fractional path-loss compensation index </w:t>
      </w:r>
      <m:oMath>
        <m:r>
          <w:rPr>
            <w:rFonts w:ascii="Cambria Math" w:hAnsi="Cambria Math" w:cs="Times New Roman"/>
            <w:color w:val="000000" w:themeColor="text1"/>
            <w:sz w:val="20"/>
            <w:szCs w:val="20"/>
          </w:rPr>
          <m:t>j</m:t>
        </m:r>
      </m:oMath>
      <w:r w:rsidR="00EF6D9F" w:rsidRPr="00EF6D9F">
        <w:rPr>
          <w:rFonts w:ascii="Times New Roman" w:hAnsi="Times New Roman" w:cs="Times New Roman"/>
          <w:color w:val="000000" w:themeColor="text1"/>
          <w:sz w:val="20"/>
          <w:szCs w:val="20"/>
        </w:rPr>
        <w:t xml:space="preserve">; </w:t>
      </w:r>
    </w:p>
    <w:p w14:paraId="19DACD30" w14:textId="604726BD" w:rsidR="00EF6D9F" w:rsidRPr="00EF6D9F" w:rsidRDefault="00BE003A" w:rsidP="00EF6D9F">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α</m:t>
            </m:r>
          </m:e>
          <m:sub>
            <m:r>
              <w:rPr>
                <w:rFonts w:ascii="Cambria Math" w:hAnsi="Cambria Math" w:cs="Times New Roman"/>
                <w:color w:val="000000" w:themeColor="text1"/>
                <w:sz w:val="20"/>
                <w:szCs w:val="20"/>
              </w:rPr>
              <m:t>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j</m:t>
            </m:r>
          </m:e>
        </m:d>
      </m:oMath>
      <w:r w:rsidR="00EF6D9F" w:rsidRPr="00EF6D9F">
        <w:rPr>
          <w:rFonts w:ascii="Times New Roman" w:hAnsi="Times New Roman" w:cs="Times New Roman"/>
          <w:color w:val="000000" w:themeColor="text1"/>
          <w:sz w:val="20"/>
          <w:szCs w:val="20"/>
        </w:rPr>
        <w:t xml:space="preserve"> is the open-loop fractional path-loss compensation factor for the </w:t>
      </w:r>
      <w:r w:rsidR="00EF6D9F" w:rsidRPr="00EF6D9F">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F6D9F" w:rsidRPr="00EF6D9F">
        <w:rPr>
          <w:rFonts w:ascii="Times New Roman" w:hAnsi="Times New Roman" w:cs="Times New Roman"/>
          <w:color w:val="000000" w:themeColor="text1"/>
          <w:sz w:val="20"/>
          <w:szCs w:val="20"/>
        </w:rPr>
        <w:t xml:space="preserve">, carrier </w:t>
      </w:r>
      <m:oMath>
        <m:r>
          <w:rPr>
            <w:rFonts w:ascii="Cambria Math" w:hAnsi="Cambria Math" w:cs="Times New Roman"/>
            <w:color w:val="000000" w:themeColor="text1"/>
            <w:sz w:val="20"/>
            <w:szCs w:val="20"/>
          </w:rPr>
          <m:t>f</m:t>
        </m:r>
      </m:oMath>
      <w:r w:rsidR="00EF6D9F" w:rsidRPr="00EF6D9F">
        <w:rPr>
          <w:rFonts w:ascii="Times New Roman" w:hAnsi="Times New Roman" w:cs="Times New Roman"/>
          <w:color w:val="000000" w:themeColor="text1"/>
          <w:sz w:val="20"/>
          <w:szCs w:val="20"/>
        </w:rPr>
        <w:t xml:space="preserve">, serving cell </w:t>
      </w:r>
      <m:oMath>
        <m:r>
          <w:rPr>
            <w:rFonts w:ascii="Cambria Math" w:hAnsi="Cambria Math" w:cs="Times New Roman"/>
            <w:color w:val="000000" w:themeColor="text1"/>
            <w:sz w:val="20"/>
            <w:szCs w:val="20"/>
          </w:rPr>
          <m:t>c</m:t>
        </m:r>
      </m:oMath>
      <w:r w:rsidR="00EF6D9F" w:rsidRPr="00EF6D9F">
        <w:rPr>
          <w:rFonts w:ascii="Times New Roman" w:hAnsi="Times New Roman" w:cs="Times New Roman"/>
          <w:color w:val="000000" w:themeColor="text1"/>
          <w:sz w:val="20"/>
          <w:szCs w:val="20"/>
        </w:rPr>
        <w:t xml:space="preserve"> with open-loop fractional path-loss compensation index </w:t>
      </w:r>
      <m:oMath>
        <m:r>
          <w:rPr>
            <w:rFonts w:ascii="Cambria Math" w:hAnsi="Cambria Math" w:cs="Times New Roman"/>
            <w:color w:val="000000" w:themeColor="text1"/>
            <w:sz w:val="20"/>
            <w:szCs w:val="20"/>
          </w:rPr>
          <m:t>j</m:t>
        </m:r>
      </m:oMath>
      <w:r w:rsidR="00EF6D9F" w:rsidRPr="00EF6D9F">
        <w:rPr>
          <w:rFonts w:ascii="Times New Roman" w:hAnsi="Times New Roman" w:cs="Times New Roman"/>
          <w:color w:val="000000" w:themeColor="text1"/>
          <w:sz w:val="20"/>
          <w:szCs w:val="20"/>
        </w:rPr>
        <w:t>;</w:t>
      </w:r>
    </w:p>
    <w:p w14:paraId="79FE78F6" w14:textId="1E15AEB4" w:rsidR="00EF6D9F" w:rsidRPr="00EF6D9F" w:rsidRDefault="00BE003A" w:rsidP="00EF6D9F">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PL</m:t>
            </m:r>
          </m:e>
          <m:sub>
            <m:r>
              <w:rPr>
                <w:rFonts w:ascii="Cambria Math" w:hAnsi="Cambria Math" w:cs="Times New Roman"/>
                <w:color w:val="000000" w:themeColor="text1"/>
                <w:sz w:val="20"/>
                <w:szCs w:val="20"/>
              </w:rPr>
              <m:t>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q</m:t>
            </m:r>
          </m:e>
        </m:d>
      </m:oMath>
      <w:r w:rsidR="00EF6D9F" w:rsidRPr="00EF6D9F">
        <w:rPr>
          <w:rFonts w:ascii="Times New Roman" w:hAnsi="Times New Roman" w:cs="Times New Roman"/>
          <w:color w:val="000000" w:themeColor="text1"/>
          <w:sz w:val="20"/>
          <w:szCs w:val="20"/>
        </w:rPr>
        <w:t xml:space="preserve"> is the pathloss for the </w:t>
      </w:r>
      <w:r w:rsidR="00EF6D9F" w:rsidRPr="00EF6D9F">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F6D9F" w:rsidRPr="00EF6D9F">
        <w:rPr>
          <w:rFonts w:ascii="Times New Roman" w:hAnsi="Times New Roman" w:cs="Times New Roman"/>
          <w:color w:val="000000" w:themeColor="text1"/>
          <w:sz w:val="20"/>
          <w:szCs w:val="20"/>
        </w:rPr>
        <w:t xml:space="preserve"> of carrier </w:t>
      </w:r>
      <m:oMath>
        <m:r>
          <w:rPr>
            <w:rFonts w:ascii="Cambria Math" w:hAnsi="Cambria Math" w:cs="Times New Roman"/>
            <w:color w:val="000000" w:themeColor="text1"/>
            <w:sz w:val="20"/>
            <w:szCs w:val="20"/>
          </w:rPr>
          <m:t>f</m:t>
        </m:r>
      </m:oMath>
      <w:r w:rsidR="00EF6D9F" w:rsidRPr="00EF6D9F">
        <w:rPr>
          <w:rFonts w:ascii="Times New Roman" w:hAnsi="Times New Roman" w:cs="Times New Roman"/>
          <w:color w:val="000000" w:themeColor="text1"/>
          <w:sz w:val="20"/>
          <w:szCs w:val="20"/>
        </w:rPr>
        <w:t xml:space="preserve"> of serving cell </w:t>
      </w:r>
      <m:oMath>
        <m:r>
          <w:rPr>
            <w:rFonts w:ascii="Cambria Math" w:hAnsi="Cambria Math" w:cs="Times New Roman"/>
            <w:color w:val="000000" w:themeColor="text1"/>
            <w:sz w:val="20"/>
            <w:szCs w:val="20"/>
          </w:rPr>
          <m:t>c</m:t>
        </m:r>
      </m:oMath>
      <w:r w:rsidR="00EF6D9F" w:rsidRPr="00EF6D9F">
        <w:rPr>
          <w:rFonts w:ascii="Times New Roman" w:hAnsi="Times New Roman" w:cs="Times New Roman"/>
          <w:color w:val="000000" w:themeColor="text1"/>
          <w:sz w:val="20"/>
          <w:szCs w:val="20"/>
        </w:rPr>
        <w:t xml:space="preserve"> based on the associated UL RS index </w:t>
      </w:r>
      <m:oMath>
        <m:r>
          <w:rPr>
            <w:rFonts w:ascii="Cambria Math" w:hAnsi="Cambria Math" w:cs="Times New Roman"/>
            <w:color w:val="000000" w:themeColor="text1"/>
            <w:sz w:val="20"/>
            <w:szCs w:val="20"/>
          </w:rPr>
          <m:t>q</m:t>
        </m:r>
      </m:oMath>
      <w:r w:rsidR="00EF6D9F" w:rsidRPr="00EF6D9F">
        <w:rPr>
          <w:rFonts w:ascii="Times New Roman" w:hAnsi="Times New Roman" w:cs="Times New Roman"/>
          <w:color w:val="000000" w:themeColor="text1"/>
          <w:sz w:val="20"/>
          <w:szCs w:val="20"/>
        </w:rPr>
        <w:t xml:space="preserve"> measurement;</w:t>
      </w:r>
    </w:p>
    <w:p w14:paraId="32735CFF" w14:textId="77777777" w:rsidR="00EF6D9F" w:rsidRPr="00EF6D9F" w:rsidRDefault="00EF6D9F" w:rsidP="00EF6D9F">
      <w:pPr>
        <w:pStyle w:val="N1"/>
        <w:numPr>
          <w:ilvl w:val="0"/>
          <w:numId w:val="34"/>
        </w:numPr>
        <w:ind w:left="648"/>
        <w:rPr>
          <w:rFonts w:ascii="Times New Roman" w:hAnsi="Times New Roman" w:cs="Times New Roman"/>
          <w:color w:val="000000" w:themeColor="text1"/>
          <w:sz w:val="20"/>
          <w:szCs w:val="20"/>
        </w:rPr>
      </w:pPr>
      <m:oMath>
        <m:r>
          <w:rPr>
            <w:rFonts w:ascii="Cambria Math" w:hAnsi="Cambria Math" w:cs="Times New Roman"/>
            <w:color w:val="000000" w:themeColor="text1"/>
            <w:sz w:val="20"/>
            <w:szCs w:val="20"/>
            <w:lang w:val="el-GR"/>
          </w:rPr>
          <m:t>μ</m:t>
        </m:r>
      </m:oMath>
      <w:r w:rsidRPr="00EF6D9F">
        <w:rPr>
          <w:rFonts w:ascii="Times New Roman" w:hAnsi="Times New Roman" w:cs="Times New Roman"/>
          <w:iCs/>
          <w:color w:val="000000" w:themeColor="text1"/>
          <w:sz w:val="20"/>
          <w:szCs w:val="20"/>
        </w:rPr>
        <w:t xml:space="preserve"> relates to the subcarrier spacing used for the DL transmission, </w:t>
      </w:r>
      <m:oMath>
        <m:r>
          <w:rPr>
            <w:rFonts w:ascii="Cambria Math" w:hAnsi="Cambria Math" w:cs="Times New Roman"/>
            <w:color w:val="000000" w:themeColor="text1"/>
            <w:sz w:val="20"/>
            <w:szCs w:val="20"/>
          </w:rPr>
          <m:t>Δf=</m:t>
        </m:r>
        <m:sSup>
          <m:sSupPr>
            <m:ctrlPr>
              <w:rPr>
                <w:rFonts w:ascii="Cambria Math" w:hAnsi="Cambria Math" w:cs="Times New Roman"/>
                <w:i/>
                <w:iCs/>
                <w:color w:val="000000" w:themeColor="text1"/>
                <w:sz w:val="20"/>
                <w:szCs w:val="20"/>
                <w:lang w:val="pt-BR"/>
              </w:rPr>
            </m:ctrlPr>
          </m:sSupPr>
          <m:e>
            <m:r>
              <w:rPr>
                <w:rFonts w:ascii="Cambria Math" w:hAnsi="Cambria Math" w:cs="Times New Roman"/>
                <w:color w:val="000000" w:themeColor="text1"/>
                <w:sz w:val="20"/>
                <w:szCs w:val="20"/>
              </w:rPr>
              <m:t>2</m:t>
            </m:r>
          </m:e>
          <m:sup>
            <m:r>
              <w:rPr>
                <w:rFonts w:ascii="Cambria Math" w:hAnsi="Cambria Math" w:cs="Times New Roman"/>
                <w:color w:val="000000" w:themeColor="text1"/>
                <w:sz w:val="20"/>
                <w:szCs w:val="20"/>
                <w:lang w:val="el-GR"/>
              </w:rPr>
              <m:t>μ</m:t>
            </m:r>
          </m:sup>
        </m:sSup>
        <m:r>
          <w:rPr>
            <w:rFonts w:ascii="Cambria Math" w:hAnsi="Cambria Math" w:cs="Times New Roman"/>
            <w:color w:val="000000" w:themeColor="text1"/>
            <w:sz w:val="20"/>
            <w:szCs w:val="20"/>
            <w:lang w:val="pt-BR"/>
          </w:rPr>
          <m:t>·15</m:t>
        </m:r>
      </m:oMath>
      <w:r w:rsidRPr="00EF6D9F">
        <w:rPr>
          <w:rFonts w:ascii="Times New Roman" w:hAnsi="Times New Roman" w:cs="Times New Roman"/>
          <w:iCs/>
          <w:color w:val="000000" w:themeColor="text1"/>
          <w:sz w:val="20"/>
          <w:szCs w:val="20"/>
          <w:lang w:val="pt-BR"/>
        </w:rPr>
        <w:t>kHz.</w:t>
      </w:r>
    </w:p>
    <w:p w14:paraId="0EC35E35" w14:textId="77777777" w:rsidR="00EF6D9F" w:rsidRPr="00EF6D9F" w:rsidRDefault="00BE003A" w:rsidP="00EF6D9F">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RB,b,f,c</m:t>
            </m:r>
          </m:sub>
        </m:sSub>
        <m:r>
          <w:rPr>
            <w:rFonts w:ascii="Cambria Math" w:hAnsi="Cambria Math" w:cs="Times New Roman"/>
            <w:color w:val="000000" w:themeColor="text1"/>
            <w:sz w:val="20"/>
            <w:szCs w:val="20"/>
          </w:rPr>
          <m:t>(i)</m:t>
        </m:r>
      </m:oMath>
      <w:r w:rsidR="00EF6D9F" w:rsidRPr="00EF6D9F">
        <w:rPr>
          <w:rFonts w:ascii="Times New Roman" w:hAnsi="Times New Roman" w:cs="Times New Roman"/>
          <w:color w:val="000000" w:themeColor="text1"/>
          <w:sz w:val="20"/>
          <w:szCs w:val="20"/>
        </w:rPr>
        <w:t xml:space="preserve"> is the number of resource blocks assigned for the DL transmission for the </w:t>
      </w:r>
      <w:r w:rsidR="00EF6D9F" w:rsidRPr="00EF6D9F">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F6D9F" w:rsidRPr="00EF6D9F">
        <w:rPr>
          <w:rFonts w:ascii="Times New Roman" w:hAnsi="Times New Roman" w:cs="Times New Roman"/>
          <w:color w:val="000000" w:themeColor="text1"/>
          <w:sz w:val="20"/>
          <w:szCs w:val="20"/>
        </w:rPr>
        <w:t xml:space="preserve">, carrier </w:t>
      </w:r>
      <m:oMath>
        <m:r>
          <w:rPr>
            <w:rFonts w:ascii="Cambria Math" w:hAnsi="Cambria Math" w:cs="Times New Roman"/>
            <w:color w:val="000000" w:themeColor="text1"/>
            <w:sz w:val="20"/>
            <w:szCs w:val="20"/>
          </w:rPr>
          <m:t>f</m:t>
        </m:r>
      </m:oMath>
      <w:r w:rsidR="00EF6D9F" w:rsidRPr="00EF6D9F">
        <w:rPr>
          <w:rFonts w:ascii="Times New Roman" w:hAnsi="Times New Roman" w:cs="Times New Roman"/>
          <w:color w:val="000000" w:themeColor="text1"/>
          <w:sz w:val="20"/>
          <w:szCs w:val="20"/>
        </w:rPr>
        <w:t xml:space="preserve">, serving cell </w:t>
      </w:r>
      <m:oMath>
        <m:r>
          <w:rPr>
            <w:rFonts w:ascii="Cambria Math" w:hAnsi="Cambria Math" w:cs="Times New Roman"/>
            <w:color w:val="000000" w:themeColor="text1"/>
            <w:sz w:val="20"/>
            <w:szCs w:val="20"/>
          </w:rPr>
          <m:t>c</m:t>
        </m:r>
      </m:oMath>
      <w:r w:rsidR="00EF6D9F" w:rsidRPr="00EF6D9F">
        <w:rPr>
          <w:rFonts w:ascii="Times New Roman" w:hAnsi="Times New Roman" w:cs="Times New Roman"/>
          <w:color w:val="000000" w:themeColor="text1"/>
          <w:sz w:val="20"/>
          <w:szCs w:val="20"/>
        </w:rPr>
        <w:t xml:space="preserve"> in transmission occasion </w:t>
      </w:r>
      <m:oMath>
        <m:r>
          <w:rPr>
            <w:rFonts w:ascii="Cambria Math" w:hAnsi="Cambria Math" w:cs="Times New Roman"/>
            <w:color w:val="000000" w:themeColor="text1"/>
            <w:sz w:val="20"/>
            <w:szCs w:val="20"/>
          </w:rPr>
          <m:t>i</m:t>
        </m:r>
      </m:oMath>
      <w:r w:rsidR="00EF6D9F" w:rsidRPr="00EF6D9F">
        <w:rPr>
          <w:rFonts w:ascii="Times New Roman" w:hAnsi="Times New Roman" w:cs="Times New Roman"/>
          <w:color w:val="000000" w:themeColor="text1"/>
          <w:sz w:val="20"/>
          <w:szCs w:val="20"/>
        </w:rPr>
        <w:t xml:space="preserve">.  </w:t>
      </w:r>
    </w:p>
    <w:p w14:paraId="7801DA3D" w14:textId="77777777" w:rsidR="00EF6D9F" w:rsidRPr="00EF6D9F" w:rsidRDefault="00BE003A" w:rsidP="00EF6D9F">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Δ</m:t>
            </m:r>
          </m:e>
          <m:sub>
            <m:r>
              <w:rPr>
                <w:rFonts w:ascii="Cambria Math" w:hAnsi="Cambria Math" w:cs="Times New Roman"/>
                <w:color w:val="000000" w:themeColor="text1"/>
                <w:sz w:val="20"/>
                <w:szCs w:val="20"/>
              </w:rPr>
              <m:t>TF,b,f,c</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oMath>
      <w:r w:rsidR="00EF6D9F" w:rsidRPr="00EF6D9F">
        <w:rPr>
          <w:rFonts w:ascii="Times New Roman" w:hAnsi="Times New Roman" w:cs="Times New Roman"/>
          <w:color w:val="000000" w:themeColor="text1"/>
          <w:sz w:val="20"/>
          <w:szCs w:val="20"/>
        </w:rPr>
        <w:t xml:space="preserve"> is related to the modulation scheme and channel-coding rate used for the DL transmission for the </w:t>
      </w:r>
      <w:r w:rsidR="00EF6D9F" w:rsidRPr="00EF6D9F">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F6D9F" w:rsidRPr="00EF6D9F">
        <w:rPr>
          <w:rFonts w:ascii="Times New Roman" w:hAnsi="Times New Roman" w:cs="Times New Roman"/>
          <w:color w:val="000000" w:themeColor="text1"/>
          <w:sz w:val="20"/>
          <w:szCs w:val="20"/>
        </w:rPr>
        <w:t xml:space="preserve">, carrier </w:t>
      </w:r>
      <m:oMath>
        <m:r>
          <w:rPr>
            <w:rFonts w:ascii="Cambria Math" w:hAnsi="Cambria Math" w:cs="Times New Roman"/>
            <w:color w:val="000000" w:themeColor="text1"/>
            <w:sz w:val="20"/>
            <w:szCs w:val="20"/>
          </w:rPr>
          <m:t>f</m:t>
        </m:r>
      </m:oMath>
      <w:r w:rsidR="00EF6D9F" w:rsidRPr="00EF6D9F">
        <w:rPr>
          <w:rFonts w:ascii="Times New Roman" w:hAnsi="Times New Roman" w:cs="Times New Roman"/>
          <w:color w:val="000000" w:themeColor="text1"/>
          <w:sz w:val="20"/>
          <w:szCs w:val="20"/>
        </w:rPr>
        <w:t xml:space="preserve">, serving cell </w:t>
      </w:r>
      <m:oMath>
        <m:r>
          <w:rPr>
            <w:rFonts w:ascii="Cambria Math" w:hAnsi="Cambria Math" w:cs="Times New Roman"/>
            <w:color w:val="000000" w:themeColor="text1"/>
            <w:sz w:val="20"/>
            <w:szCs w:val="20"/>
          </w:rPr>
          <m:t>c</m:t>
        </m:r>
      </m:oMath>
      <w:r w:rsidR="00EF6D9F" w:rsidRPr="00EF6D9F">
        <w:rPr>
          <w:rFonts w:ascii="Times New Roman" w:hAnsi="Times New Roman" w:cs="Times New Roman"/>
          <w:color w:val="000000" w:themeColor="text1"/>
          <w:sz w:val="20"/>
          <w:szCs w:val="20"/>
        </w:rPr>
        <w:t xml:space="preserve"> in transmission occasion </w:t>
      </w:r>
      <m:oMath>
        <m:r>
          <w:rPr>
            <w:rFonts w:ascii="Cambria Math" w:hAnsi="Cambria Math" w:cs="Times New Roman"/>
            <w:color w:val="000000" w:themeColor="text1"/>
            <w:sz w:val="20"/>
            <w:szCs w:val="20"/>
          </w:rPr>
          <m:t>i</m:t>
        </m:r>
      </m:oMath>
      <w:r w:rsidR="00EF6D9F" w:rsidRPr="00EF6D9F">
        <w:rPr>
          <w:rFonts w:ascii="Times New Roman" w:hAnsi="Times New Roman" w:cs="Times New Roman"/>
          <w:color w:val="000000" w:themeColor="text1"/>
          <w:sz w:val="20"/>
          <w:szCs w:val="20"/>
        </w:rPr>
        <w:t xml:space="preserve">. </w:t>
      </w:r>
    </w:p>
    <w:p w14:paraId="7A1E3ED5" w14:textId="77777777" w:rsidR="00EF6D9F" w:rsidRPr="00EF6D9F" w:rsidRDefault="00BE003A" w:rsidP="00EF6D9F">
      <w:pPr>
        <w:pStyle w:val="N1"/>
        <w:numPr>
          <w:ilvl w:val="0"/>
          <w:numId w:val="34"/>
        </w:numPr>
        <w:ind w:left="648"/>
        <w:rPr>
          <w:rFonts w:ascii="Times New Roman" w:hAnsi="Times New Roman" w:cs="Times New Roman"/>
          <w:color w:val="000000" w:themeColor="text1"/>
          <w:sz w:val="20"/>
          <w:szCs w:val="20"/>
        </w:rPr>
      </w:pPr>
      <m:oMath>
        <m:sSub>
          <m:sSubPr>
            <m:ctrlPr>
              <w:rPr>
                <w:rFonts w:ascii="Cambria Math" w:hAnsi="Cambria Math" w:cs="Times New Roman"/>
                <w:i/>
                <w:color w:val="000000" w:themeColor="text1"/>
                <w:sz w:val="20"/>
                <w:szCs w:val="20"/>
              </w:rPr>
            </m:ctrlPr>
          </m:sSubPr>
          <m:e>
            <m:r>
              <w:rPr>
                <w:rFonts w:ascii="Cambria Math" w:eastAsia="Microsoft YaHei" w:hAnsi="Cambria Math" w:cs="Times New Roman"/>
                <w:color w:val="000000" w:themeColor="text1"/>
                <w:sz w:val="20"/>
                <w:szCs w:val="20"/>
              </w:rPr>
              <m:t>g</m:t>
            </m:r>
          </m:e>
          <m:sub>
            <m:r>
              <w:rPr>
                <w:rFonts w:ascii="Cambria Math" w:hAnsi="Cambria Math" w:cs="Times New Roman"/>
                <w:color w:val="000000" w:themeColor="text1"/>
                <w:sz w:val="20"/>
                <w:szCs w:val="20"/>
              </w:rPr>
              <m:t>TPC,b,f,c</m:t>
            </m:r>
          </m:sub>
        </m:sSub>
        <m:r>
          <w:rPr>
            <w:rFonts w:ascii="Cambria Math" w:hAnsi="Cambria Math" w:cs="Times New Roman"/>
            <w:color w:val="000000" w:themeColor="text1"/>
            <w:sz w:val="20"/>
            <w:szCs w:val="20"/>
          </w:rPr>
          <m:t>(i,l)</m:t>
        </m:r>
      </m:oMath>
      <w:r w:rsidR="00EF6D9F" w:rsidRPr="00EF6D9F">
        <w:rPr>
          <w:rFonts w:ascii="Times New Roman" w:hAnsi="Times New Roman" w:cs="Times New Roman"/>
          <w:color w:val="000000" w:themeColor="text1"/>
          <w:sz w:val="20"/>
          <w:szCs w:val="20"/>
        </w:rPr>
        <w:t xml:space="preserve"> is the power adjustment due to the closed-loop TPC command for the </w:t>
      </w:r>
      <w:r w:rsidR="00EF6D9F" w:rsidRPr="00EF6D9F">
        <w:rPr>
          <w:rFonts w:ascii="Times New Roman" w:hAnsi="Times New Roman" w:cs="Times New Roman"/>
          <w:sz w:val="20"/>
          <w:szCs w:val="20"/>
        </w:rPr>
        <w:t xml:space="preserve">active DL BWP </w:t>
      </w:r>
      <m:oMath>
        <m:r>
          <w:rPr>
            <w:rFonts w:ascii="Cambria Math" w:hAnsi="Cambria Math" w:cs="Times New Roman"/>
            <w:color w:val="000000" w:themeColor="text1"/>
            <w:sz w:val="20"/>
            <w:szCs w:val="20"/>
          </w:rPr>
          <m:t>b</m:t>
        </m:r>
      </m:oMath>
      <w:r w:rsidR="00EF6D9F" w:rsidRPr="00EF6D9F">
        <w:rPr>
          <w:rFonts w:ascii="Times New Roman" w:hAnsi="Times New Roman" w:cs="Times New Roman"/>
          <w:color w:val="000000" w:themeColor="text1"/>
          <w:sz w:val="20"/>
          <w:szCs w:val="20"/>
        </w:rPr>
        <w:t xml:space="preserve">, carrier </w:t>
      </w:r>
      <m:oMath>
        <m:r>
          <w:rPr>
            <w:rFonts w:ascii="Cambria Math" w:hAnsi="Cambria Math" w:cs="Times New Roman"/>
            <w:color w:val="000000" w:themeColor="text1"/>
            <w:sz w:val="20"/>
            <w:szCs w:val="20"/>
          </w:rPr>
          <m:t>f</m:t>
        </m:r>
      </m:oMath>
      <w:r w:rsidR="00EF6D9F" w:rsidRPr="00EF6D9F">
        <w:rPr>
          <w:rFonts w:ascii="Times New Roman" w:hAnsi="Times New Roman" w:cs="Times New Roman"/>
          <w:color w:val="000000" w:themeColor="text1"/>
          <w:sz w:val="20"/>
          <w:szCs w:val="20"/>
        </w:rPr>
        <w:t xml:space="preserve">, serving cell </w:t>
      </w:r>
      <m:oMath>
        <m:r>
          <w:rPr>
            <w:rFonts w:ascii="Cambria Math" w:hAnsi="Cambria Math" w:cs="Times New Roman"/>
            <w:color w:val="000000" w:themeColor="text1"/>
            <w:sz w:val="20"/>
            <w:szCs w:val="20"/>
          </w:rPr>
          <m:t>c</m:t>
        </m:r>
      </m:oMath>
      <w:r w:rsidR="00EF6D9F" w:rsidRPr="00EF6D9F">
        <w:rPr>
          <w:rFonts w:ascii="Times New Roman" w:hAnsi="Times New Roman" w:cs="Times New Roman"/>
          <w:color w:val="000000" w:themeColor="text1"/>
          <w:sz w:val="20"/>
          <w:szCs w:val="20"/>
        </w:rPr>
        <w:t xml:space="preserve"> in transmission occasion </w:t>
      </w:r>
      <m:oMath>
        <m:r>
          <w:rPr>
            <w:rFonts w:ascii="Cambria Math" w:hAnsi="Cambria Math" w:cs="Times New Roman"/>
            <w:color w:val="000000" w:themeColor="text1"/>
            <w:sz w:val="20"/>
            <w:szCs w:val="20"/>
          </w:rPr>
          <m:t>i</m:t>
        </m:r>
      </m:oMath>
      <w:r w:rsidR="00EF6D9F" w:rsidRPr="00EF6D9F">
        <w:rPr>
          <w:rFonts w:ascii="Times New Roman" w:hAnsi="Times New Roman" w:cs="Times New Roman"/>
          <w:color w:val="000000" w:themeColor="text1"/>
          <w:sz w:val="20"/>
          <w:szCs w:val="20"/>
        </w:rPr>
        <w:t xml:space="preserve">, with closed-loop process index </w:t>
      </w:r>
      <m:oMath>
        <m:r>
          <w:rPr>
            <w:rFonts w:ascii="Cambria Math" w:hAnsi="Cambria Math" w:cs="Times New Roman"/>
            <w:color w:val="000000" w:themeColor="text1"/>
            <w:sz w:val="20"/>
            <w:szCs w:val="20"/>
          </w:rPr>
          <m:t>l</m:t>
        </m:r>
      </m:oMath>
      <w:r w:rsidR="00EF6D9F" w:rsidRPr="00EF6D9F">
        <w:rPr>
          <w:rFonts w:ascii="Times New Roman" w:hAnsi="Times New Roman" w:cs="Times New Roman"/>
          <w:color w:val="000000" w:themeColor="text1"/>
          <w:sz w:val="20"/>
          <w:szCs w:val="20"/>
        </w:rPr>
        <w:t xml:space="preserve">. </w:t>
      </w:r>
    </w:p>
    <w:p w14:paraId="799DF53E" w14:textId="77777777" w:rsidR="00EF6D9F" w:rsidRPr="00EF6D9F" w:rsidRDefault="00EF6D9F" w:rsidP="00960911">
      <w:pPr>
        <w:spacing w:after="120"/>
        <w:jc w:val="both"/>
        <w:rPr>
          <w:bCs/>
          <w:lang w:val="en-US" w:eastAsia="zh-CN"/>
        </w:rPr>
      </w:pPr>
    </w:p>
    <w:p w14:paraId="3F099CDE" w14:textId="0FD3F8DB" w:rsidR="004F517E" w:rsidRDefault="004D33D4" w:rsidP="00960911">
      <w:pPr>
        <w:spacing w:after="120"/>
        <w:jc w:val="both"/>
        <w:rPr>
          <w:bCs/>
          <w:lang w:val="en-US" w:eastAsia="zh-CN"/>
        </w:rPr>
      </w:pPr>
      <w:r>
        <w:rPr>
          <w:bCs/>
          <w:lang w:val="en-US" w:eastAsia="zh-CN"/>
        </w:rPr>
        <w:t xml:space="preserve">Regarding the implementation of IAB backhaul DL power control mechanisms, </w:t>
      </w:r>
      <w:r w:rsidR="00960911">
        <w:rPr>
          <w:rFonts w:hint="eastAsia"/>
          <w:bCs/>
          <w:lang w:val="en-US" w:eastAsia="zh-CN"/>
        </w:rPr>
        <w:t>p</w:t>
      </w:r>
      <w:r w:rsidR="00960911">
        <w:rPr>
          <w:bCs/>
          <w:lang w:val="en-US" w:eastAsia="zh-CN"/>
        </w:rPr>
        <w:t xml:space="preserve">arameter configurations related to IAB backhaul DL power control can be signaled from MT to parent DU through L1/L2 signaling, or notified by the CU </w:t>
      </w:r>
      <w:r w:rsidR="00C53214">
        <w:rPr>
          <w:bCs/>
          <w:lang w:val="en-US" w:eastAsia="zh-CN"/>
        </w:rPr>
        <w:t xml:space="preserve">to the parent IAB node </w:t>
      </w:r>
      <w:r w:rsidR="00960911">
        <w:rPr>
          <w:bCs/>
          <w:lang w:val="en-US" w:eastAsia="zh-CN"/>
        </w:rPr>
        <w:t xml:space="preserve">through RRC signaling or F1AP signaling; SRS can be applied as UL </w:t>
      </w:r>
      <w:r w:rsidR="00C53214">
        <w:rPr>
          <w:bCs/>
          <w:lang w:val="en-US" w:eastAsia="zh-CN"/>
        </w:rPr>
        <w:t>reference signal</w:t>
      </w:r>
      <w:r w:rsidR="00960911">
        <w:rPr>
          <w:bCs/>
          <w:lang w:val="en-US" w:eastAsia="zh-CN"/>
        </w:rPr>
        <w:t xml:space="preserve"> for PL calculation;</w:t>
      </w:r>
      <w:r>
        <w:rPr>
          <w:bCs/>
          <w:lang w:val="en-US" w:eastAsia="zh-CN"/>
        </w:rPr>
        <w:t xml:space="preserve"> TPC command can be transmitted through UCI or MAC CE. </w:t>
      </w:r>
      <w:r w:rsidR="00960911">
        <w:rPr>
          <w:bCs/>
          <w:lang w:val="en-US" w:eastAsia="zh-CN"/>
        </w:rPr>
        <w:t xml:space="preserve">   </w:t>
      </w:r>
    </w:p>
    <w:p w14:paraId="51FEABDF" w14:textId="6297CA1A" w:rsidR="00A20E45" w:rsidRPr="004F517E" w:rsidRDefault="00A20E45" w:rsidP="00960911">
      <w:pPr>
        <w:spacing w:after="120"/>
        <w:jc w:val="both"/>
        <w:rPr>
          <w:bCs/>
          <w:lang w:val="en-US" w:eastAsia="zh-CN"/>
        </w:rPr>
      </w:pPr>
      <w:r>
        <w:rPr>
          <w:bCs/>
          <w:lang w:val="en-US" w:eastAsia="zh-CN"/>
        </w:rPr>
        <w:t xml:space="preserve">Compare with open-loop and closed-loop IAB backhaul DL power control mechanisms, open-loop power control is mostly considered to use during initial access procedure, which an IAB node does not expect simultaneously transmission/reception. Closed-loop mechanism is more suitable for IAB backhaul DL power control.  </w:t>
      </w:r>
    </w:p>
    <w:p w14:paraId="62580F01" w14:textId="43BE8B07" w:rsidR="00F26481" w:rsidRDefault="00265D6B" w:rsidP="00F26481">
      <w:pPr>
        <w:spacing w:after="120"/>
        <w:jc w:val="both"/>
        <w:rPr>
          <w:bCs/>
          <w:lang w:eastAsia="zh-CN"/>
        </w:rPr>
      </w:pPr>
      <w:r w:rsidRPr="008C3B63">
        <w:rPr>
          <w:b/>
          <w:lang w:eastAsia="zh-CN"/>
        </w:rPr>
        <w:t xml:space="preserve">Proposal 1: </w:t>
      </w:r>
      <w:r w:rsidR="00960911">
        <w:rPr>
          <w:bCs/>
          <w:iCs/>
          <w:lang w:eastAsia="zh-CN"/>
        </w:rPr>
        <w:t xml:space="preserve">To </w:t>
      </w:r>
      <w:r w:rsidR="004D33D4">
        <w:rPr>
          <w:bCs/>
          <w:iCs/>
          <w:lang w:eastAsia="zh-CN"/>
        </w:rPr>
        <w:t xml:space="preserve">fulfil </w:t>
      </w:r>
      <w:r w:rsidR="00F26481" w:rsidRPr="008C3B63">
        <w:rPr>
          <w:bCs/>
          <w:iCs/>
          <w:lang w:eastAsia="zh-CN"/>
        </w:rPr>
        <w:t>simultaneous operation of IAB-node’s child and parent links,</w:t>
      </w:r>
      <w:r w:rsidR="004D33D4">
        <w:rPr>
          <w:bCs/>
          <w:iCs/>
          <w:lang w:eastAsia="zh-CN"/>
        </w:rPr>
        <w:t xml:space="preserve"> IAB backhaul DL power control mechanisms should be supported</w:t>
      </w:r>
      <w:r w:rsidR="00F26481">
        <w:rPr>
          <w:bCs/>
          <w:lang w:eastAsia="zh-CN"/>
        </w:rPr>
        <w:t xml:space="preserve">. </w:t>
      </w:r>
    </w:p>
    <w:p w14:paraId="7FE86C32" w14:textId="593AD650" w:rsidR="00A20E45" w:rsidRDefault="00A20E45" w:rsidP="00F26481">
      <w:pPr>
        <w:spacing w:after="120"/>
        <w:jc w:val="both"/>
        <w:rPr>
          <w:bCs/>
          <w:lang w:eastAsia="zh-CN"/>
        </w:rPr>
      </w:pPr>
      <w:r w:rsidRPr="00A20E45">
        <w:rPr>
          <w:b/>
          <w:lang w:eastAsia="zh-CN"/>
        </w:rPr>
        <w:t>Proposal 2:</w:t>
      </w:r>
      <w:r>
        <w:rPr>
          <w:bCs/>
          <w:lang w:eastAsia="zh-CN"/>
        </w:rPr>
        <w:t xml:space="preserve"> </w:t>
      </w:r>
      <w:r w:rsidR="00343061">
        <w:rPr>
          <w:bCs/>
          <w:lang w:eastAsia="zh-CN"/>
        </w:rPr>
        <w:t>A</w:t>
      </w:r>
      <w:r w:rsidR="00954BB5">
        <w:rPr>
          <w:bCs/>
          <w:lang w:eastAsia="zh-CN"/>
        </w:rPr>
        <w:t xml:space="preserve">t least </w:t>
      </w:r>
      <w:r w:rsidR="00467C3C">
        <w:rPr>
          <w:bCs/>
          <w:lang w:val="en-US" w:eastAsia="zh-CN"/>
        </w:rPr>
        <w:t>closed</w:t>
      </w:r>
      <w:r>
        <w:rPr>
          <w:bCs/>
          <w:lang w:val="en-US" w:eastAsia="zh-CN"/>
        </w:rPr>
        <w:t xml:space="preserve">-loop mechanism </w:t>
      </w:r>
      <w:r w:rsidR="00954BB5">
        <w:rPr>
          <w:bCs/>
          <w:lang w:val="en-US" w:eastAsia="zh-CN"/>
        </w:rPr>
        <w:t>can be considered</w:t>
      </w:r>
      <w:r>
        <w:rPr>
          <w:bCs/>
          <w:lang w:val="en-US" w:eastAsia="zh-CN"/>
        </w:rPr>
        <w:t xml:space="preserve"> for IAB backhaul DL power control.</w:t>
      </w:r>
    </w:p>
    <w:bookmarkEnd w:id="2"/>
    <w:bookmarkEnd w:id="3"/>
    <w:p w14:paraId="42389D1E" w14:textId="77777777" w:rsidR="00F521DD" w:rsidRDefault="00F521DD" w:rsidP="00F521DD">
      <w:pPr>
        <w:pStyle w:val="Heading1"/>
        <w:jc w:val="both"/>
        <w:rPr>
          <w:rFonts w:eastAsia="SimSun"/>
          <w:lang w:eastAsia="zh-CN"/>
        </w:rPr>
      </w:pPr>
      <w:r>
        <w:rPr>
          <w:rFonts w:eastAsia="SimSun"/>
          <w:lang w:eastAsia="zh-CN"/>
        </w:rPr>
        <w:t>Conclusion</w:t>
      </w:r>
    </w:p>
    <w:p w14:paraId="10F05E98" w14:textId="1D18B8D9"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rsidR="004D33D4">
        <w:rPr>
          <w:lang w:eastAsia="zh-CN"/>
        </w:rPr>
        <w:t xml:space="preserve">IAB backhaul DL power control </w:t>
      </w:r>
      <w:r>
        <w:t>m</w:t>
      </w:r>
      <w:r w:rsidRPr="00C82094">
        <w:t xml:space="preserve">echanisms </w:t>
      </w:r>
      <w:r w:rsidR="00A27231">
        <w:t xml:space="preserve">to support simultaneous operation of IAB-node’s child and parent links. </w:t>
      </w:r>
      <w:r>
        <w:rPr>
          <w:lang w:eastAsia="zh-CN"/>
        </w:rPr>
        <w:t xml:space="preserve"> I</w:t>
      </w:r>
      <w:r w:rsidRPr="00BC247A">
        <w:rPr>
          <w:lang w:eastAsia="zh-CN"/>
        </w:rPr>
        <w:t xml:space="preserve">t is summarized </w:t>
      </w:r>
      <w:r>
        <w:rPr>
          <w:lang w:eastAsia="zh-CN"/>
        </w:rPr>
        <w:t xml:space="preserve">by the </w:t>
      </w:r>
      <w:r w:rsidRPr="00BC247A">
        <w:rPr>
          <w:lang w:eastAsia="zh-CN"/>
        </w:rPr>
        <w:t>following proposal</w:t>
      </w:r>
      <w:r>
        <w:rPr>
          <w:lang w:eastAsia="zh-CN"/>
        </w:rPr>
        <w:t>.</w:t>
      </w:r>
      <w:r w:rsidRPr="004B337B">
        <w:rPr>
          <w:lang w:val="en-US" w:eastAsia="zh-CN"/>
        </w:rPr>
        <w:t xml:space="preserve"> </w:t>
      </w:r>
    </w:p>
    <w:p w14:paraId="11541887" w14:textId="77777777" w:rsidR="00343061" w:rsidRDefault="00343061" w:rsidP="00343061">
      <w:pPr>
        <w:spacing w:after="120"/>
        <w:jc w:val="both"/>
        <w:rPr>
          <w:bCs/>
          <w:lang w:eastAsia="zh-CN"/>
        </w:rPr>
      </w:pPr>
      <w:r w:rsidRPr="008C3B63">
        <w:rPr>
          <w:b/>
          <w:lang w:eastAsia="zh-CN"/>
        </w:rPr>
        <w:t xml:space="preserve">Proposal 1: </w:t>
      </w:r>
      <w:r>
        <w:rPr>
          <w:bCs/>
          <w:iCs/>
          <w:lang w:eastAsia="zh-CN"/>
        </w:rPr>
        <w:t xml:space="preserve">To fulfil </w:t>
      </w:r>
      <w:r w:rsidRPr="008C3B63">
        <w:rPr>
          <w:bCs/>
          <w:iCs/>
          <w:lang w:eastAsia="zh-CN"/>
        </w:rPr>
        <w:t>simultaneous operation of IAB-node’s child and parent links,</w:t>
      </w:r>
      <w:r>
        <w:rPr>
          <w:bCs/>
          <w:iCs/>
          <w:lang w:eastAsia="zh-CN"/>
        </w:rPr>
        <w:t xml:space="preserve"> IAB backhaul DL power control mechanisms should be supported</w:t>
      </w:r>
      <w:r>
        <w:rPr>
          <w:bCs/>
          <w:lang w:eastAsia="zh-CN"/>
        </w:rPr>
        <w:t xml:space="preserve">. </w:t>
      </w:r>
    </w:p>
    <w:p w14:paraId="623DA8EA" w14:textId="10D39CF2" w:rsidR="00343061" w:rsidRDefault="00343061" w:rsidP="00343061">
      <w:pPr>
        <w:spacing w:after="120"/>
        <w:jc w:val="both"/>
        <w:rPr>
          <w:bCs/>
          <w:lang w:eastAsia="zh-CN"/>
        </w:rPr>
      </w:pPr>
      <w:r w:rsidRPr="00A20E45">
        <w:rPr>
          <w:b/>
          <w:lang w:eastAsia="zh-CN"/>
        </w:rPr>
        <w:t>Proposal 2:</w:t>
      </w:r>
      <w:r>
        <w:rPr>
          <w:bCs/>
          <w:lang w:eastAsia="zh-CN"/>
        </w:rPr>
        <w:t xml:space="preserve"> At least </w:t>
      </w:r>
      <w:r w:rsidR="00467C3C">
        <w:rPr>
          <w:bCs/>
          <w:lang w:val="en-US" w:eastAsia="zh-CN"/>
        </w:rPr>
        <w:t>closed</w:t>
      </w:r>
      <w:r>
        <w:rPr>
          <w:bCs/>
          <w:lang w:val="en-US" w:eastAsia="zh-CN"/>
        </w:rPr>
        <w:t>-loop mechanism can be considered for IAB backhaul DL power control.</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0CA2ACCD" w14:textId="2BCECE57" w:rsidR="00F521DD" w:rsidRDefault="00F521DD" w:rsidP="00F521DD">
      <w:pPr>
        <w:pStyle w:val="3GPPHeader"/>
        <w:spacing w:after="120"/>
        <w:jc w:val="both"/>
        <w:rPr>
          <w:rFonts w:eastAsia="SimSun"/>
          <w:b w:val="0"/>
          <w:sz w:val="20"/>
          <w:lang w:val="en-US"/>
        </w:rPr>
      </w:pPr>
      <w:r>
        <w:rPr>
          <w:rFonts w:eastAsia="SimSun"/>
          <w:b w:val="0"/>
          <w:sz w:val="20"/>
          <w:lang w:val="en-US"/>
        </w:rPr>
        <w:t>[1] Chairman’s Note RAN1#98</w:t>
      </w:r>
      <w:r w:rsidR="00B47315">
        <w:rPr>
          <w:rFonts w:eastAsia="SimSun"/>
          <w:b w:val="0"/>
          <w:sz w:val="20"/>
          <w:lang w:val="en-US"/>
        </w:rPr>
        <w:t>bis</w:t>
      </w:r>
      <w:r>
        <w:rPr>
          <w:rFonts w:eastAsia="SimSun"/>
          <w:b w:val="0"/>
          <w:sz w:val="20"/>
          <w:lang w:val="en-US"/>
        </w:rPr>
        <w:t xml:space="preserve">, </w:t>
      </w:r>
      <w:r w:rsidR="00B47315">
        <w:rPr>
          <w:rFonts w:eastAsia="SimSun"/>
          <w:b w:val="0"/>
          <w:sz w:val="20"/>
          <w:lang w:val="en-US"/>
        </w:rPr>
        <w:t xml:space="preserve">Chongqing, China, Oct. </w:t>
      </w:r>
      <w:r>
        <w:rPr>
          <w:rFonts w:eastAsia="SimSun"/>
          <w:b w:val="0"/>
          <w:sz w:val="20"/>
          <w:lang w:val="en-US"/>
        </w:rPr>
        <w:t>2019.</w:t>
      </w:r>
      <w:bookmarkEnd w:id="0"/>
    </w:p>
    <w:p w14:paraId="288C7140" w14:textId="5DAA97C3" w:rsidR="0036207A" w:rsidRDefault="0036207A" w:rsidP="00F521DD">
      <w:pPr>
        <w:pStyle w:val="3GPPHeader"/>
        <w:spacing w:after="120"/>
        <w:jc w:val="both"/>
        <w:rPr>
          <w:rFonts w:eastAsia="SimSun"/>
          <w:b w:val="0"/>
          <w:sz w:val="20"/>
          <w:lang w:val="en-US"/>
        </w:rPr>
      </w:pPr>
      <w:r>
        <w:rPr>
          <w:rFonts w:eastAsia="SimSun"/>
          <w:b w:val="0"/>
          <w:sz w:val="20"/>
          <w:lang w:val="en-US"/>
        </w:rPr>
        <w:t>[2] Chairman’s Note RAN1#99, Reno, USA, Nov. 2019.</w:t>
      </w:r>
    </w:p>
    <w:p w14:paraId="748D067A" w14:textId="1459BEBD" w:rsidR="00404E6C" w:rsidRDefault="00404E6C" w:rsidP="00F521DD">
      <w:pPr>
        <w:pStyle w:val="3GPPHeader"/>
        <w:spacing w:after="120"/>
        <w:jc w:val="both"/>
        <w:rPr>
          <w:rFonts w:eastAsia="SimSun"/>
          <w:b w:val="0"/>
          <w:sz w:val="20"/>
          <w:lang w:val="en-US"/>
        </w:rPr>
      </w:pPr>
      <w:r>
        <w:rPr>
          <w:rFonts w:eastAsia="SimSun"/>
          <w:b w:val="0"/>
          <w:sz w:val="20"/>
          <w:lang w:val="en-US"/>
        </w:rPr>
        <w:t>[3] RP-201293, “New WID on enhancements to integrated access and backhaul”, RAN#88e, July 2020.</w:t>
      </w:r>
    </w:p>
    <w:p w14:paraId="6EF3A620" w14:textId="77777777" w:rsidR="00CC027A" w:rsidRPr="00F521DD" w:rsidRDefault="00CC027A" w:rsidP="00F521DD"/>
    <w:sectPr w:rsidR="00CC027A" w:rsidRPr="00F521D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7B1AA" w14:textId="77777777" w:rsidR="00BE003A" w:rsidRDefault="00BE003A">
      <w:r>
        <w:separator/>
      </w:r>
    </w:p>
  </w:endnote>
  <w:endnote w:type="continuationSeparator" w:id="0">
    <w:p w14:paraId="142F5771" w14:textId="77777777" w:rsidR="00BE003A" w:rsidRDefault="00BE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B374" w14:textId="77777777" w:rsidR="004E48B4" w:rsidRDefault="004E48B4">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4E48B4" w:rsidRDefault="004E48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65714" w14:textId="77777777" w:rsidR="00BE003A" w:rsidRDefault="00BE003A">
      <w:r>
        <w:separator/>
      </w:r>
    </w:p>
  </w:footnote>
  <w:footnote w:type="continuationSeparator" w:id="0">
    <w:p w14:paraId="02F647E9" w14:textId="77777777" w:rsidR="00BE003A" w:rsidRDefault="00BE0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365F"/>
    <w:multiLevelType w:val="hybridMultilevel"/>
    <w:tmpl w:val="26C495C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C04C7"/>
    <w:multiLevelType w:val="hybridMultilevel"/>
    <w:tmpl w:val="E6E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34247C"/>
    <w:multiLevelType w:val="hybridMultilevel"/>
    <w:tmpl w:val="9EBE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90174B"/>
    <w:multiLevelType w:val="hybridMultilevel"/>
    <w:tmpl w:val="952053B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8" w15:restartNumberingAfterBreak="0">
    <w:nsid w:val="1F3E412D"/>
    <w:multiLevelType w:val="hybridMultilevel"/>
    <w:tmpl w:val="492C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67362"/>
    <w:multiLevelType w:val="hybridMultilevel"/>
    <w:tmpl w:val="AAEC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D0F2B"/>
    <w:multiLevelType w:val="hybridMultilevel"/>
    <w:tmpl w:val="3AB460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B075D"/>
    <w:multiLevelType w:val="hybridMultilevel"/>
    <w:tmpl w:val="4A749A38"/>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3" w15:restartNumberingAfterBreak="0">
    <w:nsid w:val="35DF5A0B"/>
    <w:multiLevelType w:val="hybridMultilevel"/>
    <w:tmpl w:val="49B2B55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3F21C9"/>
    <w:multiLevelType w:val="hybridMultilevel"/>
    <w:tmpl w:val="B26A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A7B4D"/>
    <w:multiLevelType w:val="hybridMultilevel"/>
    <w:tmpl w:val="4AD67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5D7CF8"/>
    <w:multiLevelType w:val="hybridMultilevel"/>
    <w:tmpl w:val="DAE05556"/>
    <w:lvl w:ilvl="0" w:tplc="0409000B">
      <w:start w:val="1"/>
      <w:numFmt w:val="bullet"/>
      <w:lvlText w:val=""/>
      <w:lvlJc w:val="left"/>
      <w:pPr>
        <w:ind w:left="928" w:hanging="360"/>
      </w:pPr>
      <w:rPr>
        <w:rFonts w:ascii="Wingdings" w:hAnsi="Wingdings" w:hint="default"/>
      </w:rPr>
    </w:lvl>
    <w:lvl w:ilvl="1" w:tplc="0409000B">
      <w:start w:val="1"/>
      <w:numFmt w:val="bullet"/>
      <w:lvlText w:val=""/>
      <w:lvlJc w:val="left"/>
      <w:pPr>
        <w:ind w:left="1648" w:hanging="360"/>
      </w:pPr>
      <w:rPr>
        <w:rFonts w:ascii="Wingdings" w:hAnsi="Wingding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8033C8D"/>
    <w:multiLevelType w:val="hybridMultilevel"/>
    <w:tmpl w:val="447E1342"/>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5" w15:restartNumberingAfterBreak="0">
    <w:nsid w:val="5A360CD8"/>
    <w:multiLevelType w:val="hybridMultilevel"/>
    <w:tmpl w:val="C7045D6C"/>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E720CBA"/>
    <w:multiLevelType w:val="hybridMultilevel"/>
    <w:tmpl w:val="F524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1" w15:restartNumberingAfterBreak="0">
    <w:nsid w:val="74C04BFD"/>
    <w:multiLevelType w:val="hybridMultilevel"/>
    <w:tmpl w:val="C156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F62A3"/>
    <w:multiLevelType w:val="hybridMultilevel"/>
    <w:tmpl w:val="8E18A40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3"/>
  </w:num>
  <w:num w:numId="4">
    <w:abstractNumId w:val="34"/>
  </w:num>
  <w:num w:numId="5">
    <w:abstractNumId w:val="26"/>
  </w:num>
  <w:num w:numId="6">
    <w:abstractNumId w:val="1"/>
  </w:num>
  <w:num w:numId="7">
    <w:abstractNumId w:val="6"/>
  </w:num>
  <w:num w:numId="8">
    <w:abstractNumId w:val="20"/>
  </w:num>
  <w:num w:numId="9">
    <w:abstractNumId w:val="22"/>
  </w:num>
  <w:num w:numId="10">
    <w:abstractNumId w:val="14"/>
  </w:num>
  <w:num w:numId="11">
    <w:abstractNumId w:val="16"/>
  </w:num>
  <w:num w:numId="12">
    <w:abstractNumId w:val="30"/>
  </w:num>
  <w:num w:numId="13">
    <w:abstractNumId w:val="29"/>
  </w:num>
  <w:num w:numId="14">
    <w:abstractNumId w:val="10"/>
  </w:num>
  <w:num w:numId="15">
    <w:abstractNumId w:val="11"/>
  </w:num>
  <w:num w:numId="16">
    <w:abstractNumId w:val="25"/>
  </w:num>
  <w:num w:numId="17">
    <w:abstractNumId w:val="17"/>
  </w:num>
  <w:num w:numId="18">
    <w:abstractNumId w:val="2"/>
  </w:num>
  <w:num w:numId="19">
    <w:abstractNumId w:val="0"/>
  </w:num>
  <w:num w:numId="20">
    <w:abstractNumId w:val="5"/>
  </w:num>
  <w:num w:numId="21">
    <w:abstractNumId w:val="27"/>
  </w:num>
  <w:num w:numId="22">
    <w:abstractNumId w:val="28"/>
  </w:num>
  <w:num w:numId="23">
    <w:abstractNumId w:val="9"/>
  </w:num>
  <w:num w:numId="24">
    <w:abstractNumId w:val="21"/>
  </w:num>
  <w:num w:numId="25">
    <w:abstractNumId w:val="23"/>
  </w:num>
  <w:num w:numId="26">
    <w:abstractNumId w:val="8"/>
  </w:num>
  <w:num w:numId="27">
    <w:abstractNumId w:val="19"/>
  </w:num>
  <w:num w:numId="28">
    <w:abstractNumId w:val="31"/>
  </w:num>
  <w:num w:numId="29">
    <w:abstractNumId w:val="13"/>
  </w:num>
  <w:num w:numId="30">
    <w:abstractNumId w:val="32"/>
  </w:num>
  <w:num w:numId="31">
    <w:abstractNumId w:val="18"/>
  </w:num>
  <w:num w:numId="32">
    <w:abstractNumId w:val="15"/>
  </w:num>
  <w:num w:numId="33">
    <w:abstractNumId w:val="12"/>
  </w:num>
  <w:num w:numId="34">
    <w:abstractNumId w:val="7"/>
  </w:num>
  <w:num w:numId="3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4FC9"/>
    <w:rsid w:val="000357E9"/>
    <w:rsid w:val="000367D2"/>
    <w:rsid w:val="000376D3"/>
    <w:rsid w:val="00037831"/>
    <w:rsid w:val="00037B33"/>
    <w:rsid w:val="00040B64"/>
    <w:rsid w:val="00040D3D"/>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7D1"/>
    <w:rsid w:val="000532AC"/>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267"/>
    <w:rsid w:val="000864A1"/>
    <w:rsid w:val="0008673B"/>
    <w:rsid w:val="00086B96"/>
    <w:rsid w:val="00087120"/>
    <w:rsid w:val="00087476"/>
    <w:rsid w:val="00087506"/>
    <w:rsid w:val="00087726"/>
    <w:rsid w:val="00091874"/>
    <w:rsid w:val="00092516"/>
    <w:rsid w:val="000932CB"/>
    <w:rsid w:val="00093D9B"/>
    <w:rsid w:val="00093E22"/>
    <w:rsid w:val="00094744"/>
    <w:rsid w:val="00094829"/>
    <w:rsid w:val="00095C93"/>
    <w:rsid w:val="000960CF"/>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4E3"/>
    <w:rsid w:val="000E0705"/>
    <w:rsid w:val="000E09F3"/>
    <w:rsid w:val="000E12C1"/>
    <w:rsid w:val="000E13C9"/>
    <w:rsid w:val="000E1BAE"/>
    <w:rsid w:val="000E222D"/>
    <w:rsid w:val="000E2E81"/>
    <w:rsid w:val="000E2EFE"/>
    <w:rsid w:val="000E301C"/>
    <w:rsid w:val="000E3370"/>
    <w:rsid w:val="000E39D6"/>
    <w:rsid w:val="000E3AE8"/>
    <w:rsid w:val="000E3C89"/>
    <w:rsid w:val="000E41AB"/>
    <w:rsid w:val="000E4329"/>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D99"/>
    <w:rsid w:val="000F1FC4"/>
    <w:rsid w:val="000F446E"/>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E6D"/>
    <w:rsid w:val="00140232"/>
    <w:rsid w:val="0014087A"/>
    <w:rsid w:val="001411BB"/>
    <w:rsid w:val="00141333"/>
    <w:rsid w:val="00141DD6"/>
    <w:rsid w:val="00141FEF"/>
    <w:rsid w:val="001422EF"/>
    <w:rsid w:val="00143461"/>
    <w:rsid w:val="0014374D"/>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A3D"/>
    <w:rsid w:val="001913F7"/>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4E41"/>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0B17"/>
    <w:rsid w:val="002010F1"/>
    <w:rsid w:val="0020116F"/>
    <w:rsid w:val="0020138F"/>
    <w:rsid w:val="0020153F"/>
    <w:rsid w:val="002023A8"/>
    <w:rsid w:val="002023FE"/>
    <w:rsid w:val="00202971"/>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2C6F"/>
    <w:rsid w:val="0024335F"/>
    <w:rsid w:val="00243BC1"/>
    <w:rsid w:val="00244005"/>
    <w:rsid w:val="00244332"/>
    <w:rsid w:val="00244C08"/>
    <w:rsid w:val="00245042"/>
    <w:rsid w:val="00245470"/>
    <w:rsid w:val="00245ABF"/>
    <w:rsid w:val="00245B23"/>
    <w:rsid w:val="00246634"/>
    <w:rsid w:val="00246DE8"/>
    <w:rsid w:val="002470DA"/>
    <w:rsid w:val="002471D0"/>
    <w:rsid w:val="0024751E"/>
    <w:rsid w:val="002477A0"/>
    <w:rsid w:val="00247A46"/>
    <w:rsid w:val="00247FD7"/>
    <w:rsid w:val="0025004F"/>
    <w:rsid w:val="0025022A"/>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7BA"/>
    <w:rsid w:val="002A32A2"/>
    <w:rsid w:val="002A3934"/>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4309"/>
    <w:rsid w:val="002F4657"/>
    <w:rsid w:val="002F5154"/>
    <w:rsid w:val="002F55B2"/>
    <w:rsid w:val="002F5893"/>
    <w:rsid w:val="002F5ED4"/>
    <w:rsid w:val="002F6B54"/>
    <w:rsid w:val="002F7A88"/>
    <w:rsid w:val="002F7FBB"/>
    <w:rsid w:val="003001D0"/>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1FF4"/>
    <w:rsid w:val="003224E3"/>
    <w:rsid w:val="00322605"/>
    <w:rsid w:val="003227DB"/>
    <w:rsid w:val="00322BF9"/>
    <w:rsid w:val="003241C8"/>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56E"/>
    <w:rsid w:val="0034238C"/>
    <w:rsid w:val="00342474"/>
    <w:rsid w:val="00342A3B"/>
    <w:rsid w:val="00342A5D"/>
    <w:rsid w:val="00343061"/>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891"/>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4C91"/>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2ACB"/>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0E02"/>
    <w:rsid w:val="003C1312"/>
    <w:rsid w:val="003C17E3"/>
    <w:rsid w:val="003C1BCF"/>
    <w:rsid w:val="003C1E55"/>
    <w:rsid w:val="003C2D50"/>
    <w:rsid w:val="003C3310"/>
    <w:rsid w:val="003C394B"/>
    <w:rsid w:val="003C4754"/>
    <w:rsid w:val="003C4C53"/>
    <w:rsid w:val="003C506E"/>
    <w:rsid w:val="003C5328"/>
    <w:rsid w:val="003C578B"/>
    <w:rsid w:val="003C6D51"/>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F88"/>
    <w:rsid w:val="00404E6C"/>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7EF"/>
    <w:rsid w:val="00415963"/>
    <w:rsid w:val="00415D5F"/>
    <w:rsid w:val="0041669D"/>
    <w:rsid w:val="00416712"/>
    <w:rsid w:val="00416961"/>
    <w:rsid w:val="00416AC5"/>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579"/>
    <w:rsid w:val="00431698"/>
    <w:rsid w:val="00431CEF"/>
    <w:rsid w:val="00431EC0"/>
    <w:rsid w:val="004324D4"/>
    <w:rsid w:val="00432FAC"/>
    <w:rsid w:val="00433E63"/>
    <w:rsid w:val="0043476C"/>
    <w:rsid w:val="00434BE2"/>
    <w:rsid w:val="00435C19"/>
    <w:rsid w:val="00435C42"/>
    <w:rsid w:val="00435FFE"/>
    <w:rsid w:val="004363AE"/>
    <w:rsid w:val="00437000"/>
    <w:rsid w:val="0043739E"/>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35EB"/>
    <w:rsid w:val="0045375B"/>
    <w:rsid w:val="00453767"/>
    <w:rsid w:val="00453897"/>
    <w:rsid w:val="004543BC"/>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67C3C"/>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77CB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9F6"/>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B27"/>
    <w:rsid w:val="004A6E92"/>
    <w:rsid w:val="004A715A"/>
    <w:rsid w:val="004A724B"/>
    <w:rsid w:val="004A763E"/>
    <w:rsid w:val="004A78B8"/>
    <w:rsid w:val="004A7C06"/>
    <w:rsid w:val="004B0BB8"/>
    <w:rsid w:val="004B12D5"/>
    <w:rsid w:val="004B1F45"/>
    <w:rsid w:val="004B291F"/>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C2C"/>
    <w:rsid w:val="004D221A"/>
    <w:rsid w:val="004D244F"/>
    <w:rsid w:val="004D2643"/>
    <w:rsid w:val="004D33D4"/>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48B4"/>
    <w:rsid w:val="004E60C7"/>
    <w:rsid w:val="004E611B"/>
    <w:rsid w:val="004E6920"/>
    <w:rsid w:val="004E6FE6"/>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17E"/>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304D0"/>
    <w:rsid w:val="00530B29"/>
    <w:rsid w:val="00530D6B"/>
    <w:rsid w:val="00531843"/>
    <w:rsid w:val="00531C66"/>
    <w:rsid w:val="00531D58"/>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3E3A"/>
    <w:rsid w:val="0058472F"/>
    <w:rsid w:val="0058483E"/>
    <w:rsid w:val="00584912"/>
    <w:rsid w:val="005857E3"/>
    <w:rsid w:val="00585E5D"/>
    <w:rsid w:val="005865D8"/>
    <w:rsid w:val="005868E8"/>
    <w:rsid w:val="00586DD7"/>
    <w:rsid w:val="00586F21"/>
    <w:rsid w:val="00587388"/>
    <w:rsid w:val="00587D88"/>
    <w:rsid w:val="00590FC2"/>
    <w:rsid w:val="00591F03"/>
    <w:rsid w:val="00592577"/>
    <w:rsid w:val="00592F0F"/>
    <w:rsid w:val="005936AE"/>
    <w:rsid w:val="005936AF"/>
    <w:rsid w:val="00593F88"/>
    <w:rsid w:val="005944E5"/>
    <w:rsid w:val="005950BC"/>
    <w:rsid w:val="00595D1D"/>
    <w:rsid w:val="0059611C"/>
    <w:rsid w:val="00596267"/>
    <w:rsid w:val="005A0B0B"/>
    <w:rsid w:val="005A22C5"/>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C79AC"/>
    <w:rsid w:val="005D0520"/>
    <w:rsid w:val="005D1877"/>
    <w:rsid w:val="005D1DAC"/>
    <w:rsid w:val="005D1F67"/>
    <w:rsid w:val="005D22AE"/>
    <w:rsid w:val="005D2E91"/>
    <w:rsid w:val="005D30FC"/>
    <w:rsid w:val="005D34B6"/>
    <w:rsid w:val="005D38FB"/>
    <w:rsid w:val="005D46A2"/>
    <w:rsid w:val="005D4EA1"/>
    <w:rsid w:val="005D4FA6"/>
    <w:rsid w:val="005D5166"/>
    <w:rsid w:val="005D5A2E"/>
    <w:rsid w:val="005D70CC"/>
    <w:rsid w:val="005D7419"/>
    <w:rsid w:val="005D7BEA"/>
    <w:rsid w:val="005E0079"/>
    <w:rsid w:val="005E066C"/>
    <w:rsid w:val="005E1A08"/>
    <w:rsid w:val="005E237C"/>
    <w:rsid w:val="005E2C44"/>
    <w:rsid w:val="005E2E35"/>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50F1"/>
    <w:rsid w:val="00605567"/>
    <w:rsid w:val="006058A7"/>
    <w:rsid w:val="006059B3"/>
    <w:rsid w:val="00606F7E"/>
    <w:rsid w:val="00607113"/>
    <w:rsid w:val="006071B5"/>
    <w:rsid w:val="0060743C"/>
    <w:rsid w:val="006079DE"/>
    <w:rsid w:val="00610758"/>
    <w:rsid w:val="00610825"/>
    <w:rsid w:val="0061083C"/>
    <w:rsid w:val="0061138D"/>
    <w:rsid w:val="006113A5"/>
    <w:rsid w:val="00611D7A"/>
    <w:rsid w:val="00612649"/>
    <w:rsid w:val="00613808"/>
    <w:rsid w:val="00613E5F"/>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59C"/>
    <w:rsid w:val="006D0D08"/>
    <w:rsid w:val="006D1E5C"/>
    <w:rsid w:val="006D2E88"/>
    <w:rsid w:val="006D34CC"/>
    <w:rsid w:val="006D3886"/>
    <w:rsid w:val="006D3927"/>
    <w:rsid w:val="006D39AD"/>
    <w:rsid w:val="006D3F83"/>
    <w:rsid w:val="006D5202"/>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B2"/>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291"/>
    <w:rsid w:val="00734B00"/>
    <w:rsid w:val="00735602"/>
    <w:rsid w:val="0073588B"/>
    <w:rsid w:val="007359D7"/>
    <w:rsid w:val="007378BA"/>
    <w:rsid w:val="00741086"/>
    <w:rsid w:val="00741568"/>
    <w:rsid w:val="0074220A"/>
    <w:rsid w:val="0074290C"/>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96F"/>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734"/>
    <w:rsid w:val="00786BB5"/>
    <w:rsid w:val="00787510"/>
    <w:rsid w:val="00791C1B"/>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8AA"/>
    <w:rsid w:val="007A6B5C"/>
    <w:rsid w:val="007A76A0"/>
    <w:rsid w:val="007A7F6B"/>
    <w:rsid w:val="007B0458"/>
    <w:rsid w:val="007B1394"/>
    <w:rsid w:val="007B1554"/>
    <w:rsid w:val="007B16E2"/>
    <w:rsid w:val="007B1EE9"/>
    <w:rsid w:val="007B22C7"/>
    <w:rsid w:val="007B2420"/>
    <w:rsid w:val="007B27F9"/>
    <w:rsid w:val="007B446A"/>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2759"/>
    <w:rsid w:val="007F28FF"/>
    <w:rsid w:val="007F3ACD"/>
    <w:rsid w:val="007F461C"/>
    <w:rsid w:val="007F4AF4"/>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A7D"/>
    <w:rsid w:val="00804C6C"/>
    <w:rsid w:val="00804FAB"/>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3452"/>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2019"/>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C82"/>
    <w:rsid w:val="00847D16"/>
    <w:rsid w:val="00847EC9"/>
    <w:rsid w:val="00850DCF"/>
    <w:rsid w:val="008525BE"/>
    <w:rsid w:val="00852A2F"/>
    <w:rsid w:val="00853150"/>
    <w:rsid w:val="008537FC"/>
    <w:rsid w:val="00853B2B"/>
    <w:rsid w:val="00853B98"/>
    <w:rsid w:val="00854476"/>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590"/>
    <w:rsid w:val="008815CB"/>
    <w:rsid w:val="008815F2"/>
    <w:rsid w:val="0088193D"/>
    <w:rsid w:val="00881BC8"/>
    <w:rsid w:val="008826AC"/>
    <w:rsid w:val="00882FC7"/>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B7E46"/>
    <w:rsid w:val="008C0CFF"/>
    <w:rsid w:val="008C1D49"/>
    <w:rsid w:val="008C1E98"/>
    <w:rsid w:val="008C21B9"/>
    <w:rsid w:val="008C2871"/>
    <w:rsid w:val="008C320D"/>
    <w:rsid w:val="008C3B63"/>
    <w:rsid w:val="008C4C97"/>
    <w:rsid w:val="008C53F3"/>
    <w:rsid w:val="008C585F"/>
    <w:rsid w:val="008C5A12"/>
    <w:rsid w:val="008C5B91"/>
    <w:rsid w:val="008C5CDC"/>
    <w:rsid w:val="008C7645"/>
    <w:rsid w:val="008C776E"/>
    <w:rsid w:val="008C7D0D"/>
    <w:rsid w:val="008D03CA"/>
    <w:rsid w:val="008D0901"/>
    <w:rsid w:val="008D0A63"/>
    <w:rsid w:val="008D1335"/>
    <w:rsid w:val="008D1CC6"/>
    <w:rsid w:val="008D2597"/>
    <w:rsid w:val="008D26FD"/>
    <w:rsid w:val="008D2754"/>
    <w:rsid w:val="008D2C81"/>
    <w:rsid w:val="008D33F5"/>
    <w:rsid w:val="008D3DEB"/>
    <w:rsid w:val="008D40FD"/>
    <w:rsid w:val="008D4107"/>
    <w:rsid w:val="008D49A6"/>
    <w:rsid w:val="008D54BC"/>
    <w:rsid w:val="008D54D3"/>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19D"/>
    <w:rsid w:val="00912CF1"/>
    <w:rsid w:val="00912E27"/>
    <w:rsid w:val="009135AE"/>
    <w:rsid w:val="009160D6"/>
    <w:rsid w:val="00916611"/>
    <w:rsid w:val="009173E2"/>
    <w:rsid w:val="0091792E"/>
    <w:rsid w:val="009201CA"/>
    <w:rsid w:val="00920974"/>
    <w:rsid w:val="009216CE"/>
    <w:rsid w:val="0092170B"/>
    <w:rsid w:val="009218A0"/>
    <w:rsid w:val="009222D0"/>
    <w:rsid w:val="00922D7C"/>
    <w:rsid w:val="0092399A"/>
    <w:rsid w:val="009239BB"/>
    <w:rsid w:val="009240DB"/>
    <w:rsid w:val="009244B3"/>
    <w:rsid w:val="0092516E"/>
    <w:rsid w:val="009258C2"/>
    <w:rsid w:val="00926114"/>
    <w:rsid w:val="0092656A"/>
    <w:rsid w:val="00926E06"/>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7B"/>
    <w:rsid w:val="00937B6F"/>
    <w:rsid w:val="00937F89"/>
    <w:rsid w:val="0094074A"/>
    <w:rsid w:val="009408F8"/>
    <w:rsid w:val="009413E3"/>
    <w:rsid w:val="00941939"/>
    <w:rsid w:val="009421CA"/>
    <w:rsid w:val="00942B40"/>
    <w:rsid w:val="00942DAE"/>
    <w:rsid w:val="00942E79"/>
    <w:rsid w:val="00942E7E"/>
    <w:rsid w:val="00943120"/>
    <w:rsid w:val="009433E5"/>
    <w:rsid w:val="00943AAA"/>
    <w:rsid w:val="009457EC"/>
    <w:rsid w:val="00945D01"/>
    <w:rsid w:val="00945E82"/>
    <w:rsid w:val="0094603E"/>
    <w:rsid w:val="00946A28"/>
    <w:rsid w:val="00946C4F"/>
    <w:rsid w:val="00946E54"/>
    <w:rsid w:val="009476C8"/>
    <w:rsid w:val="00947EE8"/>
    <w:rsid w:val="009508BC"/>
    <w:rsid w:val="00950BB4"/>
    <w:rsid w:val="00951CDA"/>
    <w:rsid w:val="009520C0"/>
    <w:rsid w:val="00952908"/>
    <w:rsid w:val="00952DEC"/>
    <w:rsid w:val="00952DFC"/>
    <w:rsid w:val="009532B9"/>
    <w:rsid w:val="0095354F"/>
    <w:rsid w:val="00953F06"/>
    <w:rsid w:val="00953F3D"/>
    <w:rsid w:val="0095487A"/>
    <w:rsid w:val="00954A16"/>
    <w:rsid w:val="00954BB5"/>
    <w:rsid w:val="00954FA9"/>
    <w:rsid w:val="00955764"/>
    <w:rsid w:val="00955911"/>
    <w:rsid w:val="00955C83"/>
    <w:rsid w:val="00955EC7"/>
    <w:rsid w:val="009560CA"/>
    <w:rsid w:val="009563F0"/>
    <w:rsid w:val="009568A6"/>
    <w:rsid w:val="00956F3A"/>
    <w:rsid w:val="0095711B"/>
    <w:rsid w:val="00960911"/>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2779"/>
    <w:rsid w:val="009730B0"/>
    <w:rsid w:val="00974045"/>
    <w:rsid w:val="00974172"/>
    <w:rsid w:val="0097454C"/>
    <w:rsid w:val="00974677"/>
    <w:rsid w:val="00974794"/>
    <w:rsid w:val="009749F3"/>
    <w:rsid w:val="00974C23"/>
    <w:rsid w:val="00974FA3"/>
    <w:rsid w:val="00975330"/>
    <w:rsid w:val="00975E6F"/>
    <w:rsid w:val="009764AB"/>
    <w:rsid w:val="00976B6A"/>
    <w:rsid w:val="00980067"/>
    <w:rsid w:val="0098010E"/>
    <w:rsid w:val="009806D2"/>
    <w:rsid w:val="00980E52"/>
    <w:rsid w:val="00981B7A"/>
    <w:rsid w:val="00982388"/>
    <w:rsid w:val="00982B15"/>
    <w:rsid w:val="00982B90"/>
    <w:rsid w:val="00983665"/>
    <w:rsid w:val="00983AFD"/>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207"/>
    <w:rsid w:val="009E593F"/>
    <w:rsid w:val="009E6547"/>
    <w:rsid w:val="009E6BC6"/>
    <w:rsid w:val="009E6DC2"/>
    <w:rsid w:val="009E7377"/>
    <w:rsid w:val="009E742E"/>
    <w:rsid w:val="009E79AF"/>
    <w:rsid w:val="009E7B0C"/>
    <w:rsid w:val="009E7C65"/>
    <w:rsid w:val="009F36DF"/>
    <w:rsid w:val="009F4107"/>
    <w:rsid w:val="009F4116"/>
    <w:rsid w:val="009F458D"/>
    <w:rsid w:val="009F45A3"/>
    <w:rsid w:val="009F5C3D"/>
    <w:rsid w:val="009F5F2B"/>
    <w:rsid w:val="009F60F6"/>
    <w:rsid w:val="009F6450"/>
    <w:rsid w:val="009F68E0"/>
    <w:rsid w:val="009F6ABA"/>
    <w:rsid w:val="009F6E85"/>
    <w:rsid w:val="009F6FB7"/>
    <w:rsid w:val="009F7A48"/>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1716A"/>
    <w:rsid w:val="00A17F87"/>
    <w:rsid w:val="00A20E45"/>
    <w:rsid w:val="00A21B43"/>
    <w:rsid w:val="00A21BF7"/>
    <w:rsid w:val="00A21FB9"/>
    <w:rsid w:val="00A22D8A"/>
    <w:rsid w:val="00A22E52"/>
    <w:rsid w:val="00A24263"/>
    <w:rsid w:val="00A243EE"/>
    <w:rsid w:val="00A25481"/>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205B"/>
    <w:rsid w:val="00A824AF"/>
    <w:rsid w:val="00A8255B"/>
    <w:rsid w:val="00A825D4"/>
    <w:rsid w:val="00A82733"/>
    <w:rsid w:val="00A82824"/>
    <w:rsid w:val="00A82944"/>
    <w:rsid w:val="00A8315B"/>
    <w:rsid w:val="00A83254"/>
    <w:rsid w:val="00A83501"/>
    <w:rsid w:val="00A837F2"/>
    <w:rsid w:val="00A83E02"/>
    <w:rsid w:val="00A83E7D"/>
    <w:rsid w:val="00A83ED4"/>
    <w:rsid w:val="00A846EF"/>
    <w:rsid w:val="00A8492A"/>
    <w:rsid w:val="00A85A17"/>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14A8"/>
    <w:rsid w:val="00A920ED"/>
    <w:rsid w:val="00A928E5"/>
    <w:rsid w:val="00A93151"/>
    <w:rsid w:val="00A934D0"/>
    <w:rsid w:val="00A93AEC"/>
    <w:rsid w:val="00A93DA2"/>
    <w:rsid w:val="00A93F79"/>
    <w:rsid w:val="00A94392"/>
    <w:rsid w:val="00A95754"/>
    <w:rsid w:val="00A95F98"/>
    <w:rsid w:val="00A967EA"/>
    <w:rsid w:val="00A96E97"/>
    <w:rsid w:val="00A9721B"/>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311"/>
    <w:rsid w:val="00AB7869"/>
    <w:rsid w:val="00AB79D9"/>
    <w:rsid w:val="00AB7C22"/>
    <w:rsid w:val="00AC01BE"/>
    <w:rsid w:val="00AC0BF3"/>
    <w:rsid w:val="00AC1BB0"/>
    <w:rsid w:val="00AC1C56"/>
    <w:rsid w:val="00AC2A05"/>
    <w:rsid w:val="00AC2B26"/>
    <w:rsid w:val="00AC32AC"/>
    <w:rsid w:val="00AC34A2"/>
    <w:rsid w:val="00AC354D"/>
    <w:rsid w:val="00AC3BF6"/>
    <w:rsid w:val="00AC3E6C"/>
    <w:rsid w:val="00AC4067"/>
    <w:rsid w:val="00AC56EE"/>
    <w:rsid w:val="00AC59E5"/>
    <w:rsid w:val="00AC5A89"/>
    <w:rsid w:val="00AC5AB0"/>
    <w:rsid w:val="00AC6137"/>
    <w:rsid w:val="00AC6156"/>
    <w:rsid w:val="00AC6556"/>
    <w:rsid w:val="00AC73C6"/>
    <w:rsid w:val="00AD0483"/>
    <w:rsid w:val="00AD0624"/>
    <w:rsid w:val="00AD1124"/>
    <w:rsid w:val="00AD1841"/>
    <w:rsid w:val="00AD1C6B"/>
    <w:rsid w:val="00AD20A6"/>
    <w:rsid w:val="00AD228E"/>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19"/>
    <w:rsid w:val="00B16FD7"/>
    <w:rsid w:val="00B17045"/>
    <w:rsid w:val="00B174FB"/>
    <w:rsid w:val="00B178FE"/>
    <w:rsid w:val="00B17FD1"/>
    <w:rsid w:val="00B21279"/>
    <w:rsid w:val="00B21E5B"/>
    <w:rsid w:val="00B2333A"/>
    <w:rsid w:val="00B235F4"/>
    <w:rsid w:val="00B258E0"/>
    <w:rsid w:val="00B26195"/>
    <w:rsid w:val="00B269F5"/>
    <w:rsid w:val="00B27169"/>
    <w:rsid w:val="00B27901"/>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303D"/>
    <w:rsid w:val="00B5305F"/>
    <w:rsid w:val="00B531C9"/>
    <w:rsid w:val="00B53817"/>
    <w:rsid w:val="00B53942"/>
    <w:rsid w:val="00B53EF0"/>
    <w:rsid w:val="00B54CCC"/>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33D"/>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E0B"/>
    <w:rsid w:val="00BD1B7D"/>
    <w:rsid w:val="00BD1FE0"/>
    <w:rsid w:val="00BD2238"/>
    <w:rsid w:val="00BD279D"/>
    <w:rsid w:val="00BD3193"/>
    <w:rsid w:val="00BD36FB"/>
    <w:rsid w:val="00BD378E"/>
    <w:rsid w:val="00BD4B47"/>
    <w:rsid w:val="00BD5AE8"/>
    <w:rsid w:val="00BD5E3C"/>
    <w:rsid w:val="00BD64F8"/>
    <w:rsid w:val="00BD7EEA"/>
    <w:rsid w:val="00BE003A"/>
    <w:rsid w:val="00BE01A4"/>
    <w:rsid w:val="00BE0766"/>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957"/>
    <w:rsid w:val="00BF2118"/>
    <w:rsid w:val="00BF21C3"/>
    <w:rsid w:val="00BF2782"/>
    <w:rsid w:val="00BF27E1"/>
    <w:rsid w:val="00BF28CD"/>
    <w:rsid w:val="00BF3830"/>
    <w:rsid w:val="00BF394D"/>
    <w:rsid w:val="00BF3999"/>
    <w:rsid w:val="00BF3A83"/>
    <w:rsid w:val="00BF3D82"/>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46"/>
    <w:rsid w:val="00C07F77"/>
    <w:rsid w:val="00C11121"/>
    <w:rsid w:val="00C11289"/>
    <w:rsid w:val="00C1157F"/>
    <w:rsid w:val="00C11712"/>
    <w:rsid w:val="00C138D6"/>
    <w:rsid w:val="00C168C6"/>
    <w:rsid w:val="00C16A56"/>
    <w:rsid w:val="00C16E01"/>
    <w:rsid w:val="00C17D9F"/>
    <w:rsid w:val="00C20182"/>
    <w:rsid w:val="00C2025A"/>
    <w:rsid w:val="00C203C5"/>
    <w:rsid w:val="00C207F3"/>
    <w:rsid w:val="00C20F4E"/>
    <w:rsid w:val="00C21131"/>
    <w:rsid w:val="00C2179E"/>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20DF"/>
    <w:rsid w:val="00C52735"/>
    <w:rsid w:val="00C52CA4"/>
    <w:rsid w:val="00C5321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67DEA"/>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F55"/>
    <w:rsid w:val="00CA2621"/>
    <w:rsid w:val="00CA2D82"/>
    <w:rsid w:val="00CA2ED0"/>
    <w:rsid w:val="00CA2FAB"/>
    <w:rsid w:val="00CA3678"/>
    <w:rsid w:val="00CA48F6"/>
    <w:rsid w:val="00CA4DF0"/>
    <w:rsid w:val="00CA50A6"/>
    <w:rsid w:val="00CA5422"/>
    <w:rsid w:val="00CA6021"/>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76BC"/>
    <w:rsid w:val="00CC004A"/>
    <w:rsid w:val="00CC027A"/>
    <w:rsid w:val="00CC0D13"/>
    <w:rsid w:val="00CC0E75"/>
    <w:rsid w:val="00CC13AD"/>
    <w:rsid w:val="00CC1A15"/>
    <w:rsid w:val="00CC1B29"/>
    <w:rsid w:val="00CC337D"/>
    <w:rsid w:val="00CC475F"/>
    <w:rsid w:val="00CC4ACB"/>
    <w:rsid w:val="00CC5AED"/>
    <w:rsid w:val="00CC6082"/>
    <w:rsid w:val="00CC6C6E"/>
    <w:rsid w:val="00CC76E6"/>
    <w:rsid w:val="00CC7FD1"/>
    <w:rsid w:val="00CC7FFB"/>
    <w:rsid w:val="00CD01E6"/>
    <w:rsid w:val="00CD05C8"/>
    <w:rsid w:val="00CD06F2"/>
    <w:rsid w:val="00CD1779"/>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168"/>
    <w:rsid w:val="00CF62BB"/>
    <w:rsid w:val="00CF655A"/>
    <w:rsid w:val="00CF7357"/>
    <w:rsid w:val="00CF74AB"/>
    <w:rsid w:val="00CF7811"/>
    <w:rsid w:val="00CF7DF1"/>
    <w:rsid w:val="00CF7F47"/>
    <w:rsid w:val="00D00A5D"/>
    <w:rsid w:val="00D00C0E"/>
    <w:rsid w:val="00D0140B"/>
    <w:rsid w:val="00D020D2"/>
    <w:rsid w:val="00D0291E"/>
    <w:rsid w:val="00D030C9"/>
    <w:rsid w:val="00D0334F"/>
    <w:rsid w:val="00D03F3C"/>
    <w:rsid w:val="00D045B1"/>
    <w:rsid w:val="00D05105"/>
    <w:rsid w:val="00D051A3"/>
    <w:rsid w:val="00D05228"/>
    <w:rsid w:val="00D0592B"/>
    <w:rsid w:val="00D0643B"/>
    <w:rsid w:val="00D06D65"/>
    <w:rsid w:val="00D07155"/>
    <w:rsid w:val="00D07850"/>
    <w:rsid w:val="00D07E3E"/>
    <w:rsid w:val="00D100BA"/>
    <w:rsid w:val="00D112B5"/>
    <w:rsid w:val="00D11775"/>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7270"/>
    <w:rsid w:val="00D17824"/>
    <w:rsid w:val="00D1794B"/>
    <w:rsid w:val="00D17D34"/>
    <w:rsid w:val="00D20A32"/>
    <w:rsid w:val="00D212A2"/>
    <w:rsid w:val="00D22699"/>
    <w:rsid w:val="00D233A3"/>
    <w:rsid w:val="00D2389D"/>
    <w:rsid w:val="00D23D38"/>
    <w:rsid w:val="00D23FD3"/>
    <w:rsid w:val="00D24B5B"/>
    <w:rsid w:val="00D25335"/>
    <w:rsid w:val="00D25C6F"/>
    <w:rsid w:val="00D26285"/>
    <w:rsid w:val="00D265C3"/>
    <w:rsid w:val="00D2660D"/>
    <w:rsid w:val="00D2736E"/>
    <w:rsid w:val="00D30829"/>
    <w:rsid w:val="00D30FBD"/>
    <w:rsid w:val="00D3153D"/>
    <w:rsid w:val="00D317C2"/>
    <w:rsid w:val="00D32033"/>
    <w:rsid w:val="00D32274"/>
    <w:rsid w:val="00D322C4"/>
    <w:rsid w:val="00D32B0C"/>
    <w:rsid w:val="00D3349C"/>
    <w:rsid w:val="00D34B96"/>
    <w:rsid w:val="00D3689E"/>
    <w:rsid w:val="00D373B1"/>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591C"/>
    <w:rsid w:val="00D760A8"/>
    <w:rsid w:val="00D76CB8"/>
    <w:rsid w:val="00D76F82"/>
    <w:rsid w:val="00D77A26"/>
    <w:rsid w:val="00D80C65"/>
    <w:rsid w:val="00D81322"/>
    <w:rsid w:val="00D82CB6"/>
    <w:rsid w:val="00D834D9"/>
    <w:rsid w:val="00D84022"/>
    <w:rsid w:val="00D84426"/>
    <w:rsid w:val="00D8495E"/>
    <w:rsid w:val="00D84C9E"/>
    <w:rsid w:val="00D84CD1"/>
    <w:rsid w:val="00D85D6B"/>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575A"/>
    <w:rsid w:val="00DC57BD"/>
    <w:rsid w:val="00DC5CF5"/>
    <w:rsid w:val="00DC67AC"/>
    <w:rsid w:val="00DC6D5F"/>
    <w:rsid w:val="00DC7503"/>
    <w:rsid w:val="00DC7B6E"/>
    <w:rsid w:val="00DD03E4"/>
    <w:rsid w:val="00DD0B00"/>
    <w:rsid w:val="00DD117E"/>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63A"/>
    <w:rsid w:val="00DE4A17"/>
    <w:rsid w:val="00DE4DCC"/>
    <w:rsid w:val="00DE5003"/>
    <w:rsid w:val="00DE60A2"/>
    <w:rsid w:val="00DE61EB"/>
    <w:rsid w:val="00DE7727"/>
    <w:rsid w:val="00DE7917"/>
    <w:rsid w:val="00DE7D8F"/>
    <w:rsid w:val="00DF0323"/>
    <w:rsid w:val="00DF1185"/>
    <w:rsid w:val="00DF1383"/>
    <w:rsid w:val="00DF1DC5"/>
    <w:rsid w:val="00DF2A1A"/>
    <w:rsid w:val="00DF2F55"/>
    <w:rsid w:val="00DF3010"/>
    <w:rsid w:val="00DF4239"/>
    <w:rsid w:val="00DF598F"/>
    <w:rsid w:val="00DF634A"/>
    <w:rsid w:val="00DF6506"/>
    <w:rsid w:val="00DF68B6"/>
    <w:rsid w:val="00DF6D23"/>
    <w:rsid w:val="00DF706A"/>
    <w:rsid w:val="00E00930"/>
    <w:rsid w:val="00E0095F"/>
    <w:rsid w:val="00E012E3"/>
    <w:rsid w:val="00E028EE"/>
    <w:rsid w:val="00E03A59"/>
    <w:rsid w:val="00E03A6C"/>
    <w:rsid w:val="00E03EB1"/>
    <w:rsid w:val="00E04E75"/>
    <w:rsid w:val="00E05156"/>
    <w:rsid w:val="00E054C7"/>
    <w:rsid w:val="00E06304"/>
    <w:rsid w:val="00E06433"/>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125"/>
    <w:rsid w:val="00E154B9"/>
    <w:rsid w:val="00E15C0F"/>
    <w:rsid w:val="00E15C46"/>
    <w:rsid w:val="00E16994"/>
    <w:rsid w:val="00E16BCC"/>
    <w:rsid w:val="00E16F1D"/>
    <w:rsid w:val="00E177D0"/>
    <w:rsid w:val="00E177FD"/>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CC3"/>
    <w:rsid w:val="00E63E6F"/>
    <w:rsid w:val="00E643A6"/>
    <w:rsid w:val="00E655FF"/>
    <w:rsid w:val="00E65E14"/>
    <w:rsid w:val="00E66842"/>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B1C"/>
    <w:rsid w:val="00E81F8C"/>
    <w:rsid w:val="00E82653"/>
    <w:rsid w:val="00E82BA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A0431"/>
    <w:rsid w:val="00EA0B07"/>
    <w:rsid w:val="00EA17D0"/>
    <w:rsid w:val="00EA19DE"/>
    <w:rsid w:val="00EA1C14"/>
    <w:rsid w:val="00EA1FBE"/>
    <w:rsid w:val="00EA251F"/>
    <w:rsid w:val="00EA263D"/>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23DA"/>
    <w:rsid w:val="00ED4A8B"/>
    <w:rsid w:val="00ED527E"/>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72"/>
    <w:rsid w:val="00EF6D9F"/>
    <w:rsid w:val="00EF74E7"/>
    <w:rsid w:val="00EF7FE7"/>
    <w:rsid w:val="00F000C2"/>
    <w:rsid w:val="00F0018C"/>
    <w:rsid w:val="00F001F1"/>
    <w:rsid w:val="00F003DF"/>
    <w:rsid w:val="00F008A4"/>
    <w:rsid w:val="00F00A68"/>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289"/>
    <w:rsid w:val="00F12A77"/>
    <w:rsid w:val="00F12DAD"/>
    <w:rsid w:val="00F136F7"/>
    <w:rsid w:val="00F136F9"/>
    <w:rsid w:val="00F144CB"/>
    <w:rsid w:val="00F1450A"/>
    <w:rsid w:val="00F14AEE"/>
    <w:rsid w:val="00F15201"/>
    <w:rsid w:val="00F15345"/>
    <w:rsid w:val="00F156EA"/>
    <w:rsid w:val="00F1744B"/>
    <w:rsid w:val="00F200DC"/>
    <w:rsid w:val="00F20179"/>
    <w:rsid w:val="00F2020C"/>
    <w:rsid w:val="00F207D5"/>
    <w:rsid w:val="00F20A47"/>
    <w:rsid w:val="00F20F18"/>
    <w:rsid w:val="00F215A3"/>
    <w:rsid w:val="00F224E0"/>
    <w:rsid w:val="00F230F4"/>
    <w:rsid w:val="00F236D4"/>
    <w:rsid w:val="00F23A6D"/>
    <w:rsid w:val="00F23AF6"/>
    <w:rsid w:val="00F23F25"/>
    <w:rsid w:val="00F2401C"/>
    <w:rsid w:val="00F24B26"/>
    <w:rsid w:val="00F2536F"/>
    <w:rsid w:val="00F254D3"/>
    <w:rsid w:val="00F25C3F"/>
    <w:rsid w:val="00F25D98"/>
    <w:rsid w:val="00F261D9"/>
    <w:rsid w:val="00F26261"/>
    <w:rsid w:val="00F26481"/>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2C1"/>
    <w:rsid w:val="00F872FE"/>
    <w:rsid w:val="00F87ACC"/>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66FD"/>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235C"/>
    <w:rsid w:val="00FE36C3"/>
    <w:rsid w:val="00FE4872"/>
    <w:rsid w:val="00FE49B8"/>
    <w:rsid w:val="00FE536E"/>
    <w:rsid w:val="00FE55FE"/>
    <w:rsid w:val="00FE5C26"/>
    <w:rsid w:val="00FE5DB0"/>
    <w:rsid w:val="00FE5FE5"/>
    <w:rsid w:val="00FE659D"/>
    <w:rsid w:val="00FE7A7B"/>
    <w:rsid w:val="00FE7D17"/>
    <w:rsid w:val="00FE7D91"/>
    <w:rsid w:val="00FF07EA"/>
    <w:rsid w:val="00FF0834"/>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E6E75D63-770F-4D06-873F-CAEE8732D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06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98384-2D77-4281-8D7D-B2DA6051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1170</Words>
  <Characters>6438</Characters>
  <Application>Microsoft Office Word</Application>
  <DocSecurity>0</DocSecurity>
  <Lines>117</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Lili</cp:lastModifiedBy>
  <cp:revision>6</cp:revision>
  <cp:lastPrinted>2020-02-13T17:36:00Z</cp:lastPrinted>
  <dcterms:created xsi:type="dcterms:W3CDTF">2020-08-03T16:17:00Z</dcterms:created>
  <dcterms:modified xsi:type="dcterms:W3CDTF">2020-08-06T22:59:00Z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b46c6c65-cbab-4a49-a42d-aa2eb8fdbecf</vt:lpwstr>
  </property>
  <property fmtid="{D5CDD505-2E9C-101B-9397-08002B2CF9AE}" pid="24" name="CTP_TimeStamp">
    <vt:lpwstr>2020-08-06 22:59:37Z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