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400"/>
        </w:tabs>
        <w:spacing w:after="0" w:line="260" w:lineRule="auto"/>
        <w:ind w:left="1990" w:hanging="1990"/>
        <w:rPr>
          <w:rFonts w:ascii="Arial" w:hAnsi="Arial" w:eastAsia="宋体" w:cs="Arial"/>
          <w:b/>
          <w:sz w:val="24"/>
          <w:szCs w:val="22"/>
          <w:lang w:val="en-US" w:eastAsia="zh-CN"/>
        </w:rPr>
      </w:pPr>
      <w:r>
        <w:rPr>
          <w:rFonts w:ascii="Arial" w:hAnsi="Arial" w:cs="Arial"/>
          <w:b/>
          <w:sz w:val="24"/>
          <w:szCs w:val="22"/>
        </w:rPr>
        <w:t>3GPP TSG RAN Meeting #9</w:t>
      </w:r>
      <w:r>
        <w:rPr>
          <w:rFonts w:hint="eastAsia" w:ascii="Arial" w:hAnsi="Arial" w:eastAsia="宋体" w:cs="Arial"/>
          <w:b/>
          <w:sz w:val="24"/>
          <w:szCs w:val="22"/>
          <w:lang w:val="en-US" w:eastAsia="zh-CN"/>
        </w:rPr>
        <w:t>8-</w:t>
      </w:r>
      <w:r>
        <w:rPr>
          <w:rFonts w:ascii="Arial" w:hAnsi="Arial" w:cs="Arial"/>
          <w:b/>
          <w:sz w:val="24"/>
          <w:szCs w:val="22"/>
        </w:rPr>
        <w:t>e</w:t>
      </w:r>
      <w:r>
        <w:rPr>
          <w:rFonts w:hint="eastAsia" w:ascii="Arial" w:hAnsi="Arial" w:cs="Arial"/>
          <w:b/>
          <w:sz w:val="24"/>
          <w:szCs w:val="22"/>
          <w:lang w:eastAsia="zh-CN"/>
        </w:rPr>
        <w:tab/>
      </w:r>
      <w:r>
        <w:rPr>
          <w:rFonts w:hint="eastAsia" w:ascii="Arial" w:hAnsi="Arial" w:cs="Arial"/>
          <w:b/>
          <w:sz w:val="24"/>
          <w:lang w:val="en-US" w:eastAsia="zh-CN"/>
        </w:rPr>
        <w:t xml:space="preserve">RP-223263 </w:t>
      </w:r>
    </w:p>
    <w:p>
      <w:pPr>
        <w:spacing w:after="0"/>
        <w:rPr>
          <w:rFonts w:hint="eastAsia" w:ascii="Arial" w:hAnsi="Arial" w:cs="Arial"/>
          <w:b/>
          <w:sz w:val="24"/>
        </w:rPr>
      </w:pPr>
      <w:r>
        <w:rPr>
          <w:rFonts w:hint="eastAsia" w:ascii="Arial" w:hAnsi="Arial" w:cs="Arial"/>
          <w:b/>
          <w:sz w:val="24"/>
        </w:rPr>
        <w:t>Electronic Meeting, December 12-16, 2022</w:t>
      </w:r>
    </w:p>
    <w:p>
      <w:pPr>
        <w:spacing w:after="0"/>
        <w:rPr>
          <w:rFonts w:hint="eastAsia" w:ascii="Arial" w:hAnsi="Arial" w:cs="Arial"/>
          <w:b/>
          <w:sz w:val="24"/>
        </w:rPr>
      </w:pPr>
    </w:p>
    <w:p>
      <w:pPr>
        <w:keepLines/>
        <w:tabs>
          <w:tab w:val="left" w:pos="567"/>
        </w:tabs>
        <w:spacing w:after="180"/>
        <w:jc w:val="left"/>
        <w:rPr>
          <w:rFonts w:hint="default" w:ascii="Arial" w:hAnsi="Arial"/>
          <w:b/>
          <w:sz w:val="21"/>
          <w:szCs w:val="21"/>
          <w:lang w:val="en-US"/>
        </w:rPr>
      </w:pPr>
      <w:r>
        <w:rPr>
          <w:rFonts w:ascii="Arial" w:hAnsi="Arial"/>
          <w:b/>
          <w:sz w:val="21"/>
          <w:szCs w:val="21"/>
          <w:lang w:val="en-US" w:eastAsia="zh-CN" w:bidi="ar"/>
        </w:rPr>
        <w:t>Agenda Item:</w:t>
      </w:r>
      <w:r>
        <w:rPr>
          <w:rFonts w:ascii="Arial" w:hAnsi="Arial"/>
          <w:sz w:val="21"/>
          <w:szCs w:val="21"/>
          <w:lang w:val="en-US" w:eastAsia="zh-CN" w:bidi="ar"/>
        </w:rPr>
        <w:tab/>
      </w:r>
      <w:bookmarkStart w:id="0" w:name="Source"/>
      <w:bookmarkEnd w:id="0"/>
      <w:r>
        <w:rPr>
          <w:rFonts w:ascii="Arial" w:hAnsi="Arial"/>
          <w:b/>
          <w:sz w:val="21"/>
          <w:szCs w:val="21"/>
          <w:lang w:val="en-US" w:eastAsia="zh-CN" w:bidi="ar"/>
        </w:rPr>
        <w:tab/>
      </w:r>
      <w:r>
        <w:rPr>
          <w:rFonts w:hint="eastAsia" w:ascii="Arial" w:hAnsi="Arial"/>
          <w:b/>
          <w:sz w:val="21"/>
          <w:szCs w:val="21"/>
          <w:lang w:val="en-US" w:eastAsia="zh-CN" w:bidi="ar"/>
        </w:rPr>
        <w:t>9.3.1.7</w:t>
      </w:r>
    </w:p>
    <w:p>
      <w:pPr>
        <w:keepLines/>
        <w:tabs>
          <w:tab w:val="left" w:pos="567"/>
        </w:tabs>
        <w:spacing w:after="180"/>
        <w:jc w:val="left"/>
        <w:rPr>
          <w:rFonts w:ascii="Arial" w:hAnsi="Arial"/>
          <w:sz w:val="21"/>
          <w:szCs w:val="21"/>
          <w:lang w:val="en-US"/>
        </w:rPr>
      </w:pPr>
      <w:r>
        <w:rPr>
          <w:rFonts w:ascii="Arial" w:hAnsi="Arial"/>
          <w:b/>
          <w:sz w:val="21"/>
          <w:szCs w:val="21"/>
          <w:lang w:val="en-US" w:eastAsia="zh-CN" w:bidi="ar"/>
        </w:rPr>
        <w:t>Source:</w:t>
      </w:r>
      <w:r>
        <w:rPr>
          <w:rFonts w:ascii="Arial" w:hAnsi="Arial"/>
          <w:b/>
          <w:sz w:val="21"/>
          <w:szCs w:val="21"/>
          <w:lang w:val="en-US" w:eastAsia="zh-CN" w:bidi="ar"/>
        </w:rPr>
        <w:tab/>
      </w:r>
      <w:r>
        <w:rPr>
          <w:rFonts w:ascii="Arial" w:hAnsi="Arial"/>
          <w:b/>
          <w:sz w:val="21"/>
          <w:szCs w:val="21"/>
          <w:lang w:val="en-US" w:eastAsia="zh-CN" w:bidi="ar"/>
        </w:rPr>
        <w:tab/>
      </w:r>
      <w:r>
        <w:rPr>
          <w:rFonts w:ascii="Arial" w:hAnsi="Arial"/>
          <w:b/>
          <w:sz w:val="21"/>
          <w:szCs w:val="21"/>
          <w:lang w:val="en-US" w:eastAsia="zh-CN" w:bidi="ar"/>
        </w:rPr>
        <w:t>ZTE, Sanechips</w:t>
      </w:r>
    </w:p>
    <w:p>
      <w:pPr>
        <w:keepLines/>
        <w:tabs>
          <w:tab w:val="left" w:pos="567"/>
        </w:tabs>
        <w:spacing w:after="180"/>
        <w:jc w:val="left"/>
        <w:rPr>
          <w:rFonts w:ascii="Arial" w:hAnsi="Arial"/>
          <w:sz w:val="21"/>
          <w:szCs w:val="21"/>
          <w:lang w:val="en-US"/>
        </w:rPr>
      </w:pPr>
      <w:r>
        <w:rPr>
          <w:rFonts w:ascii="Arial" w:hAnsi="Arial"/>
          <w:b/>
          <w:sz w:val="21"/>
          <w:szCs w:val="21"/>
          <w:lang w:val="en-US" w:eastAsia="zh-CN" w:bidi="ar"/>
        </w:rPr>
        <w:t>Title:</w:t>
      </w:r>
      <w:r>
        <w:rPr>
          <w:rFonts w:ascii="Arial" w:hAnsi="Arial"/>
          <w:sz w:val="21"/>
          <w:szCs w:val="21"/>
          <w:lang w:val="en-US" w:eastAsia="zh-CN" w:bidi="ar"/>
        </w:rPr>
        <w:tab/>
      </w:r>
      <w:r>
        <w:rPr>
          <w:rFonts w:ascii="Arial" w:hAnsi="Arial"/>
          <w:sz w:val="21"/>
          <w:szCs w:val="21"/>
          <w:lang w:val="en-US" w:eastAsia="zh-CN" w:bidi="ar"/>
        </w:rPr>
        <w:tab/>
      </w:r>
      <w:r>
        <w:rPr>
          <w:rFonts w:ascii="Arial" w:hAnsi="Arial"/>
          <w:sz w:val="21"/>
          <w:szCs w:val="21"/>
          <w:lang w:val="en-US" w:eastAsia="zh-CN" w:bidi="ar"/>
        </w:rPr>
        <w:tab/>
      </w:r>
      <w:r>
        <w:rPr>
          <w:rFonts w:ascii="Arial" w:hAnsi="Arial"/>
          <w:sz w:val="21"/>
          <w:szCs w:val="21"/>
          <w:lang w:val="en-US" w:eastAsia="zh-CN" w:bidi="ar"/>
        </w:rPr>
        <w:tab/>
      </w:r>
      <w:r>
        <w:rPr>
          <w:rFonts w:hint="eastAsia" w:ascii="Arial" w:hAnsi="Arial"/>
          <w:b/>
          <w:sz w:val="21"/>
          <w:szCs w:val="21"/>
          <w:lang w:val="en-US" w:eastAsia="zh-CN" w:bidi="ar"/>
        </w:rPr>
        <w:t>Discussion on Rel-18 eRed</w:t>
      </w:r>
      <w:r>
        <w:rPr>
          <w:rFonts w:ascii="Arial" w:hAnsi="Arial"/>
          <w:b/>
          <w:sz w:val="21"/>
          <w:szCs w:val="21"/>
          <w:lang w:val="en-US" w:eastAsia="zh-CN" w:bidi="ar"/>
        </w:rPr>
        <w:t>C</w:t>
      </w:r>
      <w:r>
        <w:rPr>
          <w:rFonts w:hint="eastAsia" w:ascii="Arial" w:hAnsi="Arial"/>
          <w:b/>
          <w:sz w:val="21"/>
          <w:szCs w:val="21"/>
          <w:lang w:val="en-US" w:eastAsia="zh-CN" w:bidi="ar"/>
        </w:rPr>
        <w:t>ap scope</w:t>
      </w:r>
    </w:p>
    <w:p>
      <w:pPr>
        <w:keepLines/>
        <w:tabs>
          <w:tab w:val="left" w:pos="567"/>
        </w:tabs>
        <w:spacing w:after="180"/>
        <w:jc w:val="left"/>
        <w:rPr>
          <w:rFonts w:ascii="Arial" w:hAnsi="Arial"/>
          <w:b/>
          <w:sz w:val="21"/>
          <w:szCs w:val="21"/>
          <w:lang w:val="en-US"/>
        </w:rPr>
      </w:pPr>
      <w:r>
        <w:rPr>
          <w:rFonts w:ascii="Arial" w:hAnsi="Arial"/>
          <w:b/>
          <w:sz w:val="21"/>
          <w:szCs w:val="21"/>
          <w:lang w:val="en-US" w:eastAsia="zh-CN" w:bidi="ar"/>
        </w:rPr>
        <w:t>Document for:</w:t>
      </w:r>
      <w:r>
        <w:rPr>
          <w:rFonts w:ascii="Arial" w:hAnsi="Arial"/>
          <w:sz w:val="21"/>
          <w:szCs w:val="21"/>
          <w:lang w:val="en-US" w:eastAsia="zh-CN" w:bidi="ar"/>
        </w:rPr>
        <w:tab/>
      </w:r>
      <w:bookmarkStart w:id="1" w:name="DocumentFor"/>
      <w:bookmarkEnd w:id="1"/>
      <w:r>
        <w:rPr>
          <w:rFonts w:ascii="Arial" w:hAnsi="Arial"/>
          <w:sz w:val="21"/>
          <w:szCs w:val="21"/>
          <w:lang w:val="en-US" w:eastAsia="zh-CN" w:bidi="ar"/>
        </w:rPr>
        <w:tab/>
      </w:r>
      <w:r>
        <w:rPr>
          <w:rFonts w:ascii="Arial" w:hAnsi="Arial"/>
          <w:b/>
          <w:sz w:val="21"/>
          <w:szCs w:val="21"/>
          <w:lang w:val="en-US" w:eastAsia="zh-CN" w:bidi="ar"/>
        </w:rPr>
        <w:t>Discussion</w:t>
      </w:r>
    </w:p>
    <w:p>
      <w:pPr>
        <w:pStyle w:val="2"/>
        <w:pBdr>
          <w:top w:val="single" w:color="auto" w:sz="12" w:space="2"/>
        </w:pBdr>
        <w:spacing w:beforeLines="0" w:after="180" w:afterLines="50"/>
      </w:pPr>
      <w:r>
        <w:t>I</w:t>
      </w:r>
      <w:r>
        <w:rPr>
          <w:rFonts w:hint="eastAsia"/>
        </w:rPr>
        <w:t>ntroduction</w:t>
      </w:r>
    </w:p>
    <w:p>
      <w:pPr>
        <w:rPr>
          <w:rFonts w:hint="eastAsia"/>
          <w:lang w:val="en-US" w:eastAsia="zh-CN"/>
        </w:rPr>
      </w:pPr>
      <w:r>
        <w:rPr>
          <w:rFonts w:hint="eastAsia"/>
          <w:lang w:val="en-US" w:eastAsia="zh-CN"/>
        </w:rPr>
        <w:t xml:space="preserve">After RAN #97e meeting, the </w:t>
      </w:r>
      <w:r>
        <w:rPr>
          <w:lang w:val="en-US" w:eastAsia="zh-CN"/>
        </w:rPr>
        <w:t xml:space="preserve">initial version of the Rel-18 </w:t>
      </w:r>
      <w:r>
        <w:rPr>
          <w:rFonts w:hint="eastAsia"/>
          <w:lang w:val="en-US" w:eastAsia="zh-CN"/>
        </w:rPr>
        <w:t xml:space="preserve">RedCap WI scope </w:t>
      </w:r>
      <w:r>
        <w:rPr>
          <w:lang w:val="en-US" w:eastAsia="zh-CN"/>
        </w:rPr>
        <w:t>[1]</w:t>
      </w:r>
      <w:r>
        <w:rPr>
          <w:rFonts w:hint="eastAsia"/>
          <w:lang w:val="en-US" w:eastAsia="zh-CN"/>
        </w:rPr>
        <w:t xml:space="preserve"> has been released, and the corresponding remaining issues are shown as follows.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keepNext w:val="0"/>
              <w:keepLines w:val="0"/>
              <w:widowControl/>
              <w:suppressLineNumbers w:val="0"/>
              <w:spacing w:before="0" w:beforeAutospacing="0" w:afterAutospacing="0"/>
              <w:ind w:left="0" w:right="0"/>
              <w:rPr>
                <w:rFonts w:hint="default" w:ascii="Arial" w:hAnsi="Arial" w:eastAsia="宋体" w:cs="Times New Roman"/>
                <w:sz w:val="28"/>
                <w:szCs w:val="20"/>
                <w:lang w:val="en-GB" w:eastAsia="en-GB" w:bidi="ar-SA"/>
              </w:rPr>
            </w:pPr>
            <w:r>
              <w:rPr>
                <w:rFonts w:hint="default" w:ascii="Arial" w:hAnsi="Arial" w:eastAsia="宋体" w:cs="Times New Roman"/>
                <w:sz w:val="28"/>
                <w:szCs w:val="20"/>
                <w:lang w:val="en-GB" w:eastAsia="en-GB" w:bidi="ar-SA"/>
              </w:rPr>
              <w:t>4.1</w:t>
            </w:r>
            <w:r>
              <w:rPr>
                <w:rFonts w:hint="default" w:ascii="Arial" w:hAnsi="Arial" w:eastAsia="宋体" w:cs="Times New Roman"/>
                <w:sz w:val="28"/>
                <w:szCs w:val="20"/>
                <w:lang w:val="en-GB" w:eastAsia="en-GB" w:bidi="ar-SA"/>
              </w:rPr>
              <w:tab/>
            </w:r>
            <w:r>
              <w:rPr>
                <w:rFonts w:hint="default" w:ascii="Arial" w:hAnsi="Arial" w:eastAsia="宋体" w:cs="Times New Roman"/>
                <w:sz w:val="28"/>
                <w:szCs w:val="20"/>
                <w:lang w:val="en-GB" w:eastAsia="en-GB" w:bidi="ar-SA"/>
              </w:rPr>
              <w:t>Objective of Core part WI</w:t>
            </w:r>
          </w:p>
          <w:p>
            <w:pPr>
              <w:keepNext w:val="0"/>
              <w:keepLines w:val="0"/>
              <w:widowControl/>
              <w:suppressLineNumbers w:val="0"/>
              <w:snapToGrid/>
              <w:spacing w:before="0" w:beforeAutospacing="0" w:after="180" w:afterAutospacing="0" w:line="240" w:lineRule="auto"/>
              <w:ind w:left="0" w:right="-99"/>
              <w:jc w:val="both"/>
              <w:rPr>
                <w:rFonts w:hint="default" w:eastAsia="宋体"/>
                <w:sz w:val="20"/>
                <w:szCs w:val="20"/>
                <w:lang w:eastAsia="ja-JP"/>
              </w:rPr>
            </w:pPr>
            <w:r>
              <w:rPr>
                <w:rFonts w:hint="default" w:eastAsia="宋体"/>
                <w:sz w:val="20"/>
                <w:szCs w:val="20"/>
                <w:lang w:eastAsia="ja-JP"/>
              </w:rPr>
              <w:t xml:space="preserve">The objective is to specify support for the following enhancements: </w:t>
            </w:r>
          </w:p>
          <w:p>
            <w:pPr>
              <w:keepNext w:val="0"/>
              <w:keepLines w:val="0"/>
              <w:widowControl/>
              <w:suppressLineNumbers w:val="0"/>
              <w:snapToGrid/>
              <w:spacing w:before="0" w:beforeAutospacing="0" w:after="180" w:afterAutospacing="0" w:line="240" w:lineRule="auto"/>
              <w:ind w:left="0" w:right="-99"/>
              <w:jc w:val="left"/>
              <w:rPr>
                <w:rFonts w:hint="default" w:eastAsia="宋体"/>
                <w:b/>
                <w:bCs/>
                <w:sz w:val="20"/>
                <w:szCs w:val="20"/>
                <w:lang w:eastAsia="ja-JP"/>
              </w:rPr>
            </w:pPr>
            <w:r>
              <w:rPr>
                <w:rFonts w:hint="default" w:eastAsia="宋体"/>
                <w:b/>
                <w:bCs/>
                <w:sz w:val="20"/>
                <w:szCs w:val="20"/>
                <w:lang w:eastAsia="ja-JP"/>
              </w:rPr>
              <w:t>Power saving/energy efficiency enhancements</w:t>
            </w:r>
          </w:p>
          <w:p>
            <w:pPr>
              <w:keepNext w:val="0"/>
              <w:keepLines w:val="0"/>
              <w:widowControl/>
              <w:numPr>
                <w:ilvl w:val="0"/>
                <w:numId w:val="3"/>
              </w:numPr>
              <w:suppressLineNumbers w:val="0"/>
              <w:snapToGrid/>
              <w:spacing w:before="0" w:beforeAutospacing="0" w:after="180" w:afterAutospacing="0" w:line="240" w:lineRule="auto"/>
              <w:ind w:right="-99"/>
              <w:jc w:val="left"/>
              <w:rPr>
                <w:rFonts w:hint="default" w:eastAsia="宋体"/>
                <w:sz w:val="20"/>
                <w:szCs w:val="20"/>
                <w:lang w:eastAsia="ja-JP"/>
              </w:rPr>
            </w:pPr>
            <w:r>
              <w:rPr>
                <w:rFonts w:hint="default" w:eastAsia="宋体"/>
                <w:sz w:val="20"/>
                <w:szCs w:val="20"/>
                <w:lang w:eastAsia="ja-JP"/>
              </w:rPr>
              <w:t>Enhanced eDRX in RRC_INACTIVE (&gt;10.24s) [RAN2, RAN3, RAN4]</w:t>
            </w:r>
          </w:p>
          <w:p>
            <w:pPr>
              <w:keepNext w:val="0"/>
              <w:keepLines w:val="0"/>
              <w:widowControl/>
              <w:numPr>
                <w:ilvl w:val="1"/>
                <w:numId w:val="3"/>
              </w:numPr>
              <w:suppressLineNumbers w:val="0"/>
              <w:snapToGrid/>
              <w:spacing w:before="0" w:beforeAutospacing="0" w:after="180" w:afterAutospacing="0" w:line="240" w:lineRule="auto"/>
              <w:ind w:right="-99"/>
              <w:jc w:val="left"/>
              <w:rPr>
                <w:rFonts w:hint="default" w:eastAsia="宋体"/>
                <w:sz w:val="20"/>
                <w:szCs w:val="20"/>
                <w:lang w:eastAsia="ja-JP"/>
              </w:rPr>
            </w:pPr>
            <w:r>
              <w:rPr>
                <w:rFonts w:hint="eastAsia" w:eastAsia="宋体"/>
                <w:sz w:val="20"/>
                <w:szCs w:val="20"/>
                <w:lang w:eastAsia="ja-JP"/>
              </w:rPr>
              <w:t xml:space="preserve">Note that this objective requires SA2 </w:t>
            </w:r>
            <w:r>
              <w:rPr>
                <w:rFonts w:hint="default" w:eastAsia="宋体"/>
                <w:sz w:val="20"/>
                <w:szCs w:val="20"/>
                <w:lang w:eastAsia="ja-JP"/>
              </w:rPr>
              <w:t xml:space="preserve">and </w:t>
            </w:r>
            <w:r>
              <w:rPr>
                <w:rFonts w:hint="eastAsia" w:eastAsia="宋体"/>
                <w:sz w:val="20"/>
                <w:szCs w:val="20"/>
                <w:lang w:eastAsia="ja-JP"/>
              </w:rPr>
              <w:t>CT1</w:t>
            </w:r>
            <w:r>
              <w:rPr>
                <w:rFonts w:hint="default" w:eastAsia="宋体"/>
                <w:sz w:val="20"/>
                <w:szCs w:val="20"/>
                <w:lang w:eastAsia="ja-JP"/>
              </w:rPr>
              <w:t xml:space="preserve"> </w:t>
            </w:r>
            <w:r>
              <w:rPr>
                <w:rFonts w:hint="eastAsia" w:eastAsia="宋体"/>
                <w:sz w:val="20"/>
                <w:szCs w:val="20"/>
                <w:lang w:eastAsia="ja-JP"/>
              </w:rPr>
              <w:t>involvement</w:t>
            </w:r>
          </w:p>
          <w:p>
            <w:pPr>
              <w:keepNext w:val="0"/>
              <w:keepLines w:val="0"/>
              <w:widowControl/>
              <w:suppressLineNumbers w:val="0"/>
              <w:snapToGrid/>
              <w:spacing w:before="0" w:beforeAutospacing="0" w:after="180" w:afterAutospacing="0" w:line="240" w:lineRule="auto"/>
              <w:ind w:left="0" w:right="-99"/>
              <w:jc w:val="left"/>
              <w:rPr>
                <w:rFonts w:hint="default" w:eastAsia="宋体"/>
                <w:b/>
                <w:bCs/>
                <w:sz w:val="20"/>
                <w:szCs w:val="20"/>
                <w:lang w:eastAsia="ja-JP"/>
              </w:rPr>
            </w:pPr>
            <w:r>
              <w:rPr>
                <w:rFonts w:hint="default" w:eastAsia="宋体"/>
                <w:b/>
                <w:bCs/>
                <w:sz w:val="20"/>
                <w:szCs w:val="20"/>
                <w:lang w:eastAsia="ja-JP"/>
              </w:rPr>
              <w:t>Complexity/cost reduction</w:t>
            </w:r>
          </w:p>
          <w:p>
            <w:pPr>
              <w:keepNext w:val="0"/>
              <w:keepLines w:val="0"/>
              <w:widowControl/>
              <w:numPr>
                <w:ilvl w:val="0"/>
                <w:numId w:val="4"/>
              </w:numPr>
              <w:suppressLineNumbers w:val="0"/>
              <w:snapToGrid/>
              <w:spacing w:before="0" w:beforeAutospacing="0" w:after="180" w:afterAutospacing="0" w:line="240" w:lineRule="auto"/>
              <w:ind w:right="-99"/>
              <w:jc w:val="left"/>
              <w:rPr>
                <w:rFonts w:hint="default" w:eastAsia="宋体"/>
                <w:sz w:val="20"/>
                <w:szCs w:val="20"/>
                <w:lang w:eastAsia="ja-JP"/>
              </w:rPr>
            </w:pPr>
            <w:r>
              <w:rPr>
                <w:rFonts w:hint="default" w:eastAsia="宋体"/>
                <w:sz w:val="20"/>
                <w:szCs w:val="20"/>
                <w:lang w:eastAsia="ja-JP"/>
              </w:rPr>
              <w:t>Further reduced UE complexity in FR1 [RAN1, RAN2, RAN4]</w:t>
            </w:r>
          </w:p>
          <w:p>
            <w:pPr>
              <w:keepNext w:val="0"/>
              <w:keepLines w:val="0"/>
              <w:widowControl/>
              <w:numPr>
                <w:ilvl w:val="1"/>
                <w:numId w:val="3"/>
              </w:numPr>
              <w:suppressLineNumbers w:val="0"/>
              <w:overflowPunct w:val="0"/>
              <w:autoSpaceDE w:val="0"/>
              <w:autoSpaceDN w:val="0"/>
              <w:adjustRightInd w:val="0"/>
              <w:spacing w:before="0" w:beforeAutospacing="0" w:after="180" w:afterAutospacing="0"/>
              <w:ind w:left="1440" w:right="0" w:hanging="360"/>
              <w:textAlignment w:val="baseline"/>
              <w:rPr>
                <w:rFonts w:hint="default" w:ascii="Times New Roman" w:hAnsi="Times New Roman" w:eastAsia="宋体" w:cs="Times New Roman"/>
                <w:sz w:val="20"/>
                <w:szCs w:val="20"/>
                <w:lang w:val="en-US" w:eastAsia="en-GB" w:bidi="ar-SA"/>
              </w:rPr>
            </w:pPr>
            <w:r>
              <w:rPr>
                <w:rFonts w:hint="default" w:ascii="Times New Roman" w:hAnsi="Times New Roman" w:eastAsia="宋体" w:cs="Times New Roman"/>
                <w:sz w:val="20"/>
                <w:szCs w:val="20"/>
                <w:lang w:val="en-US" w:eastAsia="en-GB" w:bidi="ar-SA"/>
              </w:rPr>
              <w:t>UE BB bandwidth reduction</w:t>
            </w:r>
          </w:p>
          <w:p>
            <w:pPr>
              <w:keepNext w:val="0"/>
              <w:keepLines w:val="0"/>
              <w:widowControl/>
              <w:numPr>
                <w:ilvl w:val="2"/>
                <w:numId w:val="3"/>
              </w:numPr>
              <w:suppressLineNumbers w:val="0"/>
              <w:overflowPunct w:val="0"/>
              <w:autoSpaceDE w:val="0"/>
              <w:autoSpaceDN w:val="0"/>
              <w:adjustRightInd w:val="0"/>
              <w:spacing w:before="0" w:beforeAutospacing="0" w:after="180" w:afterAutospacing="0"/>
              <w:ind w:left="2160" w:right="0" w:hanging="360"/>
              <w:textAlignment w:val="baseline"/>
              <w:rPr>
                <w:rFonts w:hint="default" w:ascii="Times New Roman" w:hAnsi="Times New Roman" w:eastAsia="宋体" w:cs="Times New Roman"/>
                <w:sz w:val="20"/>
                <w:szCs w:val="20"/>
                <w:lang w:val="en-US" w:eastAsia="en-GB" w:bidi="ar-SA"/>
              </w:rPr>
            </w:pPr>
            <w:r>
              <w:rPr>
                <w:rFonts w:hint="default" w:ascii="Times New Roman" w:hAnsi="Times New Roman" w:eastAsia="宋体" w:cs="Times New Roman"/>
                <w:sz w:val="20"/>
                <w:szCs w:val="20"/>
                <w:lang w:val="en-US" w:eastAsia="en-GB" w:bidi="ar-SA"/>
              </w:rPr>
              <w:t>5 MHz BB bandwidth only for PDSCH (for both unicast and broadcast) and PUSCH, with 20 MHz RF bandwidth for UL and DL</w:t>
            </w:r>
          </w:p>
          <w:p>
            <w:pPr>
              <w:keepNext w:val="0"/>
              <w:keepLines w:val="0"/>
              <w:widowControl/>
              <w:numPr>
                <w:ilvl w:val="2"/>
                <w:numId w:val="3"/>
              </w:numPr>
              <w:suppressLineNumbers w:val="0"/>
              <w:overflowPunct w:val="0"/>
              <w:autoSpaceDE w:val="0"/>
              <w:autoSpaceDN w:val="0"/>
              <w:adjustRightInd w:val="0"/>
              <w:spacing w:before="0" w:beforeAutospacing="0" w:after="180" w:afterAutospacing="0"/>
              <w:ind w:left="2160" w:right="0" w:hanging="360"/>
              <w:textAlignment w:val="baseline"/>
              <w:rPr>
                <w:rFonts w:hint="default" w:ascii="Times New Roman" w:hAnsi="Times New Roman" w:eastAsia="宋体" w:cs="Times New Roman"/>
                <w:sz w:val="20"/>
                <w:szCs w:val="20"/>
                <w:lang w:val="en-US" w:eastAsia="en-GB" w:bidi="ar-SA"/>
              </w:rPr>
            </w:pPr>
            <w:r>
              <w:rPr>
                <w:rFonts w:hint="default" w:ascii="Times New Roman" w:hAnsi="Times New Roman" w:eastAsia="宋体" w:cs="Times New Roman"/>
                <w:sz w:val="20"/>
                <w:szCs w:val="20"/>
                <w:lang w:val="en-US" w:eastAsia="en-GB" w:bidi="ar-SA"/>
              </w:rPr>
              <w:t>The other physical channels and signals are still allowed to use a BWP up to the 20 MHz maximum UE RF+BB bandwidth.</w:t>
            </w:r>
          </w:p>
          <w:p>
            <w:pPr>
              <w:keepNext w:val="0"/>
              <w:keepLines w:val="0"/>
              <w:widowControl/>
              <w:numPr>
                <w:ilvl w:val="1"/>
                <w:numId w:val="3"/>
              </w:numPr>
              <w:suppressLineNumbers w:val="0"/>
              <w:snapToGrid/>
              <w:spacing w:before="0" w:beforeAutospacing="0" w:after="180" w:afterAutospacing="0" w:line="240" w:lineRule="auto"/>
              <w:ind w:right="-99"/>
              <w:jc w:val="left"/>
              <w:rPr>
                <w:rFonts w:hint="default" w:eastAsia="宋体"/>
                <w:sz w:val="20"/>
                <w:szCs w:val="20"/>
                <w:lang w:eastAsia="ja-JP"/>
              </w:rPr>
            </w:pPr>
            <w:r>
              <w:rPr>
                <w:rFonts w:hint="default" w:eastAsia="宋体"/>
                <w:sz w:val="20"/>
                <w:szCs w:val="20"/>
                <w:lang w:eastAsia="ja-JP"/>
              </w:rPr>
              <w:t>UE peak data rate reduction</w:t>
            </w:r>
          </w:p>
          <w:p>
            <w:pPr>
              <w:keepNext w:val="0"/>
              <w:keepLines w:val="0"/>
              <w:widowControl/>
              <w:numPr>
                <w:ilvl w:val="2"/>
                <w:numId w:val="3"/>
              </w:numPr>
              <w:suppressLineNumbers w:val="0"/>
              <w:overflowPunct w:val="0"/>
              <w:autoSpaceDE w:val="0"/>
              <w:autoSpaceDN w:val="0"/>
              <w:adjustRightInd w:val="0"/>
              <w:spacing w:before="0" w:beforeAutospacing="0" w:after="180" w:afterAutospacing="0"/>
              <w:ind w:left="2160" w:right="0" w:hanging="360"/>
              <w:textAlignment w:val="baseline"/>
              <w:rPr>
                <w:rFonts w:hint="default" w:ascii="Times New Roman" w:hAnsi="Times New Roman" w:eastAsia="宋体" w:cs="Times New Roman"/>
                <w:sz w:val="20"/>
                <w:szCs w:val="20"/>
                <w:lang w:val="en-US" w:eastAsia="en-GB" w:bidi="ar-SA"/>
              </w:rPr>
            </w:pPr>
            <w:r>
              <w:rPr>
                <w:rFonts w:hint="default" w:ascii="Times New Roman" w:hAnsi="Times New Roman" w:eastAsia="宋体" w:cs="Times New Roman"/>
                <w:sz w:val="20"/>
                <w:szCs w:val="20"/>
                <w:lang w:val="en-US" w:eastAsia="en-GB" w:bidi="ar-SA"/>
              </w:rPr>
              <w:t>Relaxation of the constraint (</w:t>
            </w:r>
            <w:r>
              <w:rPr>
                <w:rFonts w:hint="default" w:ascii="Times New Roman" w:hAnsi="Times New Roman" w:eastAsia="宋体" w:cs="Times New Roman"/>
                <w:i/>
                <w:iCs/>
                <w:sz w:val="20"/>
                <w:szCs w:val="20"/>
                <w:lang w:val="en-US" w:eastAsia="en-GB" w:bidi="ar-SA"/>
              </w:rPr>
              <w:t>v</w:t>
            </w:r>
            <w:r>
              <w:rPr>
                <w:rFonts w:hint="default" w:ascii="Times New Roman" w:hAnsi="Times New Roman" w:eastAsia="宋体" w:cs="Times New Roman"/>
                <w:i/>
                <w:iCs/>
                <w:sz w:val="20"/>
                <w:szCs w:val="20"/>
                <w:vertAlign w:val="subscript"/>
                <w:lang w:val="en-US" w:eastAsia="en-GB" w:bidi="ar-SA"/>
              </w:rPr>
              <w:t>Layers</w:t>
            </w:r>
            <w:r>
              <w:rPr>
                <w:rFonts w:hint="default" w:ascii="Times New Roman" w:hAnsi="Times New Roman" w:eastAsia="宋体" w:cs="Times New Roman"/>
                <w:sz w:val="20"/>
                <w:szCs w:val="20"/>
                <w:lang w:val="en-US" w:eastAsia="en-GB" w:bidi="ar-SA"/>
              </w:rPr>
              <w:t>·</w:t>
            </w:r>
            <w:r>
              <w:rPr>
                <w:rFonts w:hint="default" w:ascii="Times New Roman" w:hAnsi="Times New Roman" w:eastAsia="宋体" w:cs="Times New Roman"/>
                <w:i/>
                <w:iCs/>
                <w:sz w:val="20"/>
                <w:szCs w:val="20"/>
                <w:lang w:val="en-US" w:eastAsia="en-GB" w:bidi="ar-SA"/>
              </w:rPr>
              <w:t>Q</w:t>
            </w:r>
            <w:r>
              <w:rPr>
                <w:rFonts w:hint="default" w:ascii="Times New Roman" w:hAnsi="Times New Roman" w:eastAsia="宋体" w:cs="Times New Roman"/>
                <w:i/>
                <w:iCs/>
                <w:sz w:val="20"/>
                <w:szCs w:val="20"/>
                <w:vertAlign w:val="subscript"/>
                <w:lang w:val="en-US" w:eastAsia="en-GB" w:bidi="ar-SA"/>
              </w:rPr>
              <w:t>m</w:t>
            </w:r>
            <w:r>
              <w:rPr>
                <w:rFonts w:hint="default" w:ascii="Times New Roman" w:hAnsi="Times New Roman" w:eastAsia="宋体" w:cs="Times New Roman"/>
                <w:sz w:val="20"/>
                <w:szCs w:val="20"/>
                <w:lang w:val="en-US" w:eastAsia="en-GB" w:bidi="ar-SA"/>
              </w:rPr>
              <w:t>·</w:t>
            </w:r>
            <w:r>
              <w:rPr>
                <w:rFonts w:hint="default" w:ascii="Times New Roman" w:hAnsi="Times New Roman" w:eastAsia="宋体" w:cs="Times New Roman"/>
                <w:i/>
                <w:iCs/>
                <w:sz w:val="20"/>
                <w:szCs w:val="20"/>
                <w:lang w:val="en-US" w:eastAsia="en-GB" w:bidi="ar-SA"/>
              </w:rPr>
              <w:t>f</w:t>
            </w:r>
            <w:r>
              <w:rPr>
                <w:rFonts w:hint="default" w:ascii="Times New Roman" w:hAnsi="Times New Roman" w:eastAsia="宋体" w:cs="Times New Roman"/>
                <w:sz w:val="20"/>
                <w:szCs w:val="20"/>
                <w:lang w:val="en-US" w:eastAsia="en-GB" w:bidi="ar-SA"/>
              </w:rPr>
              <w:t xml:space="preserve"> ≥ 4) for peak data rate reduction</w:t>
            </w:r>
          </w:p>
          <w:p>
            <w:pPr>
              <w:keepNext w:val="0"/>
              <w:keepLines w:val="0"/>
              <w:widowControl/>
              <w:numPr>
                <w:ilvl w:val="2"/>
                <w:numId w:val="3"/>
              </w:numPr>
              <w:suppressLineNumbers w:val="0"/>
              <w:overflowPunct w:val="0"/>
              <w:autoSpaceDE w:val="0"/>
              <w:autoSpaceDN w:val="0"/>
              <w:adjustRightInd w:val="0"/>
              <w:spacing w:before="0" w:beforeAutospacing="0" w:after="180" w:afterAutospacing="0"/>
              <w:ind w:left="2160" w:right="0" w:hanging="360"/>
              <w:textAlignment w:val="baseline"/>
              <w:rPr>
                <w:rFonts w:hint="default" w:ascii="Times New Roman" w:hAnsi="Times New Roman" w:eastAsia="宋体" w:cs="Times New Roman"/>
                <w:sz w:val="20"/>
                <w:szCs w:val="20"/>
                <w:lang w:val="en-US" w:eastAsia="en-GB" w:bidi="ar-SA"/>
              </w:rPr>
            </w:pPr>
            <w:r>
              <w:rPr>
                <w:rFonts w:hint="default" w:ascii="Times New Roman" w:hAnsi="Times New Roman" w:eastAsia="宋体" w:cs="Times New Roman"/>
                <w:sz w:val="20"/>
                <w:szCs w:val="20"/>
                <w:lang w:val="en-US" w:eastAsia="en-GB" w:bidi="ar-SA"/>
              </w:rPr>
              <w:t>The relaxed constraint is, e.g., 1 (instead of 4).</w:t>
            </w:r>
          </w:p>
          <w:p>
            <w:pPr>
              <w:keepNext w:val="0"/>
              <w:keepLines w:val="0"/>
              <w:widowControl/>
              <w:numPr>
                <w:ilvl w:val="2"/>
                <w:numId w:val="3"/>
              </w:numPr>
              <w:suppressLineNumbers w:val="0"/>
              <w:overflowPunct w:val="0"/>
              <w:autoSpaceDE w:val="0"/>
              <w:autoSpaceDN w:val="0"/>
              <w:adjustRightInd w:val="0"/>
              <w:spacing w:before="0" w:beforeAutospacing="0" w:after="180" w:afterAutospacing="0"/>
              <w:ind w:left="2160" w:right="0" w:hanging="360"/>
              <w:textAlignment w:val="baseline"/>
              <w:rPr>
                <w:rFonts w:hint="default" w:ascii="Times New Roman" w:hAnsi="Times New Roman" w:eastAsia="宋体" w:cs="Times New Roman"/>
                <w:sz w:val="20"/>
                <w:szCs w:val="20"/>
                <w:lang w:val="en-US" w:eastAsia="en-GB" w:bidi="ar-SA"/>
              </w:rPr>
            </w:pPr>
            <w:r>
              <w:rPr>
                <w:rFonts w:hint="default" w:ascii="Times New Roman" w:hAnsi="Times New Roman" w:eastAsia="宋体" w:cs="Times New Roman"/>
                <w:sz w:val="20"/>
                <w:szCs w:val="20"/>
                <w:lang w:val="en-US" w:eastAsia="en-GB" w:bidi="ar-SA"/>
              </w:rPr>
              <w:t>The parameters (</w:t>
            </w:r>
            <w:r>
              <w:rPr>
                <w:rFonts w:hint="default" w:ascii="Times New Roman" w:hAnsi="Times New Roman" w:eastAsia="宋体" w:cs="Times New Roman"/>
                <w:i/>
                <w:iCs/>
                <w:sz w:val="20"/>
                <w:szCs w:val="20"/>
                <w:lang w:val="en-US" w:eastAsia="en-GB" w:bidi="ar-SA"/>
              </w:rPr>
              <w:t>v</w:t>
            </w:r>
            <w:r>
              <w:rPr>
                <w:rFonts w:hint="default" w:ascii="Times New Roman" w:hAnsi="Times New Roman" w:eastAsia="宋体" w:cs="Times New Roman"/>
                <w:i/>
                <w:iCs/>
                <w:sz w:val="20"/>
                <w:szCs w:val="20"/>
                <w:vertAlign w:val="subscript"/>
                <w:lang w:val="en-US" w:eastAsia="en-GB" w:bidi="ar-SA"/>
              </w:rPr>
              <w:t>Layers</w:t>
            </w:r>
            <w:r>
              <w:rPr>
                <w:rFonts w:hint="default" w:ascii="Times New Roman" w:hAnsi="Times New Roman" w:eastAsia="宋体" w:cs="Times New Roman"/>
                <w:sz w:val="20"/>
                <w:szCs w:val="20"/>
                <w:lang w:val="en-US" w:eastAsia="en-GB" w:bidi="ar-SA"/>
              </w:rPr>
              <w:t xml:space="preserve">, </w:t>
            </w:r>
            <w:r>
              <w:rPr>
                <w:rFonts w:hint="default" w:ascii="Times New Roman" w:hAnsi="Times New Roman" w:eastAsia="宋体" w:cs="Times New Roman"/>
                <w:i/>
                <w:iCs/>
                <w:sz w:val="20"/>
                <w:szCs w:val="20"/>
                <w:lang w:val="en-US" w:eastAsia="en-GB" w:bidi="ar-SA"/>
              </w:rPr>
              <w:t>Q</w:t>
            </w:r>
            <w:r>
              <w:rPr>
                <w:rFonts w:hint="default" w:ascii="Times New Roman" w:hAnsi="Times New Roman" w:eastAsia="宋体" w:cs="Times New Roman"/>
                <w:i/>
                <w:iCs/>
                <w:sz w:val="20"/>
                <w:szCs w:val="20"/>
                <w:vertAlign w:val="subscript"/>
                <w:lang w:val="en-US" w:eastAsia="en-GB" w:bidi="ar-SA"/>
              </w:rPr>
              <w:t>m</w:t>
            </w:r>
            <w:r>
              <w:rPr>
                <w:rFonts w:hint="default" w:ascii="Times New Roman" w:hAnsi="Times New Roman" w:eastAsia="宋体" w:cs="Times New Roman"/>
                <w:sz w:val="20"/>
                <w:szCs w:val="20"/>
                <w:lang w:val="en-US" w:eastAsia="en-GB" w:bidi="ar-SA"/>
              </w:rPr>
              <w:t xml:space="preserve">, </w:t>
            </w:r>
            <w:r>
              <w:rPr>
                <w:rFonts w:hint="default" w:ascii="Times New Roman" w:hAnsi="Times New Roman" w:eastAsia="宋体" w:cs="Times New Roman"/>
                <w:i/>
                <w:iCs/>
                <w:sz w:val="20"/>
                <w:szCs w:val="20"/>
                <w:lang w:val="en-US" w:eastAsia="en-GB" w:bidi="ar-SA"/>
              </w:rPr>
              <w:t>f</w:t>
            </w:r>
            <w:r>
              <w:rPr>
                <w:rFonts w:hint="default" w:ascii="Times New Roman" w:hAnsi="Times New Roman" w:eastAsia="宋体" w:cs="Times New Roman"/>
                <w:sz w:val="20"/>
                <w:szCs w:val="20"/>
                <w:lang w:val="en-US" w:eastAsia="en-GB" w:bidi="ar-SA"/>
              </w:rPr>
              <w:t>) can be as in Rel-17 RedCap.</w:t>
            </w:r>
          </w:p>
          <w:p>
            <w:pPr>
              <w:keepNext w:val="0"/>
              <w:keepLines w:val="0"/>
              <w:widowControl/>
              <w:numPr>
                <w:ilvl w:val="1"/>
                <w:numId w:val="3"/>
              </w:numPr>
              <w:suppressLineNumbers w:val="0"/>
              <w:overflowPunct w:val="0"/>
              <w:autoSpaceDE w:val="0"/>
              <w:autoSpaceDN w:val="0"/>
              <w:adjustRightInd w:val="0"/>
              <w:spacing w:before="0" w:beforeAutospacing="0" w:after="180" w:afterAutospacing="0"/>
              <w:ind w:left="1440" w:right="0" w:hanging="360"/>
              <w:textAlignment w:val="baseline"/>
              <w:rPr>
                <w:rFonts w:hint="default" w:ascii="Times New Roman" w:hAnsi="Times New Roman" w:eastAsia="宋体" w:cs="Times New Roman"/>
                <w:sz w:val="20"/>
                <w:szCs w:val="20"/>
                <w:lang w:val="en-US" w:eastAsia="ja-JP" w:bidi="ar-SA"/>
              </w:rPr>
            </w:pPr>
            <w:r>
              <w:rPr>
                <w:rFonts w:hint="default" w:ascii="Times New Roman" w:hAnsi="Times New Roman" w:eastAsia="宋体" w:cs="Times New Roman"/>
                <w:sz w:val="20"/>
                <w:szCs w:val="20"/>
                <w:lang w:val="en-US" w:eastAsia="ja-JP" w:bidi="ar-SA"/>
              </w:rPr>
              <w:t>Both 15 kHz SCS and 30 kHz SCS are supported.</w:t>
            </w:r>
          </w:p>
          <w:p>
            <w:pPr>
              <w:keepNext w:val="0"/>
              <w:keepLines w:val="0"/>
              <w:widowControl/>
              <w:numPr>
                <w:ilvl w:val="1"/>
                <w:numId w:val="3"/>
              </w:numPr>
              <w:suppressLineNumbers w:val="0"/>
              <w:overflowPunct w:val="0"/>
              <w:autoSpaceDE w:val="0"/>
              <w:autoSpaceDN w:val="0"/>
              <w:adjustRightInd w:val="0"/>
              <w:spacing w:before="0" w:beforeAutospacing="0" w:after="180" w:afterAutospacing="0"/>
              <w:ind w:left="1440" w:right="0" w:hanging="360"/>
              <w:textAlignment w:val="baseline"/>
              <w:rPr>
                <w:rFonts w:hint="default" w:ascii="Times New Roman" w:hAnsi="Times New Roman" w:eastAsia="宋体" w:cs="Times New Roman"/>
                <w:sz w:val="20"/>
                <w:szCs w:val="20"/>
                <w:lang w:val="en-US" w:eastAsia="ja-JP" w:bidi="ar-SA"/>
              </w:rPr>
            </w:pPr>
            <w:r>
              <w:rPr>
                <w:rFonts w:hint="default" w:ascii="Times New Roman" w:hAnsi="Times New Roman" w:eastAsia="宋体" w:cs="Times New Roman"/>
                <w:sz w:val="20"/>
                <w:szCs w:val="20"/>
                <w:lang w:val="en-US" w:eastAsia="ja-JP" w:bidi="ar-SA"/>
              </w:rPr>
              <w:t>Aim to define at most one Rel-18 RedCap UE type for further UE complexity reduction.</w:t>
            </w:r>
          </w:p>
          <w:p>
            <w:pPr>
              <w:keepNext w:val="0"/>
              <w:keepLines w:val="0"/>
              <w:widowControl/>
              <w:numPr>
                <w:ilvl w:val="1"/>
                <w:numId w:val="3"/>
              </w:numPr>
              <w:suppressLineNumbers w:val="0"/>
              <w:snapToGrid/>
              <w:spacing w:before="0" w:beforeAutospacing="0" w:after="180" w:afterAutospacing="0" w:line="240" w:lineRule="auto"/>
              <w:ind w:right="-99"/>
              <w:jc w:val="left"/>
              <w:rPr>
                <w:rFonts w:hint="default" w:eastAsia="宋体"/>
                <w:sz w:val="20"/>
                <w:szCs w:val="20"/>
                <w:lang w:eastAsia="ja-JP"/>
              </w:rPr>
            </w:pPr>
            <w:r>
              <w:rPr>
                <w:rFonts w:hint="default" w:eastAsia="宋体"/>
                <w:sz w:val="20"/>
                <w:szCs w:val="20"/>
                <w:lang w:eastAsia="ja-JP"/>
              </w:rPr>
              <w:t>The existing UE capability framework is used, and changes to capability signalling are specified only if necessary. By default, all UE capabilities applicable to a Rel-17 RedCap UE are applicable unless otherwise specified.</w:t>
            </w:r>
          </w:p>
          <w:p>
            <w:pPr>
              <w:keepNext w:val="0"/>
              <w:keepLines w:val="0"/>
              <w:widowControl/>
              <w:suppressLineNumbers w:val="0"/>
              <w:overflowPunct w:val="0"/>
              <w:autoSpaceDE w:val="0"/>
              <w:autoSpaceDN w:val="0"/>
              <w:adjustRightInd w:val="0"/>
              <w:spacing w:before="0" w:beforeAutospacing="0" w:after="180" w:afterAutospacing="0"/>
              <w:ind w:left="0" w:right="0" w:firstLine="0"/>
              <w:textAlignment w:val="baseline"/>
              <w:rPr>
                <w:rFonts w:hint="default" w:ascii="Times New Roman" w:hAnsi="Times New Roman" w:eastAsia="宋体" w:cs="Times New Roman"/>
                <w:sz w:val="20"/>
                <w:szCs w:val="20"/>
                <w:lang w:val="en-US" w:eastAsia="ja-JP" w:bidi="ar-SA"/>
              </w:rPr>
            </w:pPr>
            <w:r>
              <w:rPr>
                <w:rFonts w:hint="default" w:ascii="Times New Roman" w:hAnsi="Times New Roman" w:eastAsia="宋体" w:cs="Times New Roman"/>
                <w:sz w:val="20"/>
                <w:szCs w:val="20"/>
                <w:lang w:val="en-US" w:eastAsia="ja-JP" w:bidi="ar-SA"/>
              </w:rPr>
              <w:t>Notes:</w:t>
            </w:r>
          </w:p>
          <w:p>
            <w:pPr>
              <w:keepNext w:val="0"/>
              <w:keepLines w:val="0"/>
              <w:widowControl/>
              <w:numPr>
                <w:ilvl w:val="0"/>
                <w:numId w:val="5"/>
              </w:numPr>
              <w:suppressLineNumbers w:val="0"/>
              <w:overflowPunct w:val="0"/>
              <w:autoSpaceDE w:val="0"/>
              <w:autoSpaceDN w:val="0"/>
              <w:adjustRightInd w:val="0"/>
              <w:spacing w:before="0" w:beforeAutospacing="0" w:after="180" w:afterAutospacing="0"/>
              <w:ind w:left="720" w:right="0" w:hanging="360"/>
              <w:textAlignment w:val="baseline"/>
              <w:rPr>
                <w:rFonts w:hint="default" w:ascii="Times New Roman" w:hAnsi="Times New Roman" w:eastAsia="宋体" w:cs="Times New Roman"/>
                <w:sz w:val="20"/>
                <w:szCs w:val="20"/>
                <w:lang w:val="en-US" w:eastAsia="ja-JP" w:bidi="ar-SA"/>
              </w:rPr>
            </w:pPr>
            <w:r>
              <w:rPr>
                <w:rFonts w:hint="default" w:ascii="Times New Roman" w:hAnsi="Times New Roman" w:eastAsia="宋体" w:cs="Times New Roman"/>
                <w:sz w:val="20"/>
                <w:szCs w:val="20"/>
                <w:lang w:val="en-US" w:eastAsia="ja-JP" w:bidi="ar-SA"/>
              </w:rPr>
              <w:t>The work defined as part of this WI is not to overlap with LPWA use cases.</w:t>
            </w:r>
          </w:p>
          <w:p>
            <w:pPr>
              <w:keepNext w:val="0"/>
              <w:keepLines w:val="0"/>
              <w:widowControl/>
              <w:numPr>
                <w:ilvl w:val="0"/>
                <w:numId w:val="5"/>
              </w:numPr>
              <w:suppressLineNumbers w:val="0"/>
              <w:overflowPunct w:val="0"/>
              <w:autoSpaceDE w:val="0"/>
              <w:autoSpaceDN w:val="0"/>
              <w:adjustRightInd w:val="0"/>
              <w:spacing w:before="0" w:beforeAutospacing="0" w:after="180" w:afterAutospacing="0"/>
              <w:ind w:left="720" w:right="0" w:hanging="360"/>
              <w:textAlignment w:val="baseline"/>
              <w:rPr>
                <w:rFonts w:hint="default" w:ascii="Times New Roman" w:hAnsi="Times New Roman" w:eastAsia="宋体" w:cs="Times New Roman"/>
                <w:sz w:val="20"/>
                <w:szCs w:val="20"/>
                <w:lang w:val="en-US" w:eastAsia="ja-JP" w:bidi="ar-SA"/>
              </w:rPr>
            </w:pPr>
            <w:r>
              <w:rPr>
                <w:rFonts w:hint="default" w:ascii="Times New Roman" w:hAnsi="Times New Roman" w:eastAsia="宋体" w:cs="Times New Roman"/>
                <w:sz w:val="20"/>
                <w:szCs w:val="20"/>
                <w:lang w:val="en-US" w:eastAsia="ja-JP" w:bidi="ar-SA"/>
              </w:rPr>
              <w:t xml:space="preserve">Coexistence with non-RedCap UEs and Rel-17 RedCap UEs </w:t>
            </w:r>
            <w:r>
              <w:rPr>
                <w:rFonts w:hint="default" w:ascii="Times New Roman" w:hAnsi="Times New Roman" w:eastAsia="宋体" w:cs="Times New Roman"/>
                <w:sz w:val="20"/>
                <w:szCs w:val="20"/>
                <w:lang w:val="en-GB" w:eastAsia="ja-JP" w:bidi="ar-SA"/>
              </w:rPr>
              <w:t xml:space="preserve">should </w:t>
            </w:r>
            <w:r>
              <w:rPr>
                <w:rFonts w:hint="default" w:ascii="Times New Roman" w:hAnsi="Times New Roman" w:eastAsia="宋体" w:cs="Times New Roman"/>
                <w:sz w:val="20"/>
                <w:szCs w:val="20"/>
                <w:lang w:val="en-US" w:eastAsia="ja-JP" w:bidi="ar-SA"/>
              </w:rPr>
              <w:t>be ensured.</w:t>
            </w:r>
          </w:p>
          <w:p>
            <w:pPr>
              <w:keepNext w:val="0"/>
              <w:keepLines w:val="0"/>
              <w:widowControl/>
              <w:numPr>
                <w:ilvl w:val="0"/>
                <w:numId w:val="5"/>
              </w:numPr>
              <w:suppressLineNumbers w:val="0"/>
              <w:overflowPunct w:val="0"/>
              <w:autoSpaceDE w:val="0"/>
              <w:autoSpaceDN w:val="0"/>
              <w:adjustRightInd w:val="0"/>
              <w:spacing w:before="0" w:beforeAutospacing="0" w:after="180" w:afterAutospacing="0"/>
              <w:ind w:left="720" w:right="0" w:hanging="360"/>
              <w:textAlignment w:val="baseline"/>
              <w:rPr>
                <w:rFonts w:hint="default" w:ascii="Times New Roman" w:hAnsi="Times New Roman" w:eastAsia="宋体" w:cs="Times New Roman"/>
                <w:sz w:val="20"/>
                <w:szCs w:val="20"/>
                <w:lang w:val="en-US" w:eastAsia="ja-JP" w:bidi="ar-SA"/>
              </w:rPr>
            </w:pPr>
            <w:r>
              <w:rPr>
                <w:rFonts w:hint="default" w:ascii="Times New Roman" w:hAnsi="Times New Roman" w:eastAsia="宋体" w:cs="Times New Roman"/>
                <w:sz w:val="20"/>
                <w:szCs w:val="20"/>
                <w:lang w:val="en-US" w:eastAsia="ja-JP" w:bidi="ar-SA"/>
              </w:rPr>
              <w:t>This WI considers all applicable duplex modes unless otherwise specified.</w:t>
            </w:r>
          </w:p>
          <w:p>
            <w:pPr>
              <w:keepNext w:val="0"/>
              <w:keepLines w:val="0"/>
              <w:widowControl/>
              <w:suppressLineNumbers w:val="0"/>
              <w:overflowPunct w:val="0"/>
              <w:autoSpaceDE w:val="0"/>
              <w:autoSpaceDN w:val="0"/>
              <w:adjustRightInd w:val="0"/>
              <w:spacing w:before="0" w:beforeAutospacing="0" w:after="180" w:afterAutospacing="0"/>
              <w:ind w:left="0" w:right="0" w:firstLine="0"/>
              <w:textAlignment w:val="baseline"/>
              <w:rPr>
                <w:rFonts w:hint="default" w:ascii="Times New Roman" w:hAnsi="Times New Roman" w:eastAsia="宋体" w:cs="Times New Roman"/>
                <w:sz w:val="20"/>
                <w:szCs w:val="20"/>
                <w:lang w:val="en-US" w:eastAsia="ja-JP" w:bidi="ar-SA"/>
              </w:rPr>
            </w:pPr>
            <w:r>
              <w:rPr>
                <w:rFonts w:hint="default" w:ascii="Times New Roman" w:hAnsi="Times New Roman" w:eastAsia="宋体" w:cs="Times New Roman"/>
                <w:sz w:val="20"/>
                <w:szCs w:val="20"/>
                <w:lang w:val="en-US" w:eastAsia="ja-JP" w:bidi="ar-SA"/>
              </w:rPr>
              <w:t>Check in RAN#98-e regarding:</w:t>
            </w:r>
          </w:p>
          <w:p>
            <w:pPr>
              <w:keepNext w:val="0"/>
              <w:keepLines w:val="0"/>
              <w:widowControl/>
              <w:numPr>
                <w:ilvl w:val="0"/>
                <w:numId w:val="4"/>
              </w:numPr>
              <w:suppressLineNumbers w:val="0"/>
              <w:overflowPunct w:val="0"/>
              <w:autoSpaceDE w:val="0"/>
              <w:autoSpaceDN w:val="0"/>
              <w:adjustRightInd w:val="0"/>
              <w:spacing w:before="0" w:beforeAutospacing="0" w:after="180" w:afterAutospacing="0"/>
              <w:ind w:left="720" w:right="0" w:hanging="360"/>
              <w:textAlignment w:val="baseline"/>
              <w:rPr>
                <w:rFonts w:hint="default" w:ascii="Times New Roman" w:hAnsi="Times New Roman" w:eastAsia="宋体" w:cs="Times New Roman"/>
                <w:sz w:val="20"/>
                <w:szCs w:val="20"/>
                <w:lang w:val="en-US" w:eastAsia="ja-JP" w:bidi="ar-SA"/>
              </w:rPr>
            </w:pPr>
            <w:r>
              <w:rPr>
                <w:rFonts w:hint="default" w:ascii="Times New Roman" w:hAnsi="Times New Roman" w:eastAsia="宋体" w:cs="Times New Roman"/>
                <w:sz w:val="20"/>
                <w:szCs w:val="20"/>
                <w:lang w:val="en-US" w:eastAsia="ja-JP" w:bidi="ar-SA"/>
              </w:rPr>
              <w:t>Whether UE peak data rate reduction for UE is limited only with UE BB bandwidth reduction or standalone</w:t>
            </w:r>
          </w:p>
          <w:p>
            <w:pPr>
              <w:keepNext w:val="0"/>
              <w:keepLines w:val="0"/>
              <w:widowControl/>
              <w:numPr>
                <w:ilvl w:val="0"/>
                <w:numId w:val="4"/>
              </w:numPr>
              <w:suppressLineNumbers w:val="0"/>
              <w:overflowPunct w:val="0"/>
              <w:autoSpaceDE w:val="0"/>
              <w:autoSpaceDN w:val="0"/>
              <w:adjustRightInd w:val="0"/>
              <w:spacing w:before="0" w:beforeAutospacing="0" w:after="180" w:afterAutospacing="0"/>
              <w:ind w:left="720" w:right="0" w:hanging="360"/>
              <w:textAlignment w:val="baseline"/>
              <w:rPr>
                <w:rFonts w:hint="default" w:ascii="Times New Roman" w:hAnsi="Times New Roman" w:eastAsia="宋体" w:cs="Times New Roman"/>
                <w:sz w:val="20"/>
                <w:szCs w:val="20"/>
                <w:lang w:val="en-US" w:eastAsia="ja-JP" w:bidi="ar-SA"/>
              </w:rPr>
            </w:pPr>
            <w:r>
              <w:rPr>
                <w:rFonts w:hint="default" w:ascii="Times New Roman" w:hAnsi="Times New Roman" w:eastAsia="宋体" w:cs="Times New Roman"/>
                <w:sz w:val="20"/>
                <w:szCs w:val="20"/>
                <w:lang w:val="en-US" w:eastAsia="ja-JP" w:bidi="ar-SA"/>
              </w:rPr>
              <w:t>Whether or not/how a separate early indication can be supported</w:t>
            </w:r>
          </w:p>
          <w:p>
            <w:pPr>
              <w:keepNext w:val="0"/>
              <w:keepLines w:val="0"/>
              <w:widowControl/>
              <w:numPr>
                <w:ilvl w:val="0"/>
                <w:numId w:val="4"/>
              </w:numPr>
              <w:suppressLineNumbers w:val="0"/>
              <w:overflowPunct w:val="0"/>
              <w:autoSpaceDE w:val="0"/>
              <w:autoSpaceDN w:val="0"/>
              <w:adjustRightInd w:val="0"/>
              <w:spacing w:before="0" w:beforeAutospacing="0" w:after="180" w:afterAutospacing="0"/>
              <w:ind w:left="720" w:right="0" w:hanging="360"/>
              <w:textAlignment w:val="baseline"/>
              <w:rPr>
                <w:rFonts w:hint="default"/>
                <w:sz w:val="20"/>
                <w:szCs w:val="20"/>
                <w:lang w:val="en-US" w:eastAsia="zh-CN"/>
              </w:rPr>
            </w:pPr>
            <w:r>
              <w:rPr>
                <w:rFonts w:hint="default" w:ascii="Times New Roman" w:hAnsi="Times New Roman" w:eastAsia="宋体" w:cs="Times New Roman"/>
                <w:sz w:val="20"/>
                <w:szCs w:val="20"/>
                <w:lang w:val="en-US" w:eastAsia="ja-JP" w:bidi="ar-SA"/>
              </w:rPr>
              <w:t>Other restrictions of the WI (e.g., connectivity restrictions, band, etc.)</w:t>
            </w:r>
          </w:p>
        </w:tc>
      </w:tr>
    </w:tbl>
    <w:p>
      <w:pPr>
        <w:rPr>
          <w:lang w:val="en-US" w:eastAsia="zh-CN"/>
        </w:rPr>
      </w:pPr>
    </w:p>
    <w:p>
      <w:pPr>
        <w:rPr>
          <w:lang w:val="en-US" w:eastAsia="zh-CN"/>
        </w:rPr>
      </w:pPr>
      <w:r>
        <w:rPr>
          <w:lang w:val="en-US" w:eastAsia="zh-CN"/>
        </w:rPr>
        <w:t>Based on</w:t>
      </w:r>
      <w:r>
        <w:rPr>
          <w:rFonts w:hint="eastAsia"/>
          <w:lang w:val="en-US" w:eastAsia="zh-CN"/>
        </w:rPr>
        <w:t xml:space="preserve"> the RAN conclusion, RAN need</w:t>
      </w:r>
      <w:r>
        <w:rPr>
          <w:lang w:val="en-US" w:eastAsia="zh-CN"/>
        </w:rPr>
        <w:t>s</w:t>
      </w:r>
      <w:r>
        <w:rPr>
          <w:rFonts w:hint="eastAsia"/>
          <w:lang w:val="en-US" w:eastAsia="zh-CN"/>
        </w:rPr>
        <w:t xml:space="preserve"> to determine PR1 is add-on or standalone, and determine whether/how a separate early indication can be supported. Besides these two issues, whether peak date rate lower than 10Mbps can be achieved is also controversial in RAN1. Therefore, in this contribution, these issues are discussed.</w:t>
      </w:r>
    </w:p>
    <w:p>
      <w:pPr>
        <w:pStyle w:val="2"/>
        <w:spacing w:before="180"/>
        <w:rPr>
          <w:lang w:val="en-US"/>
        </w:rPr>
      </w:pPr>
      <w:r>
        <w:rPr>
          <w:rFonts w:hint="eastAsia"/>
          <w:lang w:val="en-US"/>
        </w:rPr>
        <w:t>Discussion</w:t>
      </w:r>
    </w:p>
    <w:p>
      <w:pPr>
        <w:pStyle w:val="3"/>
        <w:numPr>
          <w:ilvl w:val="1"/>
          <w:numId w:val="1"/>
        </w:numPr>
        <w:bidi w:val="0"/>
        <w:ind w:left="0" w:leftChars="0" w:firstLine="0" w:firstLineChars="0"/>
        <w:rPr>
          <w:rFonts w:hint="eastAsia"/>
          <w:lang w:val="en-US" w:eastAsia="zh-CN"/>
        </w:rPr>
      </w:pPr>
      <w:r>
        <w:rPr>
          <w:rFonts w:hint="eastAsia"/>
          <w:lang w:val="en-US" w:eastAsia="zh-CN"/>
        </w:rPr>
        <w:t>The peak data rate</w:t>
      </w:r>
    </w:p>
    <w:p>
      <w:pPr>
        <w:rPr>
          <w:rFonts w:hint="default" w:eastAsia="宋体"/>
          <w:lang w:val="en-US" w:eastAsia="zh-CN"/>
        </w:rPr>
      </w:pPr>
      <w:r>
        <w:rPr>
          <w:rFonts w:hint="eastAsia"/>
          <w:lang w:val="en-US" w:eastAsia="zh-CN"/>
        </w:rPr>
        <w:t xml:space="preserve">In the justification part, the peak data rate </w:t>
      </w:r>
      <w:r>
        <w:rPr>
          <w:rFonts w:eastAsia="Times New Roman"/>
        </w:rPr>
        <w:t>for Rel-18 RedCap targets to 10Mbps</w:t>
      </w:r>
      <w:r>
        <w:rPr>
          <w:rFonts w:hint="eastAsia" w:eastAsia="宋体"/>
          <w:lang w:val="en-US" w:eastAsia="zh-CN"/>
        </w:rPr>
        <w:t xml:space="preserve">. </w:t>
      </w:r>
      <w:r>
        <w:rPr>
          <w:rFonts w:hint="eastAsia"/>
          <w:lang w:val="en-US" w:eastAsia="zh-CN"/>
        </w:rPr>
        <w:t>However, it is controversial in RAN1 to further reduce the peak data rate for PR1.</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keepNext w:val="0"/>
              <w:keepLines w:val="0"/>
              <w:widowControl/>
              <w:suppressLineNumbers w:val="0"/>
              <w:spacing w:before="0" w:beforeAutospacing="0" w:afterAutospacing="0"/>
              <w:ind w:left="0" w:right="0"/>
              <w:jc w:val="both"/>
              <w:rPr>
                <w:rFonts w:hint="eastAsia"/>
                <w:sz w:val="20"/>
                <w:szCs w:val="20"/>
                <w:vertAlign w:val="baseline"/>
                <w:lang w:val="en-US" w:eastAsia="zh-CN"/>
              </w:rPr>
            </w:pPr>
            <w:r>
              <w:rPr>
                <w:rFonts w:hint="default" w:eastAsia="Times New Roman"/>
                <w:sz w:val="20"/>
                <w:szCs w:val="20"/>
              </w:rP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tc>
      </w:tr>
    </w:tbl>
    <w:p>
      <w:pPr>
        <w:rPr>
          <w:rFonts w:hint="eastAsia" w:eastAsia="宋体"/>
          <w:lang w:val="en-US" w:eastAsia="zh-CN"/>
        </w:rPr>
      </w:pPr>
      <w:r>
        <w:rPr>
          <w:rFonts w:hint="eastAsia"/>
          <w:lang w:val="en-US" w:eastAsia="zh-CN"/>
        </w:rPr>
        <w:t xml:space="preserve">For the existing </w:t>
      </w:r>
      <w:r>
        <w:rPr>
          <w:rFonts w:eastAsia="Times New Roman"/>
        </w:rPr>
        <w:t>LPWA UEs</w:t>
      </w:r>
      <w:r>
        <w:rPr>
          <w:rFonts w:hint="eastAsia" w:eastAsia="宋体"/>
          <w:highlight w:val="none"/>
          <w:lang w:val="en-US" w:eastAsia="zh-CN"/>
        </w:rPr>
        <w:t xml:space="preserve">, the maximum peak date rate is only 4Mbps based on maximum TBS 4008bits. </w:t>
      </w:r>
      <w:r>
        <w:rPr>
          <w:rFonts w:hint="eastAsia" w:eastAsia="宋体"/>
          <w:lang w:val="en-US" w:eastAsia="zh-CN"/>
        </w:rPr>
        <w:t>Based on BW3 which has been already supported, the peak date rate is around 12Mbps. Even though 10Mbps can be achieved, there still a market gap between 4Mbps and 10Mbps.</w:t>
      </w:r>
    </w:p>
    <w:p>
      <w:pPr>
        <w:rPr>
          <w:rFonts w:hint="default" w:eastAsia="宋体"/>
          <w:b/>
          <w:bCs/>
          <w:lang w:val="en-US" w:eastAsia="zh-CN"/>
        </w:rPr>
      </w:pPr>
      <w:r>
        <w:rPr>
          <w:rFonts w:hint="eastAsia" w:eastAsia="宋体"/>
          <w:b/>
          <w:bCs/>
          <w:lang w:val="en-US" w:eastAsia="zh-CN"/>
        </w:rPr>
        <w:t>Observation 1: Market gap between LPWA and Rel-18 RedCap still exists.</w:t>
      </w:r>
    </w:p>
    <w:p>
      <w:pPr>
        <w:rPr>
          <w:rFonts w:hint="default" w:eastAsia="宋体"/>
          <w:lang w:val="en-US" w:eastAsia="zh-CN"/>
        </w:rPr>
      </w:pPr>
      <w:r>
        <w:rPr>
          <w:rFonts w:hint="eastAsia" w:eastAsia="宋体"/>
          <w:lang w:val="en-US" w:eastAsia="zh-CN"/>
        </w:rPr>
        <w:t>Additionally, the Rel-18 RedCap UE mainly targets for the industrial sensors. It is noted that peak data rate 10Mbps is used for complexity reduction, not for modifying the requirement of use case.</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keepNext w:val="0"/>
              <w:keepLines w:val="0"/>
              <w:widowControl/>
              <w:suppressLineNumbers w:val="0"/>
              <w:spacing w:before="0" w:beforeAutospacing="0" w:afterAutospacing="0"/>
              <w:ind w:left="0" w:right="0"/>
              <w:jc w:val="both"/>
              <w:rPr>
                <w:rFonts w:hint="default" w:eastAsia="宋体"/>
                <w:sz w:val="20"/>
                <w:szCs w:val="20"/>
                <w:vertAlign w:val="baseline"/>
                <w:lang w:val="en-US" w:eastAsia="zh-CN"/>
              </w:rPr>
            </w:pPr>
            <w:r>
              <w:rPr>
                <w:rFonts w:hint="default" w:eastAsia="Times New Roman"/>
                <w:sz w:val="20"/>
                <w:szCs w:val="20"/>
              </w:rPr>
              <w:t xml:space="preserve">To further expand the market for RedCap use cases with relatively low cost, low energy consumption, and low data rate requirements, </w:t>
            </w:r>
            <w:r>
              <w:rPr>
                <w:rFonts w:hint="default"/>
                <w:sz w:val="20"/>
                <w:szCs w:val="20"/>
                <w:lang w:eastAsia="ja-JP"/>
              </w:rPr>
              <w:t>e.g., industrial wireless sensor network use cases</w:t>
            </w:r>
            <w:r>
              <w:rPr>
                <w:rFonts w:hint="default" w:eastAsia="Times New Roman"/>
                <w:sz w:val="20"/>
                <w:szCs w:val="20"/>
              </w:rPr>
              <w:t xml:space="preserve">, some further complexity reduction enhancements should be considered. </w:t>
            </w:r>
          </w:p>
        </w:tc>
      </w:tr>
    </w:tbl>
    <w:p>
      <w:pPr>
        <w:rPr>
          <w:rFonts w:hint="eastAsia" w:eastAsia="宋体"/>
          <w:lang w:val="en-US" w:eastAsia="zh-CN"/>
        </w:rPr>
      </w:pPr>
    </w:p>
    <w:p>
      <w:pPr>
        <w:rPr>
          <w:rFonts w:hint="default" w:eastAsia="宋体"/>
          <w:lang w:val="en-US" w:eastAsia="zh-CN"/>
        </w:rPr>
      </w:pPr>
      <w:r>
        <w:rPr>
          <w:rFonts w:hint="eastAsia" w:eastAsia="宋体"/>
          <w:lang w:val="en-US" w:eastAsia="zh-CN"/>
        </w:rPr>
        <w:t>However, according to the industrial sensor</w:t>
      </w:r>
      <w:r>
        <w:rPr>
          <w:rFonts w:hint="eastAsia" w:eastAsia="宋体"/>
          <w:highlight w:val="none"/>
          <w:lang w:val="en-US" w:eastAsia="zh-CN"/>
        </w:rPr>
        <w:t xml:space="preserve"> and </w:t>
      </w:r>
      <w:r>
        <w:rPr>
          <w:highlight w:val="none"/>
        </w:rPr>
        <w:t>economic video</w:t>
      </w:r>
      <w:r>
        <w:rPr>
          <w:rFonts w:hint="eastAsia" w:eastAsia="宋体"/>
          <w:highlight w:val="none"/>
          <w:lang w:val="en-US" w:eastAsia="zh-CN"/>
        </w:rPr>
        <w:t xml:space="preserve"> requirements in the </w:t>
      </w:r>
      <w:r>
        <w:rPr>
          <w:rFonts w:hint="eastAsia" w:eastAsia="宋体"/>
          <w:sz w:val="20"/>
          <w:szCs w:val="20"/>
          <w:highlight w:val="none"/>
          <w:lang w:val="en-US" w:eastAsia="zh-CN"/>
        </w:rPr>
        <w:t>Rel-17 RedCap WID [2]</w:t>
      </w:r>
      <w:r>
        <w:rPr>
          <w:rFonts w:hint="eastAsia" w:eastAsia="宋体"/>
          <w:highlight w:val="none"/>
          <w:lang w:val="en-US" w:eastAsia="zh-CN"/>
        </w:rPr>
        <w:t>, the peak date rate should be less than 4Mbps.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keepNext w:val="0"/>
              <w:keepLines w:val="0"/>
              <w:widowControl/>
              <w:suppressLineNumbers w:val="0"/>
              <w:spacing w:before="0" w:beforeAutospacing="0" w:afterAutospacing="0"/>
              <w:ind w:left="0" w:right="-99"/>
              <w:jc w:val="both"/>
              <w:rPr>
                <w:rFonts w:hint="default" w:eastAsia="宋体"/>
                <w:sz w:val="20"/>
                <w:szCs w:val="20"/>
                <w:lang w:eastAsia="ja-JP"/>
              </w:rPr>
            </w:pPr>
            <w:r>
              <w:rPr>
                <w:rFonts w:hint="default" w:eastAsia="宋体"/>
                <w:sz w:val="20"/>
                <w:szCs w:val="20"/>
                <w:lang w:eastAsia="ja-JP"/>
              </w:rPr>
              <w:t xml:space="preserve">Use case specific requirements: </w:t>
            </w:r>
          </w:p>
          <w:p>
            <w:pPr>
              <w:pStyle w:val="63"/>
              <w:keepNext w:val="0"/>
              <w:keepLines w:val="0"/>
              <w:widowControl/>
              <w:numPr>
                <w:ilvl w:val="0"/>
                <w:numId w:val="6"/>
              </w:numPr>
              <w:suppressLineNumbers w:val="0"/>
              <w:spacing w:before="0" w:beforeAutospacing="0" w:afterAutospacing="0"/>
              <w:ind w:right="0"/>
              <w:jc w:val="both"/>
              <w:rPr>
                <w:rFonts w:hint="default"/>
                <w:sz w:val="20"/>
                <w:szCs w:val="20"/>
              </w:rPr>
            </w:pPr>
            <w:r>
              <w:rPr>
                <w:rFonts w:hint="default"/>
                <w:sz w:val="20"/>
                <w:szCs w:val="20"/>
              </w:rPr>
              <w:t xml:space="preserve">Industrial wireless sensors: Reference use cases and requirements are described in TR 22.832 and TS 22.104: Communication service availability is 99.99% and end-to-end latency less than 100 ms. The reference bit rate is </w:t>
            </w:r>
            <w:r>
              <w:rPr>
                <w:rFonts w:hint="default"/>
                <w:sz w:val="20"/>
                <w:szCs w:val="20"/>
                <w:highlight w:val="yellow"/>
              </w:rPr>
              <w:t>less than 2 Mbps</w:t>
            </w:r>
            <w:r>
              <w:rPr>
                <w:rFonts w:hint="default"/>
                <w:sz w:val="20"/>
                <w:szCs w:val="20"/>
              </w:rPr>
              <w:t xml:space="preserve"> (potentially asymmetric e.g. UL heavy traffic) for all use cases and the device is stationary. The battery should last at least few years. For safety related sensors, latency requirement is lower, 5-10 ms (TR 22.804)</w:t>
            </w:r>
          </w:p>
          <w:p>
            <w:pPr>
              <w:pStyle w:val="63"/>
              <w:keepNext w:val="0"/>
              <w:keepLines w:val="0"/>
              <w:widowControl/>
              <w:numPr>
                <w:ilvl w:val="0"/>
                <w:numId w:val="6"/>
              </w:numPr>
              <w:suppressLineNumbers w:val="0"/>
              <w:spacing w:before="0" w:beforeAutospacing="0" w:afterAutospacing="0"/>
              <w:ind w:right="0"/>
              <w:jc w:val="both"/>
              <w:rPr>
                <w:rFonts w:hint="default" w:eastAsia="宋体"/>
                <w:sz w:val="20"/>
                <w:szCs w:val="20"/>
                <w:vertAlign w:val="baseline"/>
                <w:lang w:val="en-US" w:eastAsia="zh-CN"/>
              </w:rPr>
            </w:pPr>
            <w:r>
              <w:rPr>
                <w:rFonts w:hint="default"/>
                <w:sz w:val="20"/>
                <w:szCs w:val="20"/>
              </w:rPr>
              <w:t xml:space="preserve">Video surveillance: As described in TR 22.804, reference economic video bitrate would be </w:t>
            </w:r>
            <w:r>
              <w:rPr>
                <w:rFonts w:hint="default"/>
                <w:sz w:val="20"/>
                <w:szCs w:val="20"/>
                <w:highlight w:val="yellow"/>
              </w:rPr>
              <w:t>2-4 Mbps</w:t>
            </w:r>
            <w:r>
              <w:rPr>
                <w:rFonts w:hint="default"/>
                <w:sz w:val="20"/>
                <w:szCs w:val="20"/>
              </w:rPr>
              <w:t>, latency &lt; 500 ms, reliability 99%-99.9%. High-end video e.g. for farming would require 7.5-25 Mbps. It is noted that traffic pattern is dominated by UL transmissions.</w:t>
            </w:r>
          </w:p>
        </w:tc>
      </w:tr>
    </w:tbl>
    <w:p>
      <w:pPr>
        <w:rPr>
          <w:rFonts w:hint="eastAsia" w:eastAsia="宋体"/>
          <w:lang w:val="en-US" w:eastAsia="zh-CN"/>
        </w:rPr>
      </w:pPr>
      <w:r>
        <w:rPr>
          <w:rFonts w:hint="eastAsia" w:eastAsia="宋体"/>
          <w:lang w:val="en-US" w:eastAsia="zh-CN"/>
        </w:rPr>
        <w:t>Obviously, 10Mbps peak date rate is totally not aligned with the target Rel-18 RedCap use cases.</w:t>
      </w:r>
    </w:p>
    <w:p>
      <w:pPr>
        <w:rPr>
          <w:rFonts w:hint="default" w:eastAsia="宋体"/>
          <w:b/>
          <w:bCs/>
          <w:lang w:val="en-US" w:eastAsia="zh-CN"/>
        </w:rPr>
      </w:pPr>
      <w:r>
        <w:rPr>
          <w:rFonts w:hint="eastAsia" w:eastAsia="宋体"/>
          <w:b/>
          <w:bCs/>
          <w:lang w:val="en-US" w:eastAsia="zh-CN"/>
        </w:rPr>
        <w:t xml:space="preserve">Observation 2: The peak data rate of 10Mbps is much larger than the Rel-18 RedCap UE requirement especially for the target Rel-18 uses cases, i.e., industrial sensors.  </w:t>
      </w:r>
    </w:p>
    <w:p>
      <w:pPr>
        <w:rPr>
          <w:rFonts w:hint="default" w:eastAsia="宋体"/>
          <w:lang w:val="en-US" w:eastAsia="zh-CN"/>
        </w:rPr>
      </w:pPr>
      <w:r>
        <w:rPr>
          <w:rFonts w:hint="eastAsia"/>
          <w:strike w:val="0"/>
          <w:dstrike w:val="0"/>
          <w:lang w:val="en-US" w:eastAsia="zh-CN"/>
        </w:rPr>
        <w:t>Moreover</w:t>
      </w:r>
      <w:r>
        <w:rPr>
          <w:rFonts w:hint="eastAsia"/>
          <w:lang w:val="en-US" w:eastAsia="zh-CN"/>
        </w:rPr>
        <w:t xml:space="preserve">, based on PR3, the additional complexity reduction for PR1 is quite limited. </w:t>
      </w:r>
      <w:r>
        <w:rPr>
          <w:rFonts w:hint="eastAsia" w:eastAsia="宋体"/>
          <w:lang w:val="en-US" w:eastAsia="zh-CN"/>
        </w:rPr>
        <w:t>Whether PR1 is add-on or standalone, we do not see much benefits to introduce PR1 with the peak data rate 10Mbps, which is similar as BW3/PR3 based on 12Mbps peak data rate. To completely receive SIB1 with maximum TBS, the peak data rate should be at least 6Mbps for 30KHz case. Therefore, some evaluation results for peak data rate 10Mbps and 6Mbps are provided in the following table.</w:t>
      </w:r>
    </w:p>
    <w:p>
      <w:pPr>
        <w:bidi w:val="0"/>
        <w:rPr>
          <w:rFonts w:hint="default"/>
          <w:lang w:val="en-US" w:eastAsia="zh-CN"/>
        </w:rPr>
      </w:pPr>
    </w:p>
    <w:p>
      <w:pPr>
        <w:pStyle w:val="13"/>
        <w:keepNext/>
        <w:jc w:val="center"/>
        <w:rPr>
          <w:rFonts w:hint="default" w:ascii="Arial" w:hAnsi="Arial" w:eastAsia="宋体" w:cs="Arial"/>
          <w:lang w:val="en-US" w:eastAsia="zh-CN"/>
        </w:rPr>
      </w:pPr>
      <w:r>
        <w:rPr>
          <w:rFonts w:ascii="Arial" w:hAnsi="Arial" w:cs="Arial"/>
        </w:rPr>
        <w:t xml:space="preserve">Table </w:t>
      </w:r>
      <w:r>
        <w:rPr>
          <w:rFonts w:hint="eastAsia" w:ascii="Arial" w:hAnsi="Arial" w:eastAsia="宋体" w:cs="Arial"/>
          <w:lang w:val="en-US" w:eastAsia="zh-CN"/>
        </w:rPr>
        <w:t>1.</w:t>
      </w:r>
      <w:r>
        <w:rPr>
          <w:rFonts w:ascii="Arial" w:hAnsi="Arial" w:cs="Arial"/>
        </w:rPr>
        <w:t xml:space="preserve"> </w:t>
      </w:r>
      <w:r>
        <w:rPr>
          <w:rFonts w:hint="eastAsia" w:ascii="Arial" w:hAnsi="Arial" w:eastAsia="宋体" w:cs="Arial"/>
          <w:lang w:val="en-US" w:eastAsia="zh-CN"/>
        </w:rPr>
        <w:t>Complexity reduction for PR1</w:t>
      </w:r>
    </w:p>
    <w:tbl>
      <w:tblPr>
        <w:tblStyle w:val="29"/>
        <w:tblW w:w="6673" w:type="dxa"/>
        <w:jc w:val="center"/>
        <w:tblLayout w:type="autofit"/>
        <w:tblCellMar>
          <w:top w:w="0" w:type="dxa"/>
          <w:left w:w="0" w:type="dxa"/>
          <w:bottom w:w="0" w:type="dxa"/>
          <w:right w:w="0" w:type="dxa"/>
        </w:tblCellMar>
      </w:tblPr>
      <w:tblGrid>
        <w:gridCol w:w="1100"/>
        <w:gridCol w:w="1424"/>
        <w:gridCol w:w="1560"/>
        <w:gridCol w:w="2589"/>
      </w:tblGrid>
      <w:tr>
        <w:tblPrEx>
          <w:tblCellMar>
            <w:top w:w="0" w:type="dxa"/>
            <w:left w:w="0" w:type="dxa"/>
            <w:bottom w:w="0" w:type="dxa"/>
            <w:right w:w="0" w:type="dxa"/>
          </w:tblCellMar>
        </w:tblPrEx>
        <w:trPr>
          <w:trHeight w:val="843" w:hRule="atLeast"/>
          <w:jc w:val="center"/>
        </w:trPr>
        <w:tc>
          <w:tcPr>
            <w:tcW w:w="1100" w:type="dxa"/>
            <w:tcBorders>
              <w:top w:val="single" w:color="000000" w:sz="8" w:space="0"/>
              <w:left w:val="single" w:color="000000" w:sz="8" w:space="0"/>
              <w:bottom w:val="single" w:color="000000" w:sz="8" w:space="0"/>
              <w:right w:val="single" w:color="000000" w:sz="8" w:space="0"/>
            </w:tcBorders>
            <w:shd w:val="clear" w:color="auto" w:fill="D9D9D9"/>
            <w:tcMar>
              <w:top w:w="15" w:type="dxa"/>
              <w:left w:w="70" w:type="dxa"/>
              <w:bottom w:w="0" w:type="dxa"/>
              <w:right w:w="70" w:type="dxa"/>
            </w:tcMar>
            <w:vAlign w:val="center"/>
          </w:tcPr>
          <w:p>
            <w:pPr>
              <w:keepNext w:val="0"/>
              <w:keepLines w:val="0"/>
              <w:widowControl/>
              <w:suppressLineNumbers w:val="0"/>
              <w:spacing w:before="0" w:beforeAutospacing="0" w:after="0" w:afterAutospacing="0" w:line="256" w:lineRule="auto"/>
              <w:ind w:left="0" w:right="0"/>
              <w:rPr>
                <w:rFonts w:hint="default"/>
                <w:b/>
                <w:bCs/>
                <w:sz w:val="16"/>
                <w:szCs w:val="16"/>
                <w:lang w:val="en-US"/>
              </w:rPr>
            </w:pPr>
            <w:r>
              <w:rPr>
                <w:rFonts w:hint="default" w:eastAsia="Calibri"/>
                <w:b/>
                <w:bCs/>
                <w:color w:val="000000"/>
                <w:kern w:val="24"/>
                <w:sz w:val="16"/>
                <w:szCs w:val="16"/>
                <w:lang w:val="en-US"/>
              </w:rPr>
              <w:t>Option</w:t>
            </w:r>
          </w:p>
        </w:tc>
        <w:tc>
          <w:tcPr>
            <w:tcW w:w="1424" w:type="dxa"/>
            <w:tcBorders>
              <w:top w:val="single" w:color="000000" w:sz="8" w:space="0"/>
              <w:left w:val="single" w:color="000000" w:sz="8" w:space="0"/>
              <w:bottom w:val="single" w:color="000000" w:sz="8" w:space="0"/>
              <w:right w:val="single" w:color="000000" w:sz="8" w:space="0"/>
            </w:tcBorders>
            <w:shd w:val="clear" w:color="auto" w:fill="D9D9D9"/>
            <w:tcMar>
              <w:top w:w="15" w:type="dxa"/>
              <w:left w:w="70" w:type="dxa"/>
              <w:bottom w:w="0" w:type="dxa"/>
              <w:right w:w="70" w:type="dxa"/>
            </w:tcMar>
            <w:vAlign w:val="center"/>
          </w:tcPr>
          <w:p>
            <w:pPr>
              <w:keepNext w:val="0"/>
              <w:keepLines w:val="0"/>
              <w:widowControl/>
              <w:suppressLineNumbers w:val="0"/>
              <w:spacing w:before="0" w:beforeAutospacing="0" w:after="0" w:afterAutospacing="0" w:line="256" w:lineRule="auto"/>
              <w:ind w:left="0" w:right="0"/>
              <w:jc w:val="center"/>
              <w:rPr>
                <w:rFonts w:hint="default"/>
                <w:sz w:val="16"/>
                <w:szCs w:val="16"/>
                <w:lang w:val="en-US"/>
              </w:rPr>
            </w:pPr>
            <w:r>
              <w:rPr>
                <w:rFonts w:hint="default" w:eastAsia="Calibri"/>
                <w:b/>
                <w:bCs/>
                <w:color w:val="000000"/>
                <w:kern w:val="24"/>
                <w:sz w:val="16"/>
                <w:szCs w:val="16"/>
                <w:lang w:val="en-US"/>
              </w:rPr>
              <w:t>FD-FDD 1Rx</w:t>
            </w:r>
          </w:p>
        </w:tc>
        <w:tc>
          <w:tcPr>
            <w:tcW w:w="1560" w:type="dxa"/>
            <w:tcBorders>
              <w:top w:val="single" w:color="000000" w:sz="8" w:space="0"/>
              <w:left w:val="single" w:color="000000" w:sz="8" w:space="0"/>
              <w:bottom w:val="single" w:color="000000" w:sz="8" w:space="0"/>
              <w:right w:val="single" w:color="000000" w:sz="8" w:space="0"/>
            </w:tcBorders>
            <w:shd w:val="clear" w:color="auto" w:fill="D9D9D9"/>
            <w:tcMar>
              <w:top w:w="15" w:type="dxa"/>
              <w:left w:w="70" w:type="dxa"/>
              <w:bottom w:w="0" w:type="dxa"/>
              <w:right w:w="70" w:type="dxa"/>
            </w:tcMar>
            <w:vAlign w:val="center"/>
          </w:tcPr>
          <w:p>
            <w:pPr>
              <w:keepNext w:val="0"/>
              <w:keepLines w:val="0"/>
              <w:widowControl/>
              <w:suppressLineNumbers w:val="0"/>
              <w:spacing w:before="0" w:beforeAutospacing="0" w:after="0" w:afterAutospacing="0" w:line="256" w:lineRule="auto"/>
              <w:ind w:left="0" w:right="0"/>
              <w:jc w:val="center"/>
              <w:rPr>
                <w:rFonts w:hint="default"/>
                <w:sz w:val="16"/>
                <w:szCs w:val="16"/>
                <w:lang w:val="en-US"/>
              </w:rPr>
            </w:pPr>
            <w:r>
              <w:rPr>
                <w:rFonts w:hint="default" w:eastAsia="Calibri"/>
                <w:b/>
                <w:bCs/>
                <w:color w:val="000000"/>
                <w:kern w:val="24"/>
                <w:sz w:val="16"/>
                <w:szCs w:val="16"/>
                <w:lang w:val="en-US"/>
              </w:rPr>
              <w:t>TDD 1Rx</w:t>
            </w:r>
          </w:p>
        </w:tc>
        <w:tc>
          <w:tcPr>
            <w:tcW w:w="2589" w:type="dxa"/>
            <w:tcBorders>
              <w:top w:val="single" w:color="000000" w:sz="8" w:space="0"/>
              <w:left w:val="single" w:color="000000" w:sz="8" w:space="0"/>
              <w:bottom w:val="single" w:color="000000" w:sz="8" w:space="0"/>
              <w:right w:val="single" w:color="000000" w:sz="8" w:space="0"/>
            </w:tcBorders>
            <w:shd w:val="clear" w:color="auto" w:fill="D9D9D9"/>
            <w:tcMar>
              <w:top w:w="15" w:type="dxa"/>
              <w:left w:w="70" w:type="dxa"/>
              <w:bottom w:w="0" w:type="dxa"/>
              <w:right w:w="70" w:type="dxa"/>
            </w:tcMar>
            <w:vAlign w:val="center"/>
          </w:tcPr>
          <w:p>
            <w:pPr>
              <w:keepNext w:val="0"/>
              <w:keepLines w:val="0"/>
              <w:widowControl/>
              <w:suppressLineNumbers w:val="0"/>
              <w:spacing w:before="0" w:beforeAutospacing="0" w:after="0" w:afterAutospacing="0" w:line="256" w:lineRule="auto"/>
              <w:ind w:left="0" w:right="0"/>
              <w:jc w:val="center"/>
              <w:rPr>
                <w:rFonts w:hint="default" w:eastAsia="宋体"/>
                <w:b/>
                <w:bCs/>
                <w:color w:val="000000"/>
                <w:kern w:val="24"/>
                <w:sz w:val="16"/>
                <w:szCs w:val="16"/>
                <w:lang w:val="en-US" w:eastAsia="zh-CN"/>
              </w:rPr>
            </w:pPr>
            <w:r>
              <w:rPr>
                <w:rFonts w:hint="eastAsia" w:eastAsia="宋体"/>
                <w:b/>
                <w:bCs/>
                <w:color w:val="000000"/>
                <w:kern w:val="24"/>
                <w:sz w:val="16"/>
                <w:szCs w:val="16"/>
                <w:lang w:val="en-US" w:eastAsia="zh-CN"/>
              </w:rPr>
              <w:t>Note</w:t>
            </w:r>
          </w:p>
        </w:tc>
      </w:tr>
      <w:tr>
        <w:tblPrEx>
          <w:tblCellMar>
            <w:top w:w="0" w:type="dxa"/>
            <w:left w:w="0" w:type="dxa"/>
            <w:bottom w:w="0" w:type="dxa"/>
            <w:right w:w="0" w:type="dxa"/>
          </w:tblCellMar>
        </w:tblPrEx>
        <w:trPr>
          <w:trHeight w:val="420" w:hRule="atLeast"/>
          <w:jc w:val="center"/>
        </w:trPr>
        <w:tc>
          <w:tcPr>
            <w:tcW w:w="1100"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keepNext w:val="0"/>
              <w:keepLines w:val="0"/>
              <w:widowControl/>
              <w:suppressLineNumbers w:val="0"/>
              <w:spacing w:before="0" w:beforeAutospacing="0" w:after="0" w:afterAutospacing="0" w:line="256" w:lineRule="auto"/>
              <w:ind w:left="0" w:right="0"/>
              <w:rPr>
                <w:rFonts w:hint="default" w:eastAsia="Calibri"/>
                <w:color w:val="000000"/>
                <w:kern w:val="24"/>
                <w:sz w:val="16"/>
                <w:szCs w:val="16"/>
                <w:lang w:val="en-US"/>
              </w:rPr>
            </w:pPr>
            <w:r>
              <w:rPr>
                <w:rFonts w:hint="default" w:eastAsia="Calibri"/>
                <w:color w:val="000000"/>
                <w:kern w:val="24"/>
                <w:sz w:val="16"/>
                <w:szCs w:val="16"/>
                <w:lang w:val="en-US"/>
              </w:rPr>
              <w:t>PR3</w:t>
            </w:r>
            <w:r>
              <w:rPr>
                <w:rFonts w:hint="eastAsia" w:eastAsia="宋体"/>
                <w:color w:val="000000"/>
                <w:kern w:val="24"/>
                <w:sz w:val="16"/>
                <w:szCs w:val="16"/>
                <w:lang w:val="en-US" w:eastAsia="zh-CN"/>
              </w:rPr>
              <w:t xml:space="preserve"> </w:t>
            </w:r>
          </w:p>
        </w:tc>
        <w:tc>
          <w:tcPr>
            <w:tcW w:w="1424"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keepNext w:val="0"/>
              <w:keepLines w:val="0"/>
              <w:widowControl/>
              <w:suppressLineNumbers w:val="0"/>
              <w:spacing w:before="0" w:beforeAutospacing="0" w:after="0" w:afterAutospacing="0"/>
              <w:ind w:left="0" w:right="0"/>
              <w:jc w:val="right"/>
              <w:rPr>
                <w:rFonts w:hint="default" w:ascii="Arial" w:hAnsi="Arial" w:cs="Arial"/>
                <w:color w:val="000000"/>
                <w:sz w:val="16"/>
                <w:szCs w:val="16"/>
                <w:lang w:val="en-US"/>
              </w:rPr>
            </w:pPr>
            <w:r>
              <w:rPr>
                <w:rFonts w:hint="default" w:ascii="Arial" w:hAnsi="Arial" w:cs="Arial"/>
                <w:color w:val="000000"/>
                <w:sz w:val="16"/>
                <w:szCs w:val="16"/>
              </w:rPr>
              <w:t>7.06%</w:t>
            </w:r>
          </w:p>
        </w:tc>
        <w:tc>
          <w:tcPr>
            <w:tcW w:w="1560"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keepNext w:val="0"/>
              <w:keepLines w:val="0"/>
              <w:widowControl/>
              <w:suppressLineNumbers w:val="0"/>
              <w:spacing w:before="0" w:beforeAutospacing="0" w:after="0" w:afterAutospacing="0"/>
              <w:ind w:left="0" w:right="0"/>
              <w:jc w:val="right"/>
              <w:rPr>
                <w:rFonts w:hint="default" w:ascii="Arial" w:hAnsi="Arial" w:cs="Arial"/>
                <w:color w:val="000000"/>
                <w:sz w:val="16"/>
                <w:szCs w:val="16"/>
                <w:lang w:val="en-US"/>
              </w:rPr>
            </w:pPr>
            <w:r>
              <w:rPr>
                <w:rFonts w:hint="default" w:ascii="Arial" w:hAnsi="Arial" w:cs="Arial"/>
                <w:color w:val="000000"/>
                <w:sz w:val="16"/>
                <w:szCs w:val="16"/>
              </w:rPr>
              <w:t>6.74%</w:t>
            </w:r>
          </w:p>
        </w:tc>
        <w:tc>
          <w:tcPr>
            <w:tcW w:w="2589"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keepNext w:val="0"/>
              <w:keepLines w:val="0"/>
              <w:widowControl/>
              <w:suppressLineNumbers w:val="0"/>
              <w:spacing w:before="0" w:beforeAutospacing="0" w:after="0" w:afterAutospacing="0"/>
              <w:ind w:left="0" w:right="0"/>
              <w:jc w:val="right"/>
              <w:rPr>
                <w:rFonts w:hint="default" w:ascii="Arial" w:hAnsi="Arial" w:cs="Arial"/>
                <w:color w:val="000000"/>
                <w:sz w:val="16"/>
                <w:szCs w:val="16"/>
              </w:rPr>
            </w:pPr>
            <w:r>
              <w:rPr>
                <w:rFonts w:hint="eastAsia" w:ascii="Arial" w:hAnsi="Arial" w:eastAsia="宋体" w:cs="Arial"/>
                <w:color w:val="000000"/>
                <w:sz w:val="16"/>
                <w:szCs w:val="16"/>
                <w:lang w:val="en-US" w:eastAsia="zh-CN"/>
              </w:rPr>
              <w:t>Based on TR report</w:t>
            </w:r>
          </w:p>
        </w:tc>
      </w:tr>
      <w:tr>
        <w:tblPrEx>
          <w:tblCellMar>
            <w:top w:w="0" w:type="dxa"/>
            <w:left w:w="0" w:type="dxa"/>
            <w:bottom w:w="0" w:type="dxa"/>
            <w:right w:w="0" w:type="dxa"/>
          </w:tblCellMar>
        </w:tblPrEx>
        <w:trPr>
          <w:trHeight w:val="420" w:hRule="atLeast"/>
          <w:jc w:val="center"/>
        </w:trPr>
        <w:tc>
          <w:tcPr>
            <w:tcW w:w="1100"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keepNext w:val="0"/>
              <w:keepLines w:val="0"/>
              <w:widowControl/>
              <w:suppressLineNumbers w:val="0"/>
              <w:spacing w:before="0" w:beforeAutospacing="0" w:after="0" w:afterAutospacing="0" w:line="256" w:lineRule="auto"/>
              <w:ind w:left="0" w:right="0"/>
              <w:rPr>
                <w:rFonts w:hint="default" w:eastAsia="宋体"/>
                <w:color w:val="000000"/>
                <w:kern w:val="24"/>
                <w:sz w:val="16"/>
                <w:szCs w:val="16"/>
                <w:lang w:val="en-US" w:eastAsia="zh-CN"/>
              </w:rPr>
            </w:pPr>
            <w:r>
              <w:rPr>
                <w:rFonts w:hint="eastAsia" w:eastAsia="宋体"/>
                <w:color w:val="000000"/>
                <w:kern w:val="24"/>
                <w:sz w:val="16"/>
                <w:szCs w:val="16"/>
                <w:lang w:val="en-US" w:eastAsia="zh-CN"/>
              </w:rPr>
              <w:t>PR3+PR1</w:t>
            </w:r>
          </w:p>
        </w:tc>
        <w:tc>
          <w:tcPr>
            <w:tcW w:w="1424"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keepNext w:val="0"/>
              <w:keepLines w:val="0"/>
              <w:widowControl/>
              <w:suppressLineNumbers w:val="0"/>
              <w:spacing w:before="0" w:beforeAutospacing="0" w:after="0" w:afterAutospacing="0"/>
              <w:ind w:left="0" w:leftChars="0" w:right="0" w:rightChars="0"/>
              <w:jc w:val="right"/>
              <w:rPr>
                <w:rFonts w:hint="eastAsia" w:ascii="Arial" w:hAnsi="Arial" w:eastAsia="Times New Roman" w:cs="Arial"/>
                <w:color w:val="auto"/>
                <w:sz w:val="16"/>
                <w:szCs w:val="16"/>
                <w:lang w:val="en-US" w:eastAsia="zh-CN" w:bidi="ar-SA"/>
              </w:rPr>
            </w:pPr>
            <w:r>
              <w:rPr>
                <w:rFonts w:hint="eastAsia" w:ascii="Arial" w:hAnsi="Arial" w:cs="Arial"/>
                <w:color w:val="auto"/>
                <w:sz w:val="16"/>
                <w:szCs w:val="16"/>
                <w:lang w:val="en-US" w:eastAsia="zh-CN"/>
              </w:rPr>
              <w:t>7.28%</w:t>
            </w:r>
          </w:p>
        </w:tc>
        <w:tc>
          <w:tcPr>
            <w:tcW w:w="1560"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keepNext w:val="0"/>
              <w:keepLines w:val="0"/>
              <w:widowControl/>
              <w:suppressLineNumbers w:val="0"/>
              <w:spacing w:before="0" w:beforeAutospacing="0" w:after="0" w:afterAutospacing="0"/>
              <w:ind w:left="0" w:leftChars="0" w:right="0" w:rightChars="0"/>
              <w:jc w:val="right"/>
              <w:rPr>
                <w:rFonts w:hint="eastAsia" w:ascii="Arial" w:hAnsi="Arial" w:eastAsia="Times New Roman" w:cs="Arial"/>
                <w:color w:val="auto"/>
                <w:sz w:val="16"/>
                <w:szCs w:val="16"/>
                <w:lang w:val="en-US" w:eastAsia="zh-CN" w:bidi="ar-SA"/>
              </w:rPr>
            </w:pPr>
            <w:r>
              <w:rPr>
                <w:rFonts w:hint="eastAsia" w:ascii="Arial" w:hAnsi="Arial" w:cs="Arial"/>
                <w:color w:val="auto"/>
                <w:sz w:val="16"/>
                <w:szCs w:val="16"/>
                <w:lang w:val="en-US" w:eastAsia="zh-CN"/>
              </w:rPr>
              <w:t>7.05%</w:t>
            </w:r>
          </w:p>
        </w:tc>
        <w:tc>
          <w:tcPr>
            <w:tcW w:w="2589"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keepNext w:val="0"/>
              <w:keepLines w:val="0"/>
              <w:widowControl/>
              <w:suppressLineNumbers w:val="0"/>
              <w:spacing w:before="0" w:beforeAutospacing="0" w:after="0" w:afterAutospacing="0"/>
              <w:ind w:left="0" w:right="0"/>
              <w:jc w:val="right"/>
              <w:rPr>
                <w:rFonts w:hint="eastAsia" w:ascii="Arial" w:hAnsi="Arial" w:cs="Arial"/>
                <w:color w:val="auto"/>
                <w:sz w:val="16"/>
                <w:szCs w:val="16"/>
                <w:lang w:val="en-US" w:eastAsia="zh-CN"/>
              </w:rPr>
            </w:pPr>
            <w:r>
              <w:rPr>
                <w:rFonts w:hint="eastAsia" w:ascii="Arial" w:hAnsi="Arial" w:cs="Arial"/>
                <w:color w:val="auto"/>
                <w:sz w:val="16"/>
                <w:szCs w:val="16"/>
                <w:lang w:val="en-US" w:eastAsia="zh-CN"/>
              </w:rPr>
              <w:t>Target peak data rate: 10Mbps</w:t>
            </w:r>
          </w:p>
        </w:tc>
      </w:tr>
      <w:tr>
        <w:tblPrEx>
          <w:tblCellMar>
            <w:top w:w="0" w:type="dxa"/>
            <w:left w:w="0" w:type="dxa"/>
            <w:bottom w:w="0" w:type="dxa"/>
            <w:right w:w="0" w:type="dxa"/>
          </w:tblCellMar>
        </w:tblPrEx>
        <w:trPr>
          <w:trHeight w:val="420" w:hRule="atLeast"/>
          <w:jc w:val="center"/>
        </w:trPr>
        <w:tc>
          <w:tcPr>
            <w:tcW w:w="1100"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keepNext w:val="0"/>
              <w:keepLines w:val="0"/>
              <w:widowControl/>
              <w:suppressLineNumbers w:val="0"/>
              <w:spacing w:before="0" w:beforeAutospacing="0" w:after="0" w:afterAutospacing="0" w:line="256" w:lineRule="auto"/>
              <w:ind w:left="0" w:leftChars="0" w:right="0" w:rightChars="0"/>
              <w:rPr>
                <w:rFonts w:hint="eastAsia" w:ascii="Times New Roman" w:hAnsi="Times New Roman" w:eastAsia="宋体" w:cs="Times New Roman"/>
                <w:color w:val="000000"/>
                <w:kern w:val="24"/>
                <w:sz w:val="16"/>
                <w:szCs w:val="16"/>
                <w:lang w:val="en-US" w:eastAsia="zh-CN" w:bidi="ar-SA"/>
              </w:rPr>
            </w:pPr>
            <w:r>
              <w:rPr>
                <w:rFonts w:hint="eastAsia" w:eastAsia="宋体"/>
                <w:color w:val="000000"/>
                <w:kern w:val="24"/>
                <w:sz w:val="16"/>
                <w:szCs w:val="16"/>
                <w:lang w:val="en-US" w:eastAsia="zh-CN"/>
              </w:rPr>
              <w:t>PR3+PR1</w:t>
            </w:r>
          </w:p>
        </w:tc>
        <w:tc>
          <w:tcPr>
            <w:tcW w:w="1424"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keepNext w:val="0"/>
              <w:keepLines w:val="0"/>
              <w:widowControl/>
              <w:suppressLineNumbers w:val="0"/>
              <w:spacing w:before="0" w:beforeAutospacing="0" w:after="0" w:afterAutospacing="0"/>
              <w:ind w:left="0" w:leftChars="0" w:right="0" w:rightChars="0"/>
              <w:jc w:val="right"/>
              <w:rPr>
                <w:rFonts w:hint="eastAsia" w:ascii="Arial" w:hAnsi="Arial" w:eastAsia="Times New Roman" w:cs="Arial"/>
                <w:color w:val="auto"/>
                <w:sz w:val="16"/>
                <w:szCs w:val="16"/>
                <w:lang w:val="en-US" w:eastAsia="zh-CN" w:bidi="ar-SA"/>
              </w:rPr>
            </w:pPr>
            <w:r>
              <w:rPr>
                <w:rFonts w:hint="eastAsia" w:ascii="Arial" w:hAnsi="Arial" w:cs="Arial"/>
                <w:color w:val="auto"/>
                <w:sz w:val="16"/>
                <w:szCs w:val="16"/>
                <w:lang w:val="en-US" w:eastAsia="zh-CN"/>
              </w:rPr>
              <w:t>7.96%</w:t>
            </w:r>
          </w:p>
        </w:tc>
        <w:tc>
          <w:tcPr>
            <w:tcW w:w="1560"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keepNext w:val="0"/>
              <w:keepLines w:val="0"/>
              <w:widowControl/>
              <w:suppressLineNumbers w:val="0"/>
              <w:spacing w:before="0" w:beforeAutospacing="0" w:after="0" w:afterAutospacing="0"/>
              <w:ind w:left="0" w:leftChars="0" w:right="0" w:rightChars="0"/>
              <w:jc w:val="right"/>
              <w:rPr>
                <w:rFonts w:hint="eastAsia" w:ascii="Arial" w:hAnsi="Arial" w:eastAsia="Times New Roman" w:cs="Arial"/>
                <w:color w:val="auto"/>
                <w:sz w:val="16"/>
                <w:szCs w:val="16"/>
                <w:lang w:val="en-US" w:eastAsia="zh-CN" w:bidi="ar-SA"/>
              </w:rPr>
            </w:pPr>
            <w:r>
              <w:rPr>
                <w:rFonts w:hint="eastAsia" w:ascii="Arial" w:hAnsi="Arial" w:cs="Arial"/>
                <w:color w:val="auto"/>
                <w:sz w:val="16"/>
                <w:szCs w:val="16"/>
                <w:lang w:val="en-US" w:eastAsia="zh-CN" w:bidi="ar-SA"/>
              </w:rPr>
              <w:t>7.75%</w:t>
            </w:r>
          </w:p>
        </w:tc>
        <w:tc>
          <w:tcPr>
            <w:tcW w:w="2589"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keepNext w:val="0"/>
              <w:keepLines w:val="0"/>
              <w:widowControl/>
              <w:suppressLineNumbers w:val="0"/>
              <w:spacing w:before="0" w:beforeAutospacing="0" w:after="0" w:afterAutospacing="0"/>
              <w:ind w:left="0" w:leftChars="0" w:right="0" w:rightChars="0"/>
              <w:jc w:val="right"/>
              <w:rPr>
                <w:rFonts w:hint="eastAsia" w:ascii="Arial" w:hAnsi="Arial" w:eastAsia="Times New Roman" w:cs="Arial"/>
                <w:color w:val="auto"/>
                <w:sz w:val="16"/>
                <w:szCs w:val="16"/>
                <w:lang w:val="en-US" w:eastAsia="zh-CN" w:bidi="ar-SA"/>
              </w:rPr>
            </w:pPr>
            <w:r>
              <w:rPr>
                <w:rFonts w:hint="eastAsia" w:ascii="Arial" w:hAnsi="Arial" w:cs="Arial"/>
                <w:color w:val="auto"/>
                <w:sz w:val="16"/>
                <w:szCs w:val="16"/>
                <w:lang w:val="en-US" w:eastAsia="zh-CN"/>
              </w:rPr>
              <w:t>Target peak data rate: 6 Mbps</w:t>
            </w:r>
          </w:p>
        </w:tc>
      </w:tr>
    </w:tbl>
    <w:p>
      <w:pPr>
        <w:bidi w:val="0"/>
        <w:rPr>
          <w:rFonts w:hint="default"/>
          <w:lang w:val="en-US" w:eastAsia="zh-CN"/>
        </w:rPr>
      </w:pPr>
    </w:p>
    <w:p>
      <w:pPr>
        <w:rPr>
          <w:rFonts w:hint="eastAsia" w:eastAsia="宋体"/>
          <w:lang w:val="en-US" w:eastAsia="zh-CN"/>
        </w:rPr>
      </w:pPr>
    </w:p>
    <w:p>
      <w:pPr>
        <w:rPr>
          <w:rFonts w:hint="eastAsia" w:eastAsia="宋体"/>
          <w:b/>
          <w:bCs/>
          <w:lang w:val="en-US" w:eastAsia="zh-CN"/>
        </w:rPr>
      </w:pPr>
      <w:r>
        <w:rPr>
          <w:rFonts w:hint="eastAsia" w:eastAsia="宋体"/>
          <w:b/>
          <w:bCs/>
          <w:lang w:val="en-US" w:eastAsia="zh-CN"/>
        </w:rPr>
        <w:t xml:space="preserve">Observation 3: </w:t>
      </w:r>
    </w:p>
    <w:p>
      <w:pPr>
        <w:numPr>
          <w:ilvl w:val="0"/>
          <w:numId w:val="7"/>
        </w:numPr>
        <w:ind w:left="420" w:leftChars="0" w:hanging="420" w:firstLineChars="0"/>
        <w:rPr>
          <w:rFonts w:hint="eastAsia" w:eastAsia="宋体"/>
          <w:b/>
          <w:bCs/>
          <w:lang w:val="en-US" w:eastAsia="zh-CN"/>
        </w:rPr>
      </w:pPr>
      <w:r>
        <w:rPr>
          <w:rFonts w:hint="eastAsia" w:eastAsia="宋体"/>
          <w:b/>
          <w:bCs/>
          <w:lang w:val="en-US" w:eastAsia="zh-CN"/>
        </w:rPr>
        <w:t>Compared with PR3 and based on 10Mbps peak data rate, PR1 can provide additional complexity reduction by 0.22% and 0.31% for FDD 1Rx and for TDD 1Rx respectively.</w:t>
      </w:r>
    </w:p>
    <w:p>
      <w:pPr>
        <w:numPr>
          <w:ilvl w:val="0"/>
          <w:numId w:val="7"/>
        </w:numPr>
        <w:ind w:left="420" w:leftChars="0" w:hanging="420" w:firstLineChars="0"/>
        <w:rPr>
          <w:rFonts w:hint="eastAsia" w:eastAsia="宋体"/>
          <w:b/>
          <w:bCs/>
          <w:lang w:val="en-US" w:eastAsia="zh-CN"/>
        </w:rPr>
      </w:pPr>
      <w:r>
        <w:rPr>
          <w:rFonts w:hint="eastAsia" w:eastAsia="宋体"/>
          <w:b/>
          <w:bCs/>
          <w:lang w:val="en-US" w:eastAsia="zh-CN"/>
        </w:rPr>
        <w:t>Compared with PR3 and based on 6Mbps peak data rate, PR1 can provide additional complexity reduction by 0.9 % and 1.01 % for FDD 1Rx and for TDD 1Rx respectively.</w:t>
      </w:r>
    </w:p>
    <w:p>
      <w:pPr>
        <w:numPr>
          <w:ilvl w:val="0"/>
          <w:numId w:val="7"/>
        </w:numPr>
        <w:ind w:left="420" w:leftChars="0" w:hanging="420" w:firstLineChars="0"/>
        <w:rPr>
          <w:rFonts w:hint="eastAsia" w:eastAsia="宋体"/>
          <w:b/>
          <w:bCs/>
          <w:lang w:val="en-US" w:eastAsia="zh-CN"/>
        </w:rPr>
      </w:pPr>
      <w:r>
        <w:rPr>
          <w:rFonts w:hint="eastAsia" w:eastAsia="宋体"/>
          <w:b/>
          <w:bCs/>
          <w:lang w:val="en-US" w:eastAsia="zh-CN"/>
        </w:rPr>
        <w:t>Based on PR3, the additional complexity reduction brought by 6Mbps peak data rate for PR1 is 3 times larger than that by 10Mbps peak data rate.</w:t>
      </w:r>
    </w:p>
    <w:p>
      <w:pPr>
        <w:rPr>
          <w:rFonts w:hint="eastAsia" w:eastAsia="宋体"/>
          <w:b/>
          <w:bCs/>
          <w:lang w:val="en-US" w:eastAsia="zh-CN"/>
        </w:rPr>
      </w:pPr>
    </w:p>
    <w:p>
      <w:pPr>
        <w:rPr>
          <w:rFonts w:hint="eastAsia" w:eastAsia="宋体"/>
          <w:lang w:val="en-US" w:eastAsia="zh-CN"/>
        </w:rPr>
      </w:pPr>
      <w:r>
        <w:rPr>
          <w:rFonts w:hint="eastAsia" w:eastAsia="宋体"/>
          <w:lang w:val="en-US" w:eastAsia="zh-CN"/>
        </w:rPr>
        <w:t xml:space="preserve">Therefore, it is not reasonable to mandate peak data rate as 10Mbps for all the use cases, which also would cause the market gap. </w:t>
      </w:r>
    </w:p>
    <w:p>
      <w:pPr>
        <w:rPr>
          <w:rFonts w:hint="default" w:eastAsia="宋体"/>
          <w:b/>
          <w:bCs/>
          <w:lang w:val="en-US" w:eastAsia="zh-CN"/>
        </w:rPr>
      </w:pPr>
      <w:r>
        <w:rPr>
          <w:rFonts w:hint="eastAsia" w:eastAsia="宋体"/>
          <w:b/>
          <w:bCs/>
          <w:lang w:val="en-US" w:eastAsia="zh-CN"/>
        </w:rPr>
        <w:t>Proposal 1: For some uses cases, e.g., industrial sensors, discuss whether the peak date rate can be lower than 10Mbps.</w:t>
      </w:r>
    </w:p>
    <w:p>
      <w:pPr>
        <w:rPr>
          <w:rFonts w:hint="default" w:eastAsia="宋体"/>
          <w:b w:val="0"/>
          <w:bCs w:val="0"/>
          <w:lang w:val="en-US" w:eastAsia="zh-CN"/>
        </w:rPr>
      </w:pPr>
      <w:r>
        <w:rPr>
          <w:rFonts w:hint="eastAsia" w:eastAsia="宋体"/>
          <w:b w:val="0"/>
          <w:bCs w:val="0"/>
          <w:lang w:val="en-US" w:eastAsia="zh-CN"/>
        </w:rPr>
        <w:t>Since the justification part in WID is copied from the SID, where the target peak date rate 10Mbps is used for SI. In the WI stage, if PR1 can achieve lower peak data rate, we think the corresponding text can be modified. An example is shown as follows: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keepNext w:val="0"/>
              <w:keepLines w:val="0"/>
              <w:widowControl/>
              <w:suppressLineNumbers w:val="0"/>
              <w:spacing w:before="0" w:beforeAutospacing="0" w:afterAutospacing="0"/>
              <w:ind w:left="0" w:right="0"/>
              <w:rPr>
                <w:rFonts w:hint="default" w:eastAsia="宋体"/>
                <w:b/>
                <w:bCs/>
                <w:sz w:val="20"/>
                <w:szCs w:val="20"/>
                <w:vertAlign w:val="baseline"/>
                <w:lang w:val="en-US" w:eastAsia="zh-CN"/>
              </w:rPr>
            </w:pPr>
            <w:r>
              <w:rPr>
                <w:rFonts w:hint="default" w:eastAsia="Times New Roman"/>
                <w:sz w:val="20"/>
                <w:szCs w:val="20"/>
              </w:rPr>
              <w:t xml:space="preserve">Rel-18 RedCap should provide NR support for low-tier devices between existing LPWA UEs and the capabilities of Rel-17 RedCap UEs. The supported peak data rate for Rel-18 RedCap targets </w:t>
            </w:r>
            <w:r>
              <w:rPr>
                <w:rFonts w:hint="eastAsia" w:eastAsia="宋体"/>
                <w:color w:val="FF0000"/>
                <w:sz w:val="20"/>
                <w:szCs w:val="20"/>
                <w:lang w:val="en-US" w:eastAsia="zh-CN"/>
              </w:rPr>
              <w:t xml:space="preserve">up </w:t>
            </w:r>
            <w:r>
              <w:rPr>
                <w:rFonts w:hint="default" w:eastAsia="Times New Roman"/>
                <w:sz w:val="20"/>
                <w:szCs w:val="20"/>
              </w:rPr>
              <w:t xml:space="preserve">to 10Mbps. Rel-18 RedCap should not overlap with existing LPWA solutions. </w:t>
            </w:r>
          </w:p>
        </w:tc>
      </w:tr>
    </w:tbl>
    <w:p>
      <w:pPr>
        <w:rPr>
          <w:rFonts w:hint="default" w:eastAsia="宋体"/>
          <w:b/>
          <w:bCs/>
          <w:lang w:val="en-US" w:eastAsia="zh-CN"/>
        </w:rPr>
      </w:pPr>
    </w:p>
    <w:p>
      <w:pPr>
        <w:pStyle w:val="3"/>
        <w:numPr>
          <w:ilvl w:val="1"/>
          <w:numId w:val="1"/>
        </w:numPr>
        <w:bidi w:val="0"/>
        <w:ind w:left="0" w:leftChars="0" w:firstLine="0" w:firstLineChars="0"/>
        <w:rPr>
          <w:rFonts w:hint="default"/>
          <w:lang w:val="en-US" w:eastAsia="zh-CN"/>
        </w:rPr>
      </w:pPr>
      <w:r>
        <w:rPr>
          <w:rFonts w:hint="eastAsia"/>
          <w:lang w:val="en-US" w:eastAsia="zh-CN"/>
        </w:rPr>
        <w:t>Standalone PR1 or add-on</w:t>
      </w:r>
    </w:p>
    <w:p>
      <w:pPr>
        <w:rPr>
          <w:rFonts w:hint="default" w:ascii="Times New Roman" w:hAnsi="Times New Roman" w:eastAsia="等线" w:cs="Times New Roman"/>
          <w:kern w:val="0"/>
          <w:sz w:val="20"/>
          <w:szCs w:val="20"/>
          <w:lang w:val="en-US" w:eastAsia="zh-CN" w:bidi="ar"/>
        </w:rPr>
      </w:pPr>
      <w:r>
        <w:rPr>
          <w:rFonts w:hint="eastAsia"/>
          <w:lang w:val="en-US" w:eastAsia="zh-CN"/>
        </w:rPr>
        <w:t>If PR1 is standalone feature, as indicated in Table 1, the complexity reduction is around 4%, which is completely not attractive since t</w:t>
      </w:r>
      <w:r>
        <w:rPr>
          <w:rFonts w:hint="default" w:ascii="Times New Roman" w:hAnsi="Times New Roman" w:eastAsia="等线" w:cs="Times New Roman"/>
          <w:kern w:val="0"/>
          <w:sz w:val="20"/>
          <w:szCs w:val="20"/>
          <w:lang w:val="en-US" w:eastAsia="zh-CN" w:bidi="ar"/>
        </w:rPr>
        <w:t xml:space="preserve">he purpose of peak data rate reduction is to further reduce UE complexity. </w:t>
      </w:r>
      <w:r>
        <w:rPr>
          <w:rFonts w:hint="eastAsia" w:eastAsia="等线" w:cs="Times New Roman"/>
          <w:kern w:val="0"/>
          <w:sz w:val="20"/>
          <w:szCs w:val="20"/>
          <w:lang w:val="en-US" w:eastAsia="zh-CN" w:bidi="ar"/>
        </w:rPr>
        <w:t>Moreover</w:t>
      </w:r>
      <w:r>
        <w:rPr>
          <w:rFonts w:hint="default" w:ascii="Times New Roman" w:hAnsi="Times New Roman" w:eastAsia="等线" w:cs="Times New Roman"/>
          <w:kern w:val="0"/>
          <w:sz w:val="20"/>
          <w:szCs w:val="20"/>
          <w:lang w:val="en-US" w:eastAsia="zh-CN" w:bidi="ar"/>
        </w:rPr>
        <w:t>, compared with UE BB bandwidth reduction, the complexity reduction provided by peak data rate reduction</w:t>
      </w:r>
      <w:r>
        <w:rPr>
          <w:rFonts w:hint="eastAsia" w:eastAsia="等线" w:cs="Times New Roman"/>
          <w:kern w:val="0"/>
          <w:sz w:val="20"/>
          <w:szCs w:val="20"/>
          <w:lang w:val="en-US" w:eastAsia="zh-CN" w:bidi="ar"/>
        </w:rPr>
        <w:t>, i.e. PR1,</w:t>
      </w:r>
      <w:r>
        <w:rPr>
          <w:rFonts w:hint="default" w:ascii="Times New Roman" w:hAnsi="Times New Roman" w:eastAsia="等线" w:cs="Times New Roman"/>
          <w:kern w:val="0"/>
          <w:sz w:val="20"/>
          <w:szCs w:val="20"/>
          <w:lang w:val="en-US" w:eastAsia="zh-CN" w:bidi="ar"/>
        </w:rPr>
        <w:t xml:space="preserve"> is much smaller. </w:t>
      </w:r>
    </w:p>
    <w:p>
      <w:pPr>
        <w:rPr>
          <w:lang w:val="en-US" w:eastAsia="zh-CN"/>
        </w:rPr>
      </w:pPr>
      <w:r>
        <w:rPr>
          <w:rFonts w:hint="default" w:ascii="Times New Roman" w:hAnsi="Times New Roman" w:eastAsia="等线" w:cs="Times New Roman"/>
          <w:kern w:val="0"/>
          <w:sz w:val="20"/>
          <w:szCs w:val="20"/>
          <w:lang w:val="en-US" w:eastAsia="zh-CN" w:bidi="ar"/>
        </w:rPr>
        <w:t xml:space="preserve">If </w:t>
      </w:r>
      <w:bookmarkStart w:id="2" w:name="OLE_LINK6"/>
      <w:r>
        <w:rPr>
          <w:rFonts w:hint="default" w:ascii="Times New Roman" w:hAnsi="Times New Roman" w:eastAsia="等线" w:cs="Times New Roman"/>
          <w:kern w:val="0"/>
          <w:sz w:val="20"/>
          <w:szCs w:val="20"/>
          <w:lang w:val="en-US" w:eastAsia="zh-CN" w:bidi="ar"/>
        </w:rPr>
        <w:t>UE peak data rate reduction is supported as a standalone feature</w:t>
      </w:r>
      <w:bookmarkEnd w:id="2"/>
      <w:r>
        <w:rPr>
          <w:rFonts w:hint="default" w:ascii="Times New Roman" w:hAnsi="Times New Roman" w:eastAsia="等线" w:cs="Times New Roman"/>
          <w:kern w:val="0"/>
          <w:sz w:val="20"/>
          <w:szCs w:val="20"/>
          <w:lang w:val="en-US" w:eastAsia="zh-CN" w:bidi="ar"/>
        </w:rPr>
        <w:t xml:space="preserve">, the types of terminal products will be further differentiated. Correspondingly, additional type of hardware is required to support the standalone peak data rate reduction. Considering that there is already Rel-17 RedCap UE in the market and Rel-18 RedCap UE also would be supported with lower complexity, it is not necessary to introduce the additional RedCap UE with standalone PR1 to fragment the market. </w:t>
      </w:r>
    </w:p>
    <w:p>
      <w:pPr>
        <w:keepNext w:val="0"/>
        <w:keepLines w:val="0"/>
        <w:widowControl/>
        <w:suppressLineNumbers w:val="0"/>
        <w:spacing w:before="0" w:beforeAutospacing="0" w:after="180" w:afterAutospacing="0"/>
        <w:ind w:left="0" w:right="0"/>
        <w:jc w:val="both"/>
        <w:rPr>
          <w:rFonts w:hint="default"/>
          <w:iCs/>
          <w:lang w:val="en-US" w:eastAsia="zh-CN"/>
        </w:rPr>
      </w:pPr>
      <w:r>
        <w:rPr>
          <w:rFonts w:hint="default" w:ascii="Times New Roman" w:hAnsi="Times New Roman" w:eastAsia="宋体" w:cs="Times New Roman"/>
          <w:b/>
          <w:i w:val="0"/>
          <w:iCs/>
          <w:kern w:val="0"/>
          <w:sz w:val="20"/>
          <w:szCs w:val="20"/>
          <w:lang w:val="en-US" w:eastAsia="zh-CN" w:bidi="ar"/>
        </w:rPr>
        <w:t xml:space="preserve">Proposal </w:t>
      </w:r>
      <w:r>
        <w:rPr>
          <w:rFonts w:hint="eastAsia" w:eastAsia="宋体" w:cs="Times New Roman"/>
          <w:b/>
          <w:i w:val="0"/>
          <w:iCs/>
          <w:kern w:val="0"/>
          <w:sz w:val="20"/>
          <w:szCs w:val="20"/>
          <w:lang w:val="en-US" w:eastAsia="zh-CN" w:bidi="ar"/>
        </w:rPr>
        <w:t>2</w:t>
      </w:r>
      <w:r>
        <w:rPr>
          <w:rFonts w:hint="default" w:ascii="Times New Roman" w:hAnsi="Times New Roman" w:eastAsia="宋体" w:cs="Times New Roman"/>
          <w:b/>
          <w:i w:val="0"/>
          <w:iCs/>
          <w:kern w:val="0"/>
          <w:sz w:val="20"/>
          <w:szCs w:val="20"/>
          <w:lang w:val="en-US" w:eastAsia="zh-CN" w:bidi="ar"/>
        </w:rPr>
        <w:t>: UE peak data rate reduction is not supported as a standalone feature.</w:t>
      </w:r>
    </w:p>
    <w:p>
      <w:pPr>
        <w:pStyle w:val="3"/>
        <w:numPr>
          <w:ilvl w:val="1"/>
          <w:numId w:val="1"/>
        </w:numPr>
        <w:bidi w:val="0"/>
        <w:ind w:left="0" w:leftChars="0" w:firstLine="0" w:firstLineChars="0"/>
        <w:rPr>
          <w:rFonts w:hint="default"/>
          <w:lang w:val="en-US" w:eastAsia="zh-CN"/>
        </w:rPr>
      </w:pPr>
      <w:r>
        <w:rPr>
          <w:rFonts w:hint="eastAsia"/>
          <w:lang w:val="en-US" w:eastAsia="zh-CN"/>
        </w:rPr>
        <w:t>Early indication</w:t>
      </w:r>
    </w:p>
    <w:p>
      <w:pPr>
        <w:keepNext w:val="0"/>
        <w:keepLines w:val="0"/>
        <w:widowControl/>
        <w:suppressLineNumbers w:val="0"/>
        <w:spacing w:before="0" w:beforeAutospacing="0" w:after="180" w:afterAutospacing="0"/>
        <w:ind w:left="0" w:right="0"/>
        <w:jc w:val="both"/>
        <w:rPr>
          <w:rFonts w:hint="default" w:eastAsia="宋体" w:cs="Times New Roman"/>
          <w:kern w:val="2"/>
          <w:sz w:val="20"/>
          <w:szCs w:val="20"/>
          <w:lang w:val="en-US" w:eastAsia="zh-CN" w:bidi="ar"/>
        </w:rPr>
      </w:pPr>
      <w:r>
        <w:rPr>
          <w:rFonts w:hint="eastAsia" w:eastAsia="宋体" w:cs="Times New Roman"/>
          <w:kern w:val="2"/>
          <w:sz w:val="20"/>
          <w:szCs w:val="20"/>
          <w:lang w:val="en-US" w:eastAsia="zh-CN" w:bidi="ar"/>
        </w:rPr>
        <w:t>In RAN1#111, we have the following agreement, which indicates for a Rel-18 RedCap UE, the msg3 PUSCH could be within 5MHz.</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keepNext w:val="0"/>
              <w:keepLines w:val="0"/>
              <w:widowControl/>
              <w:suppressLineNumbers w:val="0"/>
              <w:spacing w:before="0" w:beforeAutospacing="0" w:after="180" w:afterAutospacing="0"/>
              <w:ind w:left="0" w:right="0"/>
              <w:jc w:val="both"/>
              <w:rPr>
                <w:rFonts w:hint="default" w:eastAsia="宋体" w:cs="Times New Roman"/>
                <w:b/>
                <w:bCs/>
                <w:i/>
                <w:iCs/>
                <w:kern w:val="2"/>
                <w:sz w:val="20"/>
                <w:szCs w:val="20"/>
                <w:u w:val="single"/>
                <w:vertAlign w:val="baseline"/>
                <w:lang w:val="en-US" w:eastAsia="zh-CN" w:bidi="ar"/>
              </w:rPr>
            </w:pPr>
            <w:r>
              <w:rPr>
                <w:rFonts w:hint="default" w:eastAsia="宋体" w:cs="Times New Roman"/>
                <w:b/>
                <w:bCs/>
                <w:i/>
                <w:iCs/>
                <w:kern w:val="2"/>
                <w:sz w:val="20"/>
                <w:szCs w:val="20"/>
                <w:u w:val="single"/>
                <w:vertAlign w:val="baseline"/>
                <w:lang w:val="en-US" w:eastAsia="zh-CN" w:bidi="ar"/>
              </w:rPr>
              <w:t xml:space="preserve">Agreement </w:t>
            </w:r>
          </w:p>
          <w:p>
            <w:pPr>
              <w:keepNext w:val="0"/>
              <w:keepLines w:val="0"/>
              <w:widowControl/>
              <w:suppressLineNumbers w:val="0"/>
              <w:spacing w:before="0" w:beforeAutospacing="0" w:after="180" w:afterAutospacing="0"/>
              <w:ind w:left="0" w:right="0"/>
              <w:jc w:val="both"/>
              <w:rPr>
                <w:rFonts w:hint="default" w:eastAsia="宋体" w:cs="Times New Roman"/>
                <w:kern w:val="2"/>
                <w:sz w:val="20"/>
                <w:szCs w:val="20"/>
                <w:vertAlign w:val="baseline"/>
                <w:lang w:val="en-US" w:eastAsia="zh-CN" w:bidi="ar"/>
              </w:rPr>
            </w:pPr>
            <w:r>
              <w:rPr>
                <w:rFonts w:hint="default" w:eastAsia="宋体" w:cs="Times New Roman"/>
                <w:kern w:val="2"/>
                <w:sz w:val="20"/>
                <w:szCs w:val="20"/>
                <w:vertAlign w:val="baseline"/>
                <w:lang w:val="en-US" w:eastAsia="zh-CN" w:bidi="ar"/>
              </w:rPr>
              <w:t>For UE BB complexity reduction, a UE is not expected to receive an UL grant in a RAR or in a DCI scrambled with TC-RNTI with a Msg3 PUSCH resource allocation spanning a bandwidth of more than ~5 MHz per slot or per hop, if applicable.</w:t>
            </w:r>
          </w:p>
        </w:tc>
      </w:tr>
    </w:tbl>
    <w:p>
      <w:pPr>
        <w:keepNext w:val="0"/>
        <w:keepLines w:val="0"/>
        <w:widowControl/>
        <w:suppressLineNumbers w:val="0"/>
        <w:spacing w:before="0" w:beforeAutospacing="0" w:after="180" w:afterAutospacing="0"/>
        <w:ind w:left="0" w:right="0"/>
        <w:jc w:val="both"/>
        <w:rPr>
          <w:rFonts w:hint="eastAsia" w:eastAsia="宋体" w:cs="Times New Roman"/>
          <w:kern w:val="2"/>
          <w:sz w:val="20"/>
          <w:szCs w:val="20"/>
          <w:lang w:val="en-US" w:eastAsia="zh-CN" w:bidi="ar"/>
        </w:rPr>
      </w:pPr>
      <w:r>
        <w:rPr>
          <w:rFonts w:hint="eastAsia" w:eastAsia="宋体" w:cs="Times New Roman"/>
          <w:kern w:val="2"/>
          <w:sz w:val="20"/>
          <w:szCs w:val="20"/>
          <w:lang w:val="en-US" w:eastAsia="zh-CN" w:bidi="ar"/>
        </w:rPr>
        <w:t>If there is no msg1 identification, it would be problematic to mandate msg3 within 5MHz for all the UEs.</w:t>
      </w:r>
    </w:p>
    <w:p>
      <w:pPr>
        <w:keepNext w:val="0"/>
        <w:keepLines w:val="0"/>
        <w:widowControl/>
        <w:suppressLineNumbers w:val="0"/>
        <w:spacing w:before="0" w:beforeAutospacing="0" w:after="180" w:afterAutospacing="0"/>
        <w:ind w:left="0" w:right="0"/>
        <w:jc w:val="both"/>
        <w:rPr>
          <w:rFonts w:hint="eastAsia" w:eastAsia="宋体" w:cs="Times New Roman"/>
          <w:b/>
          <w:bCs/>
          <w:kern w:val="2"/>
          <w:sz w:val="20"/>
          <w:szCs w:val="20"/>
          <w:lang w:val="en-US" w:eastAsia="zh-CN" w:bidi="ar"/>
        </w:rPr>
      </w:pPr>
      <w:r>
        <w:rPr>
          <w:rFonts w:hint="eastAsia" w:eastAsia="宋体" w:cs="Times New Roman"/>
          <w:b/>
          <w:bCs/>
          <w:kern w:val="2"/>
          <w:sz w:val="20"/>
          <w:szCs w:val="20"/>
          <w:lang w:val="en-US" w:eastAsia="zh-CN" w:bidi="ar"/>
        </w:rPr>
        <w:t>Observation 4: If msg1 identification is not supported and msg3 PUSCH should be within 5MHz, legacy NR UE during initial access may be impacted.</w:t>
      </w:r>
    </w:p>
    <w:p>
      <w:pPr>
        <w:keepNext w:val="0"/>
        <w:keepLines w:val="0"/>
        <w:widowControl/>
        <w:numPr>
          <w:ilvl w:val="0"/>
          <w:numId w:val="0"/>
        </w:numPr>
        <w:suppressLineNumbers w:val="0"/>
        <w:spacing w:before="0" w:beforeAutospacing="0" w:after="180" w:afterAutospacing="0"/>
        <w:ind w:right="0" w:rightChars="0"/>
        <w:jc w:val="both"/>
        <w:rPr>
          <w:rFonts w:hint="eastAsia" w:eastAsia="宋体" w:cs="Times New Roman"/>
          <w:kern w:val="2"/>
          <w:sz w:val="20"/>
          <w:szCs w:val="20"/>
          <w:lang w:val="en-US" w:eastAsia="zh-CN" w:bidi="ar"/>
        </w:rPr>
      </w:pPr>
      <w:r>
        <w:rPr>
          <w:rFonts w:hint="default" w:ascii="Times New Roman" w:hAnsi="Times New Roman" w:eastAsia="宋体" w:cs="Times New Roman"/>
          <w:kern w:val="2"/>
          <w:sz w:val="20"/>
          <w:szCs w:val="20"/>
          <w:lang w:val="en-US" w:eastAsia="zh-CN" w:bidi="ar"/>
        </w:rPr>
        <w:t>For downlink, the gNB may configure Msg4 with bandwidth more than 5MHz for Rel-18 RedCap UEs during initial access</w:t>
      </w:r>
      <w:r>
        <w:rPr>
          <w:rFonts w:hint="eastAsia" w:eastAsia="宋体" w:cs="Times New Roman"/>
          <w:kern w:val="2"/>
          <w:sz w:val="20"/>
          <w:szCs w:val="20"/>
          <w:lang w:val="en-US" w:eastAsia="zh-CN" w:bidi="ar"/>
        </w:rPr>
        <w:t xml:space="preserve"> without early indication</w:t>
      </w:r>
      <w:r>
        <w:rPr>
          <w:rFonts w:hint="default" w:ascii="Times New Roman" w:hAnsi="Times New Roman" w:eastAsia="宋体" w:cs="Times New Roman"/>
          <w:kern w:val="2"/>
          <w:sz w:val="20"/>
          <w:szCs w:val="20"/>
          <w:lang w:val="en-US" w:eastAsia="zh-CN" w:bidi="ar"/>
        </w:rPr>
        <w:t>. In this case, for the Rel-18 RedCap UE with 5MHz bandwidth post-FFT buffering, the Msg4 performance will degrade due to incomplete PDSCH reception. And for the Rel-18 RedCap UE with 20MHz bandwidth post-FFT buffering, UE processing latency will increase</w:t>
      </w:r>
      <w:r>
        <w:rPr>
          <w:rFonts w:hint="eastAsia" w:eastAsia="宋体" w:cs="Times New Roman"/>
          <w:kern w:val="2"/>
          <w:sz w:val="20"/>
          <w:szCs w:val="20"/>
          <w:lang w:val="en-US" w:eastAsia="zh-CN" w:bidi="ar"/>
        </w:rPr>
        <w:t xml:space="preserve"> and may impact the PUCCH feedback</w:t>
      </w:r>
      <w:r>
        <w:rPr>
          <w:rFonts w:hint="default" w:ascii="Times New Roman" w:hAnsi="Times New Roman" w:eastAsia="宋体" w:cs="Times New Roman"/>
          <w:kern w:val="2"/>
          <w:sz w:val="20"/>
          <w:szCs w:val="20"/>
          <w:lang w:val="en-US" w:eastAsia="zh-CN" w:bidi="ar"/>
        </w:rPr>
        <w:t>.</w:t>
      </w:r>
      <w:r>
        <w:rPr>
          <w:rFonts w:hint="eastAsia" w:eastAsia="宋体" w:cs="Times New Roman"/>
          <w:kern w:val="2"/>
          <w:sz w:val="20"/>
          <w:szCs w:val="20"/>
          <w:lang w:val="en-US" w:eastAsia="zh-CN" w:bidi="ar"/>
        </w:rPr>
        <w:t xml:space="preserve"> Considering msg3 identification would not bring much spec impacts and overhead, it could be a potential way to achieve early indication.</w:t>
      </w:r>
    </w:p>
    <w:p>
      <w:pPr>
        <w:keepNext w:val="0"/>
        <w:keepLines w:val="0"/>
        <w:widowControl/>
        <w:suppressLineNumbers w:val="0"/>
        <w:spacing w:before="0" w:beforeAutospacing="0" w:after="180" w:afterAutospacing="0"/>
        <w:ind w:left="0" w:right="0"/>
        <w:jc w:val="both"/>
        <w:rPr>
          <w:rFonts w:hint="default" w:eastAsia="宋体" w:cs="Times New Roman"/>
          <w:b/>
          <w:bCs/>
          <w:kern w:val="2"/>
          <w:sz w:val="20"/>
          <w:szCs w:val="20"/>
          <w:lang w:val="en-US" w:eastAsia="zh-CN" w:bidi="ar"/>
        </w:rPr>
      </w:pPr>
      <w:r>
        <w:rPr>
          <w:rFonts w:hint="eastAsia" w:eastAsia="宋体" w:cs="Times New Roman"/>
          <w:b/>
          <w:bCs/>
          <w:kern w:val="2"/>
          <w:sz w:val="20"/>
          <w:szCs w:val="20"/>
          <w:lang w:val="en-US" w:eastAsia="zh-CN" w:bidi="ar"/>
        </w:rPr>
        <w:t>Observation 5: With msg3 identification, the scheduling bandwidth after msg3 could be within 5MHz to avoid the impacts on legacy NR UE.</w:t>
      </w:r>
    </w:p>
    <w:p>
      <w:pPr>
        <w:rPr>
          <w:rFonts w:hint="eastAsia" w:eastAsia="宋体" w:cs="Times New Roman"/>
          <w:kern w:val="2"/>
          <w:sz w:val="20"/>
          <w:szCs w:val="20"/>
          <w:lang w:val="en-US" w:eastAsia="zh-CN" w:bidi="ar"/>
        </w:rPr>
      </w:pPr>
      <w:r>
        <w:rPr>
          <w:rFonts w:hint="eastAsia" w:eastAsia="宋体" w:cs="Times New Roman"/>
          <w:kern w:val="2"/>
          <w:sz w:val="20"/>
          <w:szCs w:val="20"/>
          <w:lang w:val="en-US" w:eastAsia="zh-CN" w:bidi="ar"/>
        </w:rPr>
        <w:t xml:space="preserve">Therefore, at least, early indication should be supported. </w:t>
      </w:r>
    </w:p>
    <w:p>
      <w:pPr>
        <w:rPr>
          <w:rFonts w:hint="eastAsia" w:eastAsia="宋体" w:cs="Times New Roman"/>
          <w:kern w:val="2"/>
          <w:sz w:val="20"/>
          <w:szCs w:val="20"/>
          <w:lang w:val="en-US" w:eastAsia="zh-CN" w:bidi="ar"/>
        </w:rPr>
      </w:pPr>
      <w:r>
        <w:rPr>
          <w:rFonts w:hint="eastAsia" w:eastAsia="宋体" w:cs="Times New Roman"/>
          <w:b/>
          <w:bCs/>
          <w:kern w:val="2"/>
          <w:sz w:val="20"/>
          <w:szCs w:val="20"/>
          <w:lang w:val="en-US" w:eastAsia="zh-CN" w:bidi="ar"/>
        </w:rPr>
        <w:t>Proposal 3: Separate early indication for Rel-18 RedCap UE should be supported</w:t>
      </w:r>
      <w:r>
        <w:rPr>
          <w:rFonts w:hint="eastAsia" w:eastAsia="宋体" w:cs="Times New Roman"/>
          <w:kern w:val="2"/>
          <w:sz w:val="20"/>
          <w:szCs w:val="20"/>
          <w:lang w:val="en-US" w:eastAsia="zh-CN" w:bidi="ar"/>
        </w:rPr>
        <w:t>.</w:t>
      </w:r>
    </w:p>
    <w:p>
      <w:pPr>
        <w:rPr>
          <w:rFonts w:hint="eastAsia" w:eastAsia="宋体" w:cs="Times New Roman"/>
          <w:kern w:val="2"/>
          <w:sz w:val="20"/>
          <w:szCs w:val="20"/>
          <w:lang w:val="en-US" w:eastAsia="zh-CN" w:bidi="ar"/>
        </w:rPr>
      </w:pPr>
      <w:r>
        <w:rPr>
          <w:rFonts w:hint="eastAsia" w:eastAsia="宋体" w:cs="Times New Roman"/>
          <w:kern w:val="2"/>
          <w:sz w:val="20"/>
          <w:szCs w:val="20"/>
          <w:lang w:val="en-US" w:eastAsia="zh-CN" w:bidi="ar"/>
        </w:rPr>
        <w:t>Similar as Rel-17 RedCap UE early indication, the following text can be added for Rel-18 RedCap WI scope.</w:t>
      </w:r>
    </w:p>
    <w:p>
      <w:pPr>
        <w:pStyle w:val="63"/>
        <w:numPr>
          <w:ilvl w:val="0"/>
          <w:numId w:val="5"/>
        </w:numPr>
        <w:jc w:val="both"/>
        <w:rPr>
          <w:rFonts w:eastAsia="宋体"/>
          <w:bCs/>
          <w:lang w:eastAsia="ja-JP"/>
        </w:rPr>
      </w:pPr>
      <w:r>
        <w:rPr>
          <w:rFonts w:eastAsia="宋体"/>
          <w:bCs/>
          <w:lang w:eastAsia="ja-JP"/>
        </w:rPr>
        <w:t xml:space="preserve">Specify functionality that will enable </w:t>
      </w:r>
      <w:r>
        <w:rPr>
          <w:rFonts w:hint="eastAsia" w:eastAsia="宋体"/>
          <w:bCs/>
          <w:lang w:val="en-US" w:eastAsia="zh-CN"/>
        </w:rPr>
        <w:t xml:space="preserve">Rel-18 </w:t>
      </w:r>
      <w:r>
        <w:rPr>
          <w:rFonts w:eastAsia="宋体"/>
          <w:bCs/>
          <w:lang w:eastAsia="ja-JP"/>
        </w:rPr>
        <w:t>RedCap UEs to be explicitly identifiable to networks through an early indication in Msg1 and/or Msg3, and Msg A if supported. [RAN2, RAN1]</w:t>
      </w:r>
    </w:p>
    <w:p>
      <w:pPr>
        <w:rPr>
          <w:rFonts w:eastAsia="宋体"/>
          <w:lang w:val="en-US" w:eastAsia="zh-CN"/>
        </w:rPr>
      </w:pPr>
    </w:p>
    <w:p>
      <w:pPr>
        <w:pStyle w:val="2"/>
        <w:spacing w:beforeLines="0" w:after="180" w:afterLines="50"/>
      </w:pPr>
      <w:r>
        <w:rPr>
          <w:rFonts w:hint="eastAsia"/>
        </w:rPr>
        <w:t>Conclusion</w:t>
      </w:r>
    </w:p>
    <w:p>
      <w:pPr>
        <w:rPr>
          <w:rFonts w:hint="eastAsia" w:eastAsia="宋体"/>
          <w:lang w:val="en-US" w:eastAsia="zh-CN"/>
        </w:rPr>
      </w:pPr>
      <w:r>
        <w:rPr>
          <w:rFonts w:hint="eastAsia" w:eastAsia="宋体"/>
          <w:lang w:val="en-US" w:eastAsia="zh-CN"/>
        </w:rPr>
        <w:t>For the target peak data rate, we give the following observations and proposals. And an example for WID text modification is also suggested to be considered in justification part.</w:t>
      </w:r>
    </w:p>
    <w:p>
      <w:pPr>
        <w:rPr>
          <w:rFonts w:hint="default" w:eastAsia="宋体"/>
          <w:b/>
          <w:bCs/>
          <w:lang w:val="en-US" w:eastAsia="zh-CN"/>
        </w:rPr>
      </w:pPr>
      <w:r>
        <w:rPr>
          <w:rFonts w:hint="eastAsia" w:eastAsia="宋体"/>
          <w:b/>
          <w:bCs/>
          <w:lang w:val="en-US" w:eastAsia="zh-CN"/>
        </w:rPr>
        <w:t>Observation 1: Market gap between LPWA and Rel-18 RedCap still exists.</w:t>
      </w:r>
    </w:p>
    <w:p>
      <w:pPr>
        <w:rPr>
          <w:rFonts w:hint="default" w:eastAsia="宋体"/>
          <w:b/>
          <w:bCs/>
          <w:lang w:val="en-US" w:eastAsia="zh-CN"/>
        </w:rPr>
      </w:pPr>
      <w:r>
        <w:rPr>
          <w:rFonts w:hint="eastAsia" w:eastAsia="宋体"/>
          <w:b/>
          <w:bCs/>
          <w:lang w:val="en-US" w:eastAsia="zh-CN"/>
        </w:rPr>
        <w:t xml:space="preserve">Observation 2: The peak data rate of 10Mbps is much larger than the Rel-18 RedCap UE requirement especially for the target Rel-18 uses cases, i.e., industrial sensors. </w:t>
      </w:r>
    </w:p>
    <w:p>
      <w:pPr>
        <w:rPr>
          <w:rFonts w:hint="eastAsia" w:eastAsia="宋体"/>
          <w:b/>
          <w:bCs/>
          <w:lang w:val="en-US" w:eastAsia="zh-CN"/>
        </w:rPr>
      </w:pPr>
      <w:r>
        <w:rPr>
          <w:rFonts w:hint="eastAsia" w:eastAsia="宋体"/>
          <w:b/>
          <w:bCs/>
          <w:lang w:val="en-US" w:eastAsia="zh-CN"/>
        </w:rPr>
        <w:t xml:space="preserve">Observation 3: </w:t>
      </w:r>
    </w:p>
    <w:p>
      <w:pPr>
        <w:numPr>
          <w:ilvl w:val="0"/>
          <w:numId w:val="7"/>
        </w:numPr>
        <w:ind w:left="420" w:leftChars="0" w:hanging="420" w:firstLineChars="0"/>
        <w:rPr>
          <w:rFonts w:hint="eastAsia" w:eastAsia="宋体"/>
          <w:b/>
          <w:bCs/>
          <w:lang w:val="en-US" w:eastAsia="zh-CN"/>
        </w:rPr>
      </w:pPr>
      <w:r>
        <w:rPr>
          <w:rFonts w:hint="eastAsia" w:eastAsia="宋体"/>
          <w:b/>
          <w:bCs/>
          <w:lang w:val="en-US" w:eastAsia="zh-CN"/>
        </w:rPr>
        <w:t>Compared with PR3 and based on 10Mbps peak data rate, PR1 can provide additional complexity reduction by 0.22% and 0.31% for FDD 1Rx and for TDD 1Rx respectively.</w:t>
      </w:r>
    </w:p>
    <w:p>
      <w:pPr>
        <w:numPr>
          <w:ilvl w:val="0"/>
          <w:numId w:val="7"/>
        </w:numPr>
        <w:ind w:left="420" w:leftChars="0" w:hanging="420" w:firstLineChars="0"/>
        <w:rPr>
          <w:rFonts w:hint="eastAsia" w:eastAsia="宋体"/>
          <w:b/>
          <w:bCs/>
          <w:lang w:val="en-US" w:eastAsia="zh-CN"/>
        </w:rPr>
      </w:pPr>
      <w:r>
        <w:rPr>
          <w:rFonts w:hint="eastAsia" w:eastAsia="宋体"/>
          <w:b/>
          <w:bCs/>
          <w:lang w:val="en-US" w:eastAsia="zh-CN"/>
        </w:rPr>
        <w:t>Compared with PR3 and based on 6Mbps peak data rate, PR1 can provide additional complexity reduction by 0.9 % and 1.01 % for FDD 1Rx and for TDD 1Rx respectively.</w:t>
      </w:r>
    </w:p>
    <w:p>
      <w:pPr>
        <w:numPr>
          <w:ilvl w:val="0"/>
          <w:numId w:val="7"/>
        </w:numPr>
        <w:ind w:left="420" w:leftChars="0" w:hanging="420" w:firstLineChars="0"/>
        <w:rPr>
          <w:rFonts w:hint="eastAsia" w:eastAsia="宋体"/>
          <w:b/>
          <w:bCs/>
          <w:lang w:val="en-US" w:eastAsia="zh-CN"/>
        </w:rPr>
      </w:pPr>
      <w:r>
        <w:rPr>
          <w:rFonts w:hint="eastAsia" w:eastAsia="宋体"/>
          <w:b/>
          <w:bCs/>
          <w:lang w:val="en-US" w:eastAsia="zh-CN"/>
        </w:rPr>
        <w:t>Based on PR3, the additional complexity reduction brought by 6Mbps peak data rate for PR1 is 3 times larger than that by 10Mbps peak data rate.</w:t>
      </w:r>
    </w:p>
    <w:p>
      <w:pPr>
        <w:rPr>
          <w:rFonts w:hint="default" w:eastAsia="宋体"/>
          <w:b/>
          <w:bCs/>
          <w:lang w:val="en-US" w:eastAsia="zh-CN"/>
        </w:rPr>
      </w:pPr>
      <w:r>
        <w:rPr>
          <w:rFonts w:hint="eastAsia" w:eastAsia="宋体"/>
          <w:b/>
          <w:bCs/>
          <w:lang w:val="en-US" w:eastAsia="zh-CN"/>
        </w:rPr>
        <w:t>Proposal 1: For some uses cases, e.g., industrial sensors, discuss whether the peak date rate can be lower than 10Mbps.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keepNext w:val="0"/>
              <w:keepLines w:val="0"/>
              <w:widowControl/>
              <w:suppressLineNumbers w:val="0"/>
              <w:spacing w:before="0" w:beforeAutospacing="0" w:afterAutospacing="0"/>
              <w:ind w:left="0" w:right="0"/>
              <w:rPr>
                <w:rFonts w:hint="default" w:eastAsia="宋体"/>
                <w:b/>
                <w:bCs/>
                <w:sz w:val="20"/>
                <w:szCs w:val="20"/>
                <w:vertAlign w:val="baseline"/>
                <w:lang w:val="en-US" w:eastAsia="zh-CN"/>
              </w:rPr>
            </w:pPr>
            <w:r>
              <w:rPr>
                <w:rFonts w:hint="default" w:eastAsia="Times New Roman"/>
                <w:sz w:val="20"/>
                <w:szCs w:val="20"/>
              </w:rPr>
              <w:t xml:space="preserve">Rel-18 RedCap should provide NR support for low-tier devices between existing LPWA UEs and the capabilities of Rel-17 RedCap UEs. The supported peak data rate for Rel-18 RedCap targets </w:t>
            </w:r>
            <w:r>
              <w:rPr>
                <w:rFonts w:hint="eastAsia" w:eastAsia="宋体"/>
                <w:color w:val="FF0000"/>
                <w:sz w:val="20"/>
                <w:szCs w:val="20"/>
                <w:lang w:val="en-US" w:eastAsia="zh-CN"/>
              </w:rPr>
              <w:t xml:space="preserve">up </w:t>
            </w:r>
            <w:r>
              <w:rPr>
                <w:rFonts w:hint="default" w:eastAsia="Times New Roman"/>
                <w:sz w:val="20"/>
                <w:szCs w:val="20"/>
              </w:rPr>
              <w:t xml:space="preserve">to 10Mbps. Rel-18 RedCap should not overlap with existing LPWA solutions. </w:t>
            </w:r>
          </w:p>
        </w:tc>
      </w:tr>
    </w:tbl>
    <w:p>
      <w:pPr>
        <w:rPr>
          <w:rFonts w:eastAsia="宋体"/>
          <w:lang w:val="en-US" w:eastAsia="zh-CN"/>
        </w:rPr>
      </w:pPr>
    </w:p>
    <w:p>
      <w:pPr>
        <w:rPr>
          <w:rFonts w:eastAsia="宋体"/>
          <w:lang w:val="en-US" w:eastAsia="zh-CN"/>
        </w:rPr>
      </w:pPr>
    </w:p>
    <w:p>
      <w:pPr>
        <w:rPr>
          <w:rFonts w:hint="eastAsia" w:eastAsia="宋体"/>
          <w:lang w:val="en-US" w:eastAsia="zh-CN"/>
        </w:rPr>
      </w:pPr>
      <w:r>
        <w:rPr>
          <w:rFonts w:hint="eastAsia" w:eastAsia="宋体"/>
          <w:lang w:val="en-US" w:eastAsia="zh-CN"/>
        </w:rPr>
        <w:t>For the standalone PR1 or add-on PR1, we have the following proposal:</w:t>
      </w:r>
    </w:p>
    <w:p>
      <w:pPr>
        <w:keepNext w:val="0"/>
        <w:keepLines w:val="0"/>
        <w:widowControl/>
        <w:suppressLineNumbers w:val="0"/>
        <w:spacing w:before="0" w:beforeAutospacing="0" w:after="180" w:afterAutospacing="0"/>
        <w:ind w:left="0" w:right="0"/>
        <w:jc w:val="both"/>
        <w:rPr>
          <w:rFonts w:hint="default" w:ascii="Times New Roman" w:hAnsi="Times New Roman" w:eastAsia="宋体" w:cs="Times New Roman"/>
          <w:b/>
          <w:i w:val="0"/>
          <w:iCs/>
          <w:kern w:val="0"/>
          <w:sz w:val="20"/>
          <w:szCs w:val="20"/>
          <w:lang w:val="en-US" w:eastAsia="zh-CN" w:bidi="ar"/>
        </w:rPr>
      </w:pPr>
      <w:r>
        <w:rPr>
          <w:rFonts w:hint="default" w:ascii="Times New Roman" w:hAnsi="Times New Roman" w:eastAsia="宋体" w:cs="Times New Roman"/>
          <w:b/>
          <w:i w:val="0"/>
          <w:iCs/>
          <w:kern w:val="0"/>
          <w:sz w:val="20"/>
          <w:szCs w:val="20"/>
          <w:lang w:val="en-US" w:eastAsia="zh-CN" w:bidi="ar"/>
        </w:rPr>
        <w:t xml:space="preserve">Proposal </w:t>
      </w:r>
      <w:r>
        <w:rPr>
          <w:rFonts w:hint="eastAsia" w:eastAsia="宋体" w:cs="Times New Roman"/>
          <w:b/>
          <w:i w:val="0"/>
          <w:iCs/>
          <w:kern w:val="0"/>
          <w:sz w:val="20"/>
          <w:szCs w:val="20"/>
          <w:lang w:val="en-US" w:eastAsia="zh-CN" w:bidi="ar"/>
        </w:rPr>
        <w:t>2</w:t>
      </w:r>
      <w:r>
        <w:rPr>
          <w:rFonts w:hint="default" w:ascii="Times New Roman" w:hAnsi="Times New Roman" w:eastAsia="宋体" w:cs="Times New Roman"/>
          <w:b/>
          <w:i w:val="0"/>
          <w:iCs/>
          <w:kern w:val="0"/>
          <w:sz w:val="20"/>
          <w:szCs w:val="20"/>
          <w:lang w:val="en-US" w:eastAsia="zh-CN" w:bidi="ar"/>
        </w:rPr>
        <w:t>: UE peak data rate reduction is not supported as a standalone feature.</w:t>
      </w:r>
    </w:p>
    <w:p>
      <w:pPr>
        <w:bidi w:val="0"/>
        <w:rPr>
          <w:rFonts w:hint="eastAsia"/>
          <w:lang w:val="en-US" w:eastAsia="zh-CN"/>
        </w:rPr>
      </w:pPr>
    </w:p>
    <w:p>
      <w:pPr>
        <w:bidi w:val="0"/>
        <w:rPr>
          <w:rFonts w:hint="default"/>
          <w:lang w:val="en-US" w:eastAsia="zh-CN"/>
        </w:rPr>
      </w:pPr>
      <w:r>
        <w:rPr>
          <w:rFonts w:hint="eastAsia"/>
          <w:lang w:val="en-US" w:eastAsia="zh-CN"/>
        </w:rPr>
        <w:t>For the early indication, we have following observations and proposals. And an example WID text is suggested to be added in objective part.</w:t>
      </w:r>
    </w:p>
    <w:p>
      <w:pPr>
        <w:keepNext w:val="0"/>
        <w:keepLines w:val="0"/>
        <w:widowControl/>
        <w:suppressLineNumbers w:val="0"/>
        <w:spacing w:before="0" w:beforeAutospacing="0" w:after="180" w:afterAutospacing="0"/>
        <w:ind w:left="0" w:right="0"/>
        <w:jc w:val="both"/>
        <w:rPr>
          <w:rFonts w:hint="eastAsia" w:eastAsia="宋体" w:cs="Times New Roman"/>
          <w:b/>
          <w:bCs/>
          <w:kern w:val="2"/>
          <w:sz w:val="20"/>
          <w:szCs w:val="20"/>
          <w:lang w:val="en-US" w:eastAsia="zh-CN" w:bidi="ar"/>
        </w:rPr>
      </w:pPr>
      <w:r>
        <w:rPr>
          <w:rFonts w:hint="eastAsia" w:eastAsia="宋体" w:cs="Times New Roman"/>
          <w:b/>
          <w:bCs/>
          <w:kern w:val="2"/>
          <w:sz w:val="20"/>
          <w:szCs w:val="20"/>
          <w:lang w:val="en-US" w:eastAsia="zh-CN" w:bidi="ar"/>
        </w:rPr>
        <w:t>Observation 4: If msg1 identification is not supported and msg3 PUSCH should be within 5MHz, legacy NR UE during initial access may be impacted.</w:t>
      </w:r>
    </w:p>
    <w:p>
      <w:pPr>
        <w:keepNext w:val="0"/>
        <w:keepLines w:val="0"/>
        <w:widowControl/>
        <w:suppressLineNumbers w:val="0"/>
        <w:spacing w:before="0" w:beforeAutospacing="0" w:after="180" w:afterAutospacing="0"/>
        <w:ind w:left="0" w:right="0"/>
        <w:jc w:val="both"/>
        <w:rPr>
          <w:rFonts w:hint="default" w:eastAsia="宋体" w:cs="Times New Roman"/>
          <w:b/>
          <w:bCs/>
          <w:kern w:val="2"/>
          <w:sz w:val="20"/>
          <w:szCs w:val="20"/>
          <w:lang w:val="en-US" w:eastAsia="zh-CN" w:bidi="ar"/>
        </w:rPr>
      </w:pPr>
      <w:r>
        <w:rPr>
          <w:rFonts w:hint="eastAsia" w:eastAsia="宋体" w:cs="Times New Roman"/>
          <w:b/>
          <w:bCs/>
          <w:kern w:val="2"/>
          <w:sz w:val="20"/>
          <w:szCs w:val="20"/>
          <w:lang w:val="en-US" w:eastAsia="zh-CN" w:bidi="ar"/>
        </w:rPr>
        <w:t>Observation 5: With msg3 identification, the scheduling bandwidth after msg3 could be within 5MHz to avoid the impacts on legacy NR UE.</w:t>
      </w:r>
    </w:p>
    <w:p>
      <w:pPr>
        <w:rPr>
          <w:rFonts w:hint="eastAsia" w:eastAsia="宋体" w:cs="Times New Roman"/>
          <w:kern w:val="2"/>
          <w:sz w:val="20"/>
          <w:szCs w:val="20"/>
          <w:lang w:val="en-US" w:eastAsia="zh-CN" w:bidi="ar"/>
        </w:rPr>
      </w:pPr>
      <w:r>
        <w:rPr>
          <w:rFonts w:hint="eastAsia" w:eastAsia="宋体" w:cs="Times New Roman"/>
          <w:b/>
          <w:bCs/>
          <w:kern w:val="2"/>
          <w:sz w:val="20"/>
          <w:szCs w:val="20"/>
          <w:lang w:val="en-US" w:eastAsia="zh-CN" w:bidi="ar"/>
        </w:rPr>
        <w:t>Proposal 3: Separate early indication for Rel-18 RedCap UE should be supported</w:t>
      </w:r>
      <w:r>
        <w:rPr>
          <w:rFonts w:hint="eastAsia" w:eastAsia="宋体" w:cs="Times New Roman"/>
          <w:kern w:val="2"/>
          <w:sz w:val="20"/>
          <w:szCs w:val="20"/>
          <w:lang w:val="en-US" w:eastAsia="zh-CN" w:bidi="ar"/>
        </w:rPr>
        <w:t>.</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pStyle w:val="63"/>
              <w:keepNext w:val="0"/>
              <w:keepLines w:val="0"/>
              <w:widowControl/>
              <w:numPr>
                <w:ilvl w:val="0"/>
                <w:numId w:val="5"/>
              </w:numPr>
              <w:suppressLineNumbers w:val="0"/>
              <w:spacing w:before="0" w:beforeAutospacing="0" w:afterAutospacing="0"/>
              <w:ind w:right="0"/>
              <w:jc w:val="both"/>
              <w:rPr>
                <w:rFonts w:hint="default" w:eastAsia="宋体"/>
                <w:sz w:val="20"/>
                <w:szCs w:val="20"/>
                <w:vertAlign w:val="baseline"/>
                <w:lang w:val="en-US" w:eastAsia="zh-CN"/>
              </w:rPr>
            </w:pPr>
            <w:bookmarkStart w:id="3" w:name="_GoBack"/>
            <w:bookmarkEnd w:id="3"/>
            <w:r>
              <w:rPr>
                <w:rFonts w:hint="default" w:eastAsia="宋体"/>
                <w:bCs/>
                <w:sz w:val="20"/>
                <w:szCs w:val="20"/>
                <w:lang w:eastAsia="ja-JP"/>
              </w:rPr>
              <w:t xml:space="preserve">Specify functionality that will enable </w:t>
            </w:r>
            <w:r>
              <w:rPr>
                <w:rFonts w:hint="eastAsia" w:eastAsia="宋体"/>
                <w:bCs/>
                <w:sz w:val="20"/>
                <w:szCs w:val="20"/>
                <w:lang w:val="en-US" w:eastAsia="zh-CN"/>
              </w:rPr>
              <w:t xml:space="preserve">Rel-18 </w:t>
            </w:r>
            <w:r>
              <w:rPr>
                <w:rFonts w:hint="default" w:eastAsia="宋体"/>
                <w:bCs/>
                <w:sz w:val="20"/>
                <w:szCs w:val="20"/>
                <w:lang w:eastAsia="ja-JP"/>
              </w:rPr>
              <w:t>RedCap UEs to be explicitly identifiable to networks through an early indication in Msg1 and/or Msg3, and Msg A if supported. [RAN2, RAN1]</w:t>
            </w:r>
          </w:p>
        </w:tc>
      </w:tr>
    </w:tbl>
    <w:p>
      <w:pPr>
        <w:rPr>
          <w:rFonts w:eastAsia="宋体"/>
          <w:lang w:val="en-US" w:eastAsia="zh-CN"/>
        </w:rPr>
      </w:pPr>
    </w:p>
    <w:p>
      <w:pPr>
        <w:rPr>
          <w:rFonts w:eastAsia="宋体"/>
          <w:lang w:val="en-US" w:eastAsia="zh-CN"/>
        </w:rPr>
      </w:pPr>
    </w:p>
    <w:p>
      <w:pPr>
        <w:pStyle w:val="2"/>
        <w:spacing w:before="180"/>
      </w:pPr>
      <w:r>
        <w:rPr>
          <w:rFonts w:hint="eastAsia"/>
        </w:rPr>
        <w:t>R</w:t>
      </w:r>
      <w:r>
        <w:t>eference</w:t>
      </w:r>
    </w:p>
    <w:p>
      <w:pPr>
        <w:pStyle w:val="109"/>
        <w:numPr>
          <w:ilvl w:val="0"/>
          <w:numId w:val="8"/>
        </w:numPr>
        <w:rPr>
          <w:rFonts w:hint="eastAsia"/>
          <w:szCs w:val="15"/>
          <w:lang w:eastAsia="zh-CN"/>
        </w:rPr>
      </w:pPr>
      <w:r>
        <w:rPr>
          <w:rFonts w:hint="eastAsia"/>
          <w:szCs w:val="15"/>
          <w:lang w:eastAsia="zh-CN"/>
        </w:rPr>
        <w:t xml:space="preserve"> </w:t>
      </w:r>
      <w:r>
        <w:rPr>
          <w:szCs w:val="15"/>
          <w:lang w:eastAsia="zh-CN"/>
        </w:rPr>
        <w:t>RP-222</w:t>
      </w:r>
      <w:r>
        <w:rPr>
          <w:rFonts w:hint="eastAsia"/>
          <w:szCs w:val="15"/>
          <w:lang w:val="en-US" w:eastAsia="zh-CN"/>
        </w:rPr>
        <w:t>675</w:t>
      </w:r>
      <w:r>
        <w:rPr>
          <w:rFonts w:hint="eastAsia"/>
          <w:szCs w:val="15"/>
          <w:lang w:eastAsia="zh-CN"/>
        </w:rPr>
        <w:t xml:space="preserve">, New WID on enhanced support of reduced capability NR devices, </w:t>
      </w:r>
      <w:r>
        <w:rPr>
          <w:rFonts w:hint="eastAsia"/>
          <w:szCs w:val="15"/>
          <w:lang w:val="en-US" w:eastAsia="zh-CN"/>
        </w:rPr>
        <w:t xml:space="preserve">RAN #97e, </w:t>
      </w:r>
      <w:r>
        <w:rPr>
          <w:rFonts w:hint="eastAsia"/>
          <w:szCs w:val="15"/>
          <w:lang w:eastAsia="zh-CN"/>
        </w:rPr>
        <w:t>Ericsson</w:t>
      </w:r>
    </w:p>
    <w:p>
      <w:pPr>
        <w:pStyle w:val="109"/>
        <w:numPr>
          <w:ilvl w:val="0"/>
          <w:numId w:val="8"/>
        </w:numPr>
        <w:rPr>
          <w:rFonts w:hint="eastAsia"/>
          <w:szCs w:val="15"/>
          <w:lang w:eastAsia="ja-JP"/>
        </w:rPr>
      </w:pPr>
      <w:r>
        <w:rPr>
          <w:rFonts w:hint="eastAsia"/>
          <w:szCs w:val="15"/>
          <w:lang w:val="en-US" w:eastAsia="zh-CN"/>
        </w:rPr>
        <w:t xml:space="preserve"> </w:t>
      </w:r>
      <w:r>
        <w:rPr>
          <w:rFonts w:hint="eastAsia"/>
          <w:szCs w:val="15"/>
          <w:lang w:eastAsia="ja-JP"/>
        </w:rPr>
        <w:t>RP-211574</w:t>
      </w:r>
      <w:r>
        <w:rPr>
          <w:rFonts w:hint="eastAsia"/>
          <w:szCs w:val="15"/>
          <w:lang w:val="en-US" w:eastAsia="zh-CN"/>
        </w:rPr>
        <w:t>, Revised WID on support of reduced capability NR devices, RAN #92e, Ericsson</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6" w:usb3="00000000" w:csb0="00040001"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7</w:t>
    </w:r>
    <w:r>
      <w:rPr>
        <w:lang w:val="en-US" w:eastAsia="zh-CN"/>
      </w:rPr>
      <w:fldChar w:fldCharType="end"/>
    </w:r>
  </w:p>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D22D6"/>
    <w:multiLevelType w:val="singleLevel"/>
    <w:tmpl w:val="004D22D6"/>
    <w:lvl w:ilvl="0" w:tentative="0">
      <w:start w:val="1"/>
      <w:numFmt w:val="decimal"/>
      <w:suff w:val="space"/>
      <w:lvlText w:val="[%1]"/>
      <w:lvlJc w:val="left"/>
    </w:lvl>
  </w:abstractNum>
  <w:abstractNum w:abstractNumId="1">
    <w:nsid w:val="0CEE214E"/>
    <w:multiLevelType w:val="singleLevel"/>
    <w:tmpl w:val="0CEE214E"/>
    <w:lvl w:ilvl="0" w:tentative="0">
      <w:start w:val="1"/>
      <w:numFmt w:val="bullet"/>
      <w:lvlText w:val=""/>
      <w:lvlJc w:val="left"/>
      <w:pPr>
        <w:ind w:left="420" w:leftChars="0" w:hanging="420" w:firstLineChars="0"/>
      </w:pPr>
      <w:rPr>
        <w:rFonts w:hint="default" w:ascii="Symbol" w:hAnsi="Symbol" w:cs="Symbol"/>
      </w:rPr>
    </w:lvl>
  </w:abstractNum>
  <w:abstractNum w:abstractNumId="2">
    <w:nsid w:val="313173E2"/>
    <w:multiLevelType w:val="multilevel"/>
    <w:tmpl w:val="313173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877D64"/>
    <w:multiLevelType w:val="singleLevel"/>
    <w:tmpl w:val="3A877D64"/>
    <w:lvl w:ilvl="0" w:tentative="0">
      <w:start w:val="1"/>
      <w:numFmt w:val="decimal"/>
      <w:pStyle w:val="109"/>
      <w:lvlText w:val="[%1]"/>
      <w:lvlJc w:val="left"/>
      <w:pPr>
        <w:tabs>
          <w:tab w:val="left" w:pos="360"/>
        </w:tabs>
        <w:ind w:left="360" w:hanging="360"/>
      </w:pPr>
    </w:lvl>
  </w:abstractNum>
  <w:abstractNum w:abstractNumId="4">
    <w:nsid w:val="3E7675A8"/>
    <w:multiLevelType w:val="multilevel"/>
    <w:tmpl w:val="3E7675A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7">
    <w:nsid w:val="77B12593"/>
    <w:multiLevelType w:val="multilevel"/>
    <w:tmpl w:val="77B12593"/>
    <w:lvl w:ilvl="0" w:tentative="0">
      <w:start w:val="1"/>
      <w:numFmt w:val="bullet"/>
      <w:lvlText w:val=""/>
      <w:lvlJc w:val="left"/>
      <w:pPr>
        <w:ind w:left="720" w:hanging="360"/>
      </w:pPr>
      <w:rPr>
        <w:rFonts w:hint="default" w:ascii="Symbol" w:hAnsi="Symbol"/>
      </w:rPr>
    </w:lvl>
    <w:lvl w:ilvl="1" w:tentative="0">
      <w:start w:val="0"/>
      <w:numFmt w:val="bullet"/>
      <w:lvlText w:val="○"/>
      <w:lvlJc w:val="left"/>
      <w:pPr>
        <w:ind w:left="1440" w:hanging="360"/>
      </w:pPr>
      <w:rPr>
        <w:rFonts w:hint="eastAsia" w:ascii="宋体" w:hAnsi="宋体" w:eastAsia="宋体"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3"/>
  </w:num>
  <w:num w:numId="3">
    <w:abstractNumId w:val="5"/>
  </w:num>
  <w:num w:numId="4">
    <w:abstractNumId w:val="7"/>
  </w:num>
  <w:num w:numId="5">
    <w:abstractNumId w:val="2"/>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bordersDoNotSurroundHeader w:val="1"/>
  <w:bordersDoNotSurroundFooter w:val="1"/>
  <w:trackRevisions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2EB"/>
    <w:rsid w:val="00004ADA"/>
    <w:rsid w:val="00004CAD"/>
    <w:rsid w:val="00004CD6"/>
    <w:rsid w:val="00004D4A"/>
    <w:rsid w:val="00004FBC"/>
    <w:rsid w:val="000053D7"/>
    <w:rsid w:val="0000552C"/>
    <w:rsid w:val="00005F38"/>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292"/>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023"/>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92A"/>
    <w:rsid w:val="00043B8B"/>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983"/>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784"/>
    <w:rsid w:val="00074C4E"/>
    <w:rsid w:val="00074C9A"/>
    <w:rsid w:val="0007518A"/>
    <w:rsid w:val="00075737"/>
    <w:rsid w:val="00075A19"/>
    <w:rsid w:val="00075E90"/>
    <w:rsid w:val="00076E27"/>
    <w:rsid w:val="000770DD"/>
    <w:rsid w:val="000772A5"/>
    <w:rsid w:val="000772DE"/>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1D4"/>
    <w:rsid w:val="000A23F8"/>
    <w:rsid w:val="000A2423"/>
    <w:rsid w:val="000A3280"/>
    <w:rsid w:val="000A3E2A"/>
    <w:rsid w:val="000A3F47"/>
    <w:rsid w:val="000A3FB0"/>
    <w:rsid w:val="000A4702"/>
    <w:rsid w:val="000A4864"/>
    <w:rsid w:val="000A4EF4"/>
    <w:rsid w:val="000A5AFC"/>
    <w:rsid w:val="000A5B65"/>
    <w:rsid w:val="000A64AD"/>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CDB"/>
    <w:rsid w:val="000F3ED7"/>
    <w:rsid w:val="000F3EDC"/>
    <w:rsid w:val="000F3F8C"/>
    <w:rsid w:val="000F41EE"/>
    <w:rsid w:val="000F468B"/>
    <w:rsid w:val="000F4A0B"/>
    <w:rsid w:val="000F4E09"/>
    <w:rsid w:val="000F4FAF"/>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96"/>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07C"/>
    <w:rsid w:val="00115232"/>
    <w:rsid w:val="001154C7"/>
    <w:rsid w:val="00115F21"/>
    <w:rsid w:val="00115FDD"/>
    <w:rsid w:val="00116578"/>
    <w:rsid w:val="00116981"/>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3DC3"/>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1EE6"/>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EFE"/>
    <w:rsid w:val="00185151"/>
    <w:rsid w:val="001857DA"/>
    <w:rsid w:val="00185F9F"/>
    <w:rsid w:val="001864B7"/>
    <w:rsid w:val="00186B67"/>
    <w:rsid w:val="00186CC2"/>
    <w:rsid w:val="00187E71"/>
    <w:rsid w:val="0019006D"/>
    <w:rsid w:val="00190722"/>
    <w:rsid w:val="0019077D"/>
    <w:rsid w:val="00190864"/>
    <w:rsid w:val="00190A53"/>
    <w:rsid w:val="00190A72"/>
    <w:rsid w:val="00190B3B"/>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0D8"/>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77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F78"/>
    <w:rsid w:val="001D3067"/>
    <w:rsid w:val="001D3191"/>
    <w:rsid w:val="001D3369"/>
    <w:rsid w:val="001D3839"/>
    <w:rsid w:val="001D38A1"/>
    <w:rsid w:val="001D3BB9"/>
    <w:rsid w:val="001D3CC9"/>
    <w:rsid w:val="001D3EAA"/>
    <w:rsid w:val="001D3FB0"/>
    <w:rsid w:val="001D4052"/>
    <w:rsid w:val="001D43F4"/>
    <w:rsid w:val="001D4431"/>
    <w:rsid w:val="001D451C"/>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3DBB"/>
    <w:rsid w:val="001F44A2"/>
    <w:rsid w:val="001F4F77"/>
    <w:rsid w:val="001F4F95"/>
    <w:rsid w:val="001F5079"/>
    <w:rsid w:val="001F51F3"/>
    <w:rsid w:val="001F53E6"/>
    <w:rsid w:val="001F55DF"/>
    <w:rsid w:val="001F575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3D"/>
    <w:rsid w:val="002209FB"/>
    <w:rsid w:val="00220B3A"/>
    <w:rsid w:val="00220C41"/>
    <w:rsid w:val="00221023"/>
    <w:rsid w:val="00221460"/>
    <w:rsid w:val="00221536"/>
    <w:rsid w:val="0022156E"/>
    <w:rsid w:val="00221712"/>
    <w:rsid w:val="002220DA"/>
    <w:rsid w:val="00222A2A"/>
    <w:rsid w:val="00222AD2"/>
    <w:rsid w:val="00223D51"/>
    <w:rsid w:val="00224042"/>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157"/>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BDB"/>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C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6E5"/>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510"/>
    <w:rsid w:val="002839DE"/>
    <w:rsid w:val="00283A9E"/>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3C4"/>
    <w:rsid w:val="002A7E2B"/>
    <w:rsid w:val="002B06A7"/>
    <w:rsid w:val="002B0B53"/>
    <w:rsid w:val="002B0F02"/>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6B6"/>
    <w:rsid w:val="002C0981"/>
    <w:rsid w:val="002C0A82"/>
    <w:rsid w:val="002C10AE"/>
    <w:rsid w:val="002C1355"/>
    <w:rsid w:val="002C1581"/>
    <w:rsid w:val="002C1600"/>
    <w:rsid w:val="002C1F74"/>
    <w:rsid w:val="002C2127"/>
    <w:rsid w:val="002C285A"/>
    <w:rsid w:val="002C29A1"/>
    <w:rsid w:val="002C2C1D"/>
    <w:rsid w:val="002C3325"/>
    <w:rsid w:val="002C36E4"/>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C8"/>
    <w:rsid w:val="002D12EA"/>
    <w:rsid w:val="002D1406"/>
    <w:rsid w:val="002D19E5"/>
    <w:rsid w:val="002D1A5C"/>
    <w:rsid w:val="002D1D03"/>
    <w:rsid w:val="002D1E4E"/>
    <w:rsid w:val="002D26B8"/>
    <w:rsid w:val="002D2E92"/>
    <w:rsid w:val="002D346E"/>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B88"/>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0EF5"/>
    <w:rsid w:val="00351088"/>
    <w:rsid w:val="00351927"/>
    <w:rsid w:val="00351C6B"/>
    <w:rsid w:val="0035215A"/>
    <w:rsid w:val="0035244A"/>
    <w:rsid w:val="0035245C"/>
    <w:rsid w:val="003524E5"/>
    <w:rsid w:val="00352624"/>
    <w:rsid w:val="00352D9A"/>
    <w:rsid w:val="00352DAE"/>
    <w:rsid w:val="00353012"/>
    <w:rsid w:val="003533B2"/>
    <w:rsid w:val="00353599"/>
    <w:rsid w:val="00353B83"/>
    <w:rsid w:val="00353C67"/>
    <w:rsid w:val="00353EE1"/>
    <w:rsid w:val="003542A4"/>
    <w:rsid w:val="00354916"/>
    <w:rsid w:val="00354ACD"/>
    <w:rsid w:val="00354FDB"/>
    <w:rsid w:val="0035589D"/>
    <w:rsid w:val="00355BDB"/>
    <w:rsid w:val="00355F20"/>
    <w:rsid w:val="00356018"/>
    <w:rsid w:val="0035602B"/>
    <w:rsid w:val="003564FA"/>
    <w:rsid w:val="00356EC9"/>
    <w:rsid w:val="00357887"/>
    <w:rsid w:val="00360E12"/>
    <w:rsid w:val="0036153A"/>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3C3A"/>
    <w:rsid w:val="0037469E"/>
    <w:rsid w:val="00374737"/>
    <w:rsid w:val="00374B13"/>
    <w:rsid w:val="00374B77"/>
    <w:rsid w:val="00374BC1"/>
    <w:rsid w:val="00375296"/>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2C3E"/>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368"/>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DCD"/>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C43"/>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8F8"/>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1F12"/>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55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79F"/>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4"/>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03AC"/>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AA3"/>
    <w:rsid w:val="00467B9D"/>
    <w:rsid w:val="00467E69"/>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639"/>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735"/>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A9C"/>
    <w:rsid w:val="004E7CE9"/>
    <w:rsid w:val="004E7D7A"/>
    <w:rsid w:val="004F0035"/>
    <w:rsid w:val="004F0364"/>
    <w:rsid w:val="004F0551"/>
    <w:rsid w:val="004F0589"/>
    <w:rsid w:val="004F07EB"/>
    <w:rsid w:val="004F0A09"/>
    <w:rsid w:val="004F0E7F"/>
    <w:rsid w:val="004F0F7C"/>
    <w:rsid w:val="004F2231"/>
    <w:rsid w:val="004F24A8"/>
    <w:rsid w:val="004F294F"/>
    <w:rsid w:val="004F2B28"/>
    <w:rsid w:val="004F3897"/>
    <w:rsid w:val="004F3A52"/>
    <w:rsid w:val="004F40E9"/>
    <w:rsid w:val="004F41D1"/>
    <w:rsid w:val="004F4DC2"/>
    <w:rsid w:val="004F4DC4"/>
    <w:rsid w:val="004F522C"/>
    <w:rsid w:val="004F5772"/>
    <w:rsid w:val="004F5E3A"/>
    <w:rsid w:val="004F5EE3"/>
    <w:rsid w:val="004F5F71"/>
    <w:rsid w:val="004F6223"/>
    <w:rsid w:val="004F65DA"/>
    <w:rsid w:val="004F693E"/>
    <w:rsid w:val="004F6B55"/>
    <w:rsid w:val="004F6CF6"/>
    <w:rsid w:val="00500038"/>
    <w:rsid w:val="005000A9"/>
    <w:rsid w:val="00500390"/>
    <w:rsid w:val="00500C89"/>
    <w:rsid w:val="005012A3"/>
    <w:rsid w:val="00501C6B"/>
    <w:rsid w:val="00501DCA"/>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19A9"/>
    <w:rsid w:val="00522356"/>
    <w:rsid w:val="005226D4"/>
    <w:rsid w:val="00522754"/>
    <w:rsid w:val="00522D6D"/>
    <w:rsid w:val="005236E3"/>
    <w:rsid w:val="00523860"/>
    <w:rsid w:val="0052396C"/>
    <w:rsid w:val="00523A8A"/>
    <w:rsid w:val="0052402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37CC1"/>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3EE7"/>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1E"/>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7"/>
    <w:rsid w:val="005C4BBD"/>
    <w:rsid w:val="005C4C01"/>
    <w:rsid w:val="005C5801"/>
    <w:rsid w:val="005C5A0A"/>
    <w:rsid w:val="005C5F70"/>
    <w:rsid w:val="005C6867"/>
    <w:rsid w:val="005C715E"/>
    <w:rsid w:val="005C7303"/>
    <w:rsid w:val="005C747B"/>
    <w:rsid w:val="005C7773"/>
    <w:rsid w:val="005C7889"/>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6FF"/>
    <w:rsid w:val="00600B01"/>
    <w:rsid w:val="00600BCB"/>
    <w:rsid w:val="00600C73"/>
    <w:rsid w:val="0060138B"/>
    <w:rsid w:val="00601825"/>
    <w:rsid w:val="00602912"/>
    <w:rsid w:val="00602CF0"/>
    <w:rsid w:val="006033A2"/>
    <w:rsid w:val="006035C4"/>
    <w:rsid w:val="00604562"/>
    <w:rsid w:val="006049BE"/>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DAE"/>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AF"/>
    <w:rsid w:val="006502B1"/>
    <w:rsid w:val="00650330"/>
    <w:rsid w:val="0065051B"/>
    <w:rsid w:val="00650539"/>
    <w:rsid w:val="00650559"/>
    <w:rsid w:val="00650859"/>
    <w:rsid w:val="00650C28"/>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2D2"/>
    <w:rsid w:val="00671829"/>
    <w:rsid w:val="00671CB9"/>
    <w:rsid w:val="00671D5B"/>
    <w:rsid w:val="00672457"/>
    <w:rsid w:val="0067336F"/>
    <w:rsid w:val="006734A7"/>
    <w:rsid w:val="006736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1BC"/>
    <w:rsid w:val="006B5315"/>
    <w:rsid w:val="006B56A7"/>
    <w:rsid w:val="006B5935"/>
    <w:rsid w:val="006B5CBE"/>
    <w:rsid w:val="006B5E0D"/>
    <w:rsid w:val="006B6626"/>
    <w:rsid w:val="006B6C01"/>
    <w:rsid w:val="006B6D1E"/>
    <w:rsid w:val="006B7376"/>
    <w:rsid w:val="006B79E8"/>
    <w:rsid w:val="006C01EC"/>
    <w:rsid w:val="006C06DF"/>
    <w:rsid w:val="006C12C0"/>
    <w:rsid w:val="006C1419"/>
    <w:rsid w:val="006C14FF"/>
    <w:rsid w:val="006C1527"/>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1FC7"/>
    <w:rsid w:val="006E26DD"/>
    <w:rsid w:val="006E26F9"/>
    <w:rsid w:val="006E27CF"/>
    <w:rsid w:val="006E2AB1"/>
    <w:rsid w:val="006E2E19"/>
    <w:rsid w:val="006E3284"/>
    <w:rsid w:val="006E39C9"/>
    <w:rsid w:val="006E39EB"/>
    <w:rsid w:val="006E3F2D"/>
    <w:rsid w:val="006E3FC1"/>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8FF"/>
    <w:rsid w:val="00703D71"/>
    <w:rsid w:val="00703F04"/>
    <w:rsid w:val="00704821"/>
    <w:rsid w:val="00704952"/>
    <w:rsid w:val="00705EA0"/>
    <w:rsid w:val="00705EAF"/>
    <w:rsid w:val="00706556"/>
    <w:rsid w:val="00706750"/>
    <w:rsid w:val="00706805"/>
    <w:rsid w:val="0070731E"/>
    <w:rsid w:val="007073DB"/>
    <w:rsid w:val="007076BE"/>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ECF"/>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09A4"/>
    <w:rsid w:val="007712BE"/>
    <w:rsid w:val="007714FD"/>
    <w:rsid w:val="0077165B"/>
    <w:rsid w:val="0077184B"/>
    <w:rsid w:val="00772117"/>
    <w:rsid w:val="0077265B"/>
    <w:rsid w:val="0077267B"/>
    <w:rsid w:val="00772EF1"/>
    <w:rsid w:val="00773405"/>
    <w:rsid w:val="0077345E"/>
    <w:rsid w:val="00774257"/>
    <w:rsid w:val="0077449D"/>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5FC"/>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3C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2BF"/>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5D9C"/>
    <w:rsid w:val="007D6EA2"/>
    <w:rsid w:val="007D70B9"/>
    <w:rsid w:val="007D7241"/>
    <w:rsid w:val="007D73D0"/>
    <w:rsid w:val="007D75CB"/>
    <w:rsid w:val="007D7BB3"/>
    <w:rsid w:val="007E00D5"/>
    <w:rsid w:val="007E06DC"/>
    <w:rsid w:val="007E09E3"/>
    <w:rsid w:val="007E0AF1"/>
    <w:rsid w:val="007E1F53"/>
    <w:rsid w:val="007E227C"/>
    <w:rsid w:val="007E25A8"/>
    <w:rsid w:val="007E2A25"/>
    <w:rsid w:val="007E2D10"/>
    <w:rsid w:val="007E31AB"/>
    <w:rsid w:val="007E32DA"/>
    <w:rsid w:val="007E32F1"/>
    <w:rsid w:val="007E33C6"/>
    <w:rsid w:val="007E35FE"/>
    <w:rsid w:val="007E3719"/>
    <w:rsid w:val="007E3BAB"/>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613"/>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62C"/>
    <w:rsid w:val="008104AF"/>
    <w:rsid w:val="008105DC"/>
    <w:rsid w:val="00810C5A"/>
    <w:rsid w:val="00810F02"/>
    <w:rsid w:val="008118A1"/>
    <w:rsid w:val="0081195E"/>
    <w:rsid w:val="00811BA4"/>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3F76"/>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412"/>
    <w:rsid w:val="00871A10"/>
    <w:rsid w:val="00871C69"/>
    <w:rsid w:val="00871E1C"/>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5D33"/>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4CF2"/>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6C"/>
    <w:rsid w:val="008F2785"/>
    <w:rsid w:val="008F28A5"/>
    <w:rsid w:val="008F297E"/>
    <w:rsid w:val="008F3738"/>
    <w:rsid w:val="008F48BB"/>
    <w:rsid w:val="008F4ABF"/>
    <w:rsid w:val="008F4EF9"/>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90"/>
    <w:rsid w:val="009013BF"/>
    <w:rsid w:val="009014C3"/>
    <w:rsid w:val="00901640"/>
    <w:rsid w:val="009017ED"/>
    <w:rsid w:val="0090215B"/>
    <w:rsid w:val="009022AD"/>
    <w:rsid w:val="0090251E"/>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118"/>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9B8"/>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83A"/>
    <w:rsid w:val="009519F3"/>
    <w:rsid w:val="00951A25"/>
    <w:rsid w:val="00951CF9"/>
    <w:rsid w:val="00951DEB"/>
    <w:rsid w:val="00951F59"/>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678F7"/>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369"/>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4F07"/>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E5"/>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2C9"/>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6FD8"/>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9"/>
    <w:rsid w:val="00A6312B"/>
    <w:rsid w:val="00A632A6"/>
    <w:rsid w:val="00A63623"/>
    <w:rsid w:val="00A63C4F"/>
    <w:rsid w:val="00A63FF0"/>
    <w:rsid w:val="00A640A0"/>
    <w:rsid w:val="00A648CF"/>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5D27"/>
    <w:rsid w:val="00AA6089"/>
    <w:rsid w:val="00AA6335"/>
    <w:rsid w:val="00AA69E9"/>
    <w:rsid w:val="00AA6C45"/>
    <w:rsid w:val="00AA72A3"/>
    <w:rsid w:val="00AA7773"/>
    <w:rsid w:val="00AA79B5"/>
    <w:rsid w:val="00AA7FDE"/>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0F65"/>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132"/>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4E5"/>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61D"/>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43E8"/>
    <w:rsid w:val="00B44532"/>
    <w:rsid w:val="00B44C80"/>
    <w:rsid w:val="00B44D2B"/>
    <w:rsid w:val="00B451F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67F"/>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473"/>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6E"/>
    <w:rsid w:val="00BC2FB3"/>
    <w:rsid w:val="00BC3329"/>
    <w:rsid w:val="00BC33FD"/>
    <w:rsid w:val="00BC36EB"/>
    <w:rsid w:val="00BC3847"/>
    <w:rsid w:val="00BC391C"/>
    <w:rsid w:val="00BC3CE5"/>
    <w:rsid w:val="00BC42B2"/>
    <w:rsid w:val="00BC5818"/>
    <w:rsid w:val="00BC5A0A"/>
    <w:rsid w:val="00BC5C1E"/>
    <w:rsid w:val="00BC6142"/>
    <w:rsid w:val="00BC6456"/>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1B"/>
    <w:rsid w:val="00BF547C"/>
    <w:rsid w:val="00BF5D32"/>
    <w:rsid w:val="00BF5F24"/>
    <w:rsid w:val="00BF60BB"/>
    <w:rsid w:val="00BF6E0C"/>
    <w:rsid w:val="00BF6F2D"/>
    <w:rsid w:val="00BF6F3A"/>
    <w:rsid w:val="00BF7256"/>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455"/>
    <w:rsid w:val="00C13559"/>
    <w:rsid w:val="00C13977"/>
    <w:rsid w:val="00C141D6"/>
    <w:rsid w:val="00C14684"/>
    <w:rsid w:val="00C146D8"/>
    <w:rsid w:val="00C14D25"/>
    <w:rsid w:val="00C14ED8"/>
    <w:rsid w:val="00C152D4"/>
    <w:rsid w:val="00C157D8"/>
    <w:rsid w:val="00C15A86"/>
    <w:rsid w:val="00C15E30"/>
    <w:rsid w:val="00C15E9B"/>
    <w:rsid w:val="00C16424"/>
    <w:rsid w:val="00C166D7"/>
    <w:rsid w:val="00C167BE"/>
    <w:rsid w:val="00C16AA6"/>
    <w:rsid w:val="00C179AC"/>
    <w:rsid w:val="00C17E94"/>
    <w:rsid w:val="00C207BD"/>
    <w:rsid w:val="00C20A03"/>
    <w:rsid w:val="00C20B97"/>
    <w:rsid w:val="00C20CFB"/>
    <w:rsid w:val="00C212BA"/>
    <w:rsid w:val="00C216BE"/>
    <w:rsid w:val="00C21F3A"/>
    <w:rsid w:val="00C22098"/>
    <w:rsid w:val="00C2234E"/>
    <w:rsid w:val="00C2295D"/>
    <w:rsid w:val="00C22B8F"/>
    <w:rsid w:val="00C22BCE"/>
    <w:rsid w:val="00C232AA"/>
    <w:rsid w:val="00C2368D"/>
    <w:rsid w:val="00C23C73"/>
    <w:rsid w:val="00C23DBB"/>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7A7"/>
    <w:rsid w:val="00C357E8"/>
    <w:rsid w:val="00C35F0C"/>
    <w:rsid w:val="00C3607F"/>
    <w:rsid w:val="00C36128"/>
    <w:rsid w:val="00C364E2"/>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EF2"/>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A6F"/>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AD8"/>
    <w:rsid w:val="00C82CFB"/>
    <w:rsid w:val="00C82DC9"/>
    <w:rsid w:val="00C839AC"/>
    <w:rsid w:val="00C83FBB"/>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1EA2"/>
    <w:rsid w:val="00CB207A"/>
    <w:rsid w:val="00CB20F4"/>
    <w:rsid w:val="00CB2441"/>
    <w:rsid w:val="00CB2809"/>
    <w:rsid w:val="00CB2F70"/>
    <w:rsid w:val="00CB37BC"/>
    <w:rsid w:val="00CB3AA7"/>
    <w:rsid w:val="00CB40ED"/>
    <w:rsid w:val="00CB4A4B"/>
    <w:rsid w:val="00CB4F48"/>
    <w:rsid w:val="00CB518E"/>
    <w:rsid w:val="00CB542F"/>
    <w:rsid w:val="00CB5543"/>
    <w:rsid w:val="00CB5C1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6A1"/>
    <w:rsid w:val="00CD47A9"/>
    <w:rsid w:val="00CD4843"/>
    <w:rsid w:val="00CD4951"/>
    <w:rsid w:val="00CD4ABC"/>
    <w:rsid w:val="00CD4E87"/>
    <w:rsid w:val="00CD5CC6"/>
    <w:rsid w:val="00CD5D1F"/>
    <w:rsid w:val="00CD5E24"/>
    <w:rsid w:val="00CD5F4D"/>
    <w:rsid w:val="00CD64AD"/>
    <w:rsid w:val="00CD67BA"/>
    <w:rsid w:val="00CD682A"/>
    <w:rsid w:val="00CD6E6D"/>
    <w:rsid w:val="00CD6EC2"/>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024"/>
    <w:rsid w:val="00D03540"/>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5FF5"/>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17C"/>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93"/>
    <w:rsid w:val="00D24CEC"/>
    <w:rsid w:val="00D26576"/>
    <w:rsid w:val="00D26E07"/>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A71"/>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6B"/>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2EE1"/>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AB8"/>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4EDD"/>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D08"/>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94B"/>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2A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57D6"/>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5DC"/>
    <w:rsid w:val="00F14BAD"/>
    <w:rsid w:val="00F14FBE"/>
    <w:rsid w:val="00F1558E"/>
    <w:rsid w:val="00F15A70"/>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36B"/>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597"/>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891"/>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419"/>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5F10"/>
    <w:rsid w:val="00F762CA"/>
    <w:rsid w:val="00F76E52"/>
    <w:rsid w:val="00F76E7A"/>
    <w:rsid w:val="00F76F0A"/>
    <w:rsid w:val="00F770BC"/>
    <w:rsid w:val="00F77BB8"/>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66"/>
    <w:rsid w:val="00FB2F82"/>
    <w:rsid w:val="00FB2F9D"/>
    <w:rsid w:val="00FB323A"/>
    <w:rsid w:val="00FB33A3"/>
    <w:rsid w:val="00FB389E"/>
    <w:rsid w:val="00FB3DCF"/>
    <w:rsid w:val="00FB3E44"/>
    <w:rsid w:val="00FB3EDB"/>
    <w:rsid w:val="00FB438B"/>
    <w:rsid w:val="00FB56E9"/>
    <w:rsid w:val="00FB6093"/>
    <w:rsid w:val="00FB62E6"/>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37C6"/>
    <w:rsid w:val="00FD4349"/>
    <w:rsid w:val="00FD45C8"/>
    <w:rsid w:val="00FD460B"/>
    <w:rsid w:val="00FD4BA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2303EC"/>
    <w:rsid w:val="01623DF4"/>
    <w:rsid w:val="016A2D60"/>
    <w:rsid w:val="016C0A54"/>
    <w:rsid w:val="01BD20E5"/>
    <w:rsid w:val="01CA1E0B"/>
    <w:rsid w:val="01E376C5"/>
    <w:rsid w:val="01F93655"/>
    <w:rsid w:val="01FA3D41"/>
    <w:rsid w:val="02161019"/>
    <w:rsid w:val="022D0BA2"/>
    <w:rsid w:val="024273C3"/>
    <w:rsid w:val="02436CDB"/>
    <w:rsid w:val="024D495E"/>
    <w:rsid w:val="02856B9B"/>
    <w:rsid w:val="029721D9"/>
    <w:rsid w:val="02AE2102"/>
    <w:rsid w:val="02EB1A31"/>
    <w:rsid w:val="0306050F"/>
    <w:rsid w:val="030B7734"/>
    <w:rsid w:val="031E13A5"/>
    <w:rsid w:val="036163F0"/>
    <w:rsid w:val="036907A0"/>
    <w:rsid w:val="036C2DED"/>
    <w:rsid w:val="038C5EE3"/>
    <w:rsid w:val="039A02C2"/>
    <w:rsid w:val="03A53A11"/>
    <w:rsid w:val="03B1471C"/>
    <w:rsid w:val="03BE6896"/>
    <w:rsid w:val="04291D8C"/>
    <w:rsid w:val="04303EDD"/>
    <w:rsid w:val="04447C19"/>
    <w:rsid w:val="044A1153"/>
    <w:rsid w:val="0469222B"/>
    <w:rsid w:val="04735CBF"/>
    <w:rsid w:val="047C611F"/>
    <w:rsid w:val="04855E9F"/>
    <w:rsid w:val="049F0EDB"/>
    <w:rsid w:val="04A1561E"/>
    <w:rsid w:val="04B022AB"/>
    <w:rsid w:val="04C21F07"/>
    <w:rsid w:val="04D33847"/>
    <w:rsid w:val="04E954F9"/>
    <w:rsid w:val="05066184"/>
    <w:rsid w:val="051F25C2"/>
    <w:rsid w:val="05387DC7"/>
    <w:rsid w:val="058B1B5A"/>
    <w:rsid w:val="05B11E5B"/>
    <w:rsid w:val="05BC0977"/>
    <w:rsid w:val="05BD29B3"/>
    <w:rsid w:val="05DC7827"/>
    <w:rsid w:val="061630ED"/>
    <w:rsid w:val="061A428C"/>
    <w:rsid w:val="06246CEA"/>
    <w:rsid w:val="06466753"/>
    <w:rsid w:val="064E0E1D"/>
    <w:rsid w:val="064F258E"/>
    <w:rsid w:val="065A1DE6"/>
    <w:rsid w:val="06690485"/>
    <w:rsid w:val="06827BEC"/>
    <w:rsid w:val="06847AB7"/>
    <w:rsid w:val="069A78FF"/>
    <w:rsid w:val="069D6EA3"/>
    <w:rsid w:val="06D767B9"/>
    <w:rsid w:val="06F51DB4"/>
    <w:rsid w:val="07253DDE"/>
    <w:rsid w:val="074D2260"/>
    <w:rsid w:val="076A0BD0"/>
    <w:rsid w:val="07725AA0"/>
    <w:rsid w:val="077564EC"/>
    <w:rsid w:val="077A33C5"/>
    <w:rsid w:val="07811C6E"/>
    <w:rsid w:val="078451BE"/>
    <w:rsid w:val="078C16FA"/>
    <w:rsid w:val="079369B2"/>
    <w:rsid w:val="07961358"/>
    <w:rsid w:val="07E34651"/>
    <w:rsid w:val="07F22080"/>
    <w:rsid w:val="07F351B9"/>
    <w:rsid w:val="08040544"/>
    <w:rsid w:val="080F737D"/>
    <w:rsid w:val="081B42A5"/>
    <w:rsid w:val="08436133"/>
    <w:rsid w:val="086B53B3"/>
    <w:rsid w:val="087D02A0"/>
    <w:rsid w:val="08846D12"/>
    <w:rsid w:val="08875633"/>
    <w:rsid w:val="089B1C19"/>
    <w:rsid w:val="08CD1299"/>
    <w:rsid w:val="08D74BFF"/>
    <w:rsid w:val="08DB58AC"/>
    <w:rsid w:val="08ED06CF"/>
    <w:rsid w:val="08F631AE"/>
    <w:rsid w:val="08F927C9"/>
    <w:rsid w:val="09280783"/>
    <w:rsid w:val="09306665"/>
    <w:rsid w:val="09324EA3"/>
    <w:rsid w:val="0943721F"/>
    <w:rsid w:val="096177E7"/>
    <w:rsid w:val="09661070"/>
    <w:rsid w:val="09A27F6E"/>
    <w:rsid w:val="09A64982"/>
    <w:rsid w:val="09AC35A5"/>
    <w:rsid w:val="09B27B80"/>
    <w:rsid w:val="09B842C1"/>
    <w:rsid w:val="09C03F8A"/>
    <w:rsid w:val="09CA74D8"/>
    <w:rsid w:val="09CB01D4"/>
    <w:rsid w:val="09D503B2"/>
    <w:rsid w:val="09E33A3A"/>
    <w:rsid w:val="09F30681"/>
    <w:rsid w:val="0A0B0CF6"/>
    <w:rsid w:val="0A1039CB"/>
    <w:rsid w:val="0A130914"/>
    <w:rsid w:val="0A192C30"/>
    <w:rsid w:val="0A1B791F"/>
    <w:rsid w:val="0A1D502D"/>
    <w:rsid w:val="0A284254"/>
    <w:rsid w:val="0A2E3E6D"/>
    <w:rsid w:val="0A3C14C2"/>
    <w:rsid w:val="0A3E5078"/>
    <w:rsid w:val="0A45712B"/>
    <w:rsid w:val="0A4B1460"/>
    <w:rsid w:val="0A5A0CCD"/>
    <w:rsid w:val="0A5B723D"/>
    <w:rsid w:val="0A5E07B6"/>
    <w:rsid w:val="0A6758F0"/>
    <w:rsid w:val="0A8F088C"/>
    <w:rsid w:val="0A99506A"/>
    <w:rsid w:val="0AB0086C"/>
    <w:rsid w:val="0AD03DDD"/>
    <w:rsid w:val="0AD64001"/>
    <w:rsid w:val="0AD7266E"/>
    <w:rsid w:val="0ADB314E"/>
    <w:rsid w:val="0ADE10A4"/>
    <w:rsid w:val="0AEF34AD"/>
    <w:rsid w:val="0B016445"/>
    <w:rsid w:val="0B0477CB"/>
    <w:rsid w:val="0B163928"/>
    <w:rsid w:val="0B2E40EC"/>
    <w:rsid w:val="0B3C563B"/>
    <w:rsid w:val="0B51165D"/>
    <w:rsid w:val="0B536C51"/>
    <w:rsid w:val="0B5A02C0"/>
    <w:rsid w:val="0B736F16"/>
    <w:rsid w:val="0B743E22"/>
    <w:rsid w:val="0B887F86"/>
    <w:rsid w:val="0B897EA2"/>
    <w:rsid w:val="0BBD3D04"/>
    <w:rsid w:val="0BFD0200"/>
    <w:rsid w:val="0C29592D"/>
    <w:rsid w:val="0C2C2305"/>
    <w:rsid w:val="0C350827"/>
    <w:rsid w:val="0C4B56D0"/>
    <w:rsid w:val="0C73581C"/>
    <w:rsid w:val="0C7E2F6B"/>
    <w:rsid w:val="0C930F7E"/>
    <w:rsid w:val="0C9E064F"/>
    <w:rsid w:val="0CAF146D"/>
    <w:rsid w:val="0CB36287"/>
    <w:rsid w:val="0CBA436B"/>
    <w:rsid w:val="0CCC39BF"/>
    <w:rsid w:val="0CD504D1"/>
    <w:rsid w:val="0CD53606"/>
    <w:rsid w:val="0CED2DBC"/>
    <w:rsid w:val="0D042712"/>
    <w:rsid w:val="0D0D0F29"/>
    <w:rsid w:val="0D1439B6"/>
    <w:rsid w:val="0D1D30B6"/>
    <w:rsid w:val="0D235307"/>
    <w:rsid w:val="0D2377B1"/>
    <w:rsid w:val="0D273B96"/>
    <w:rsid w:val="0D330978"/>
    <w:rsid w:val="0D37249B"/>
    <w:rsid w:val="0D484626"/>
    <w:rsid w:val="0D491FCF"/>
    <w:rsid w:val="0D6D1D9F"/>
    <w:rsid w:val="0D863520"/>
    <w:rsid w:val="0D970A36"/>
    <w:rsid w:val="0D9C4D64"/>
    <w:rsid w:val="0DA07D21"/>
    <w:rsid w:val="0DA20244"/>
    <w:rsid w:val="0DA9048D"/>
    <w:rsid w:val="0DC5273C"/>
    <w:rsid w:val="0DDC1C2F"/>
    <w:rsid w:val="0DDE1DBA"/>
    <w:rsid w:val="0E092B88"/>
    <w:rsid w:val="0E0F567A"/>
    <w:rsid w:val="0E3F7D19"/>
    <w:rsid w:val="0E883D5F"/>
    <w:rsid w:val="0E8C5CCB"/>
    <w:rsid w:val="0E8D7FB3"/>
    <w:rsid w:val="0E99334B"/>
    <w:rsid w:val="0EAB1277"/>
    <w:rsid w:val="0EDA4173"/>
    <w:rsid w:val="0EF97893"/>
    <w:rsid w:val="0F017BE2"/>
    <w:rsid w:val="0F2440E0"/>
    <w:rsid w:val="0F852378"/>
    <w:rsid w:val="0F896791"/>
    <w:rsid w:val="0FB332D6"/>
    <w:rsid w:val="0FC10DD7"/>
    <w:rsid w:val="0FCC5F2C"/>
    <w:rsid w:val="0FD60E0E"/>
    <w:rsid w:val="0FD61D28"/>
    <w:rsid w:val="0FE353A5"/>
    <w:rsid w:val="1013736F"/>
    <w:rsid w:val="103656CF"/>
    <w:rsid w:val="105D13C1"/>
    <w:rsid w:val="105F4410"/>
    <w:rsid w:val="106226AB"/>
    <w:rsid w:val="107309B8"/>
    <w:rsid w:val="10777814"/>
    <w:rsid w:val="108561D6"/>
    <w:rsid w:val="109D594B"/>
    <w:rsid w:val="10B14313"/>
    <w:rsid w:val="10B776CF"/>
    <w:rsid w:val="10B77A85"/>
    <w:rsid w:val="10DB0B79"/>
    <w:rsid w:val="10E15320"/>
    <w:rsid w:val="10EA2E56"/>
    <w:rsid w:val="110F65EB"/>
    <w:rsid w:val="11211C61"/>
    <w:rsid w:val="11212EEB"/>
    <w:rsid w:val="112C5DB7"/>
    <w:rsid w:val="1130448C"/>
    <w:rsid w:val="113126E0"/>
    <w:rsid w:val="1136212B"/>
    <w:rsid w:val="11444962"/>
    <w:rsid w:val="114617FE"/>
    <w:rsid w:val="11500243"/>
    <w:rsid w:val="115915BB"/>
    <w:rsid w:val="11595CDE"/>
    <w:rsid w:val="11835746"/>
    <w:rsid w:val="1187088E"/>
    <w:rsid w:val="11C27A9C"/>
    <w:rsid w:val="11CD67E8"/>
    <w:rsid w:val="11D571A3"/>
    <w:rsid w:val="11D972EE"/>
    <w:rsid w:val="11EA624F"/>
    <w:rsid w:val="11F77A33"/>
    <w:rsid w:val="120210D6"/>
    <w:rsid w:val="12085C20"/>
    <w:rsid w:val="12197D08"/>
    <w:rsid w:val="121A3C03"/>
    <w:rsid w:val="123922F2"/>
    <w:rsid w:val="1258559A"/>
    <w:rsid w:val="12625E3E"/>
    <w:rsid w:val="126803A3"/>
    <w:rsid w:val="129212FC"/>
    <w:rsid w:val="1296378D"/>
    <w:rsid w:val="12AD6F6E"/>
    <w:rsid w:val="12DB7BF6"/>
    <w:rsid w:val="12E339D7"/>
    <w:rsid w:val="12E9532A"/>
    <w:rsid w:val="12F40920"/>
    <w:rsid w:val="132A7765"/>
    <w:rsid w:val="133F7045"/>
    <w:rsid w:val="1347637A"/>
    <w:rsid w:val="13580386"/>
    <w:rsid w:val="13626F7B"/>
    <w:rsid w:val="136D0DE7"/>
    <w:rsid w:val="13701100"/>
    <w:rsid w:val="137C5099"/>
    <w:rsid w:val="138C44BA"/>
    <w:rsid w:val="1397575A"/>
    <w:rsid w:val="13A4433A"/>
    <w:rsid w:val="13C35F71"/>
    <w:rsid w:val="13C45EEB"/>
    <w:rsid w:val="13D8065C"/>
    <w:rsid w:val="13FD3D88"/>
    <w:rsid w:val="14085527"/>
    <w:rsid w:val="142A7D52"/>
    <w:rsid w:val="1460351E"/>
    <w:rsid w:val="146F1C00"/>
    <w:rsid w:val="14956233"/>
    <w:rsid w:val="1498205C"/>
    <w:rsid w:val="149B603B"/>
    <w:rsid w:val="14C0438E"/>
    <w:rsid w:val="14FD0E41"/>
    <w:rsid w:val="150C5319"/>
    <w:rsid w:val="1519413F"/>
    <w:rsid w:val="15344A8E"/>
    <w:rsid w:val="15497811"/>
    <w:rsid w:val="157C4BBC"/>
    <w:rsid w:val="1598452D"/>
    <w:rsid w:val="15B02B3A"/>
    <w:rsid w:val="15CB01DE"/>
    <w:rsid w:val="15E24EB8"/>
    <w:rsid w:val="15E36279"/>
    <w:rsid w:val="1605255E"/>
    <w:rsid w:val="161F325E"/>
    <w:rsid w:val="1644295A"/>
    <w:rsid w:val="164A1994"/>
    <w:rsid w:val="165122A1"/>
    <w:rsid w:val="16522CD9"/>
    <w:rsid w:val="165F5C50"/>
    <w:rsid w:val="16713D71"/>
    <w:rsid w:val="168D087B"/>
    <w:rsid w:val="169C6411"/>
    <w:rsid w:val="16AC5D32"/>
    <w:rsid w:val="16C63BEF"/>
    <w:rsid w:val="16EB3239"/>
    <w:rsid w:val="170C14B3"/>
    <w:rsid w:val="17167425"/>
    <w:rsid w:val="173340D8"/>
    <w:rsid w:val="173B0D7B"/>
    <w:rsid w:val="173E0E43"/>
    <w:rsid w:val="17574E02"/>
    <w:rsid w:val="176647B8"/>
    <w:rsid w:val="1768135A"/>
    <w:rsid w:val="17686E97"/>
    <w:rsid w:val="177D428E"/>
    <w:rsid w:val="178244DB"/>
    <w:rsid w:val="17906CEB"/>
    <w:rsid w:val="179D6C81"/>
    <w:rsid w:val="179D6DFA"/>
    <w:rsid w:val="17B72015"/>
    <w:rsid w:val="17CB4230"/>
    <w:rsid w:val="17D11AF8"/>
    <w:rsid w:val="17E04D27"/>
    <w:rsid w:val="17E21682"/>
    <w:rsid w:val="18356DAF"/>
    <w:rsid w:val="184149AC"/>
    <w:rsid w:val="187C410A"/>
    <w:rsid w:val="18B17276"/>
    <w:rsid w:val="18B805E6"/>
    <w:rsid w:val="18CB50F0"/>
    <w:rsid w:val="18CC1B36"/>
    <w:rsid w:val="18FC35ED"/>
    <w:rsid w:val="192D42CF"/>
    <w:rsid w:val="193136E8"/>
    <w:rsid w:val="19405B13"/>
    <w:rsid w:val="19523BE9"/>
    <w:rsid w:val="195D5B4F"/>
    <w:rsid w:val="1966596E"/>
    <w:rsid w:val="19784597"/>
    <w:rsid w:val="198F45DD"/>
    <w:rsid w:val="199037DE"/>
    <w:rsid w:val="19D835B3"/>
    <w:rsid w:val="19DD0D57"/>
    <w:rsid w:val="19E249D7"/>
    <w:rsid w:val="19FC404B"/>
    <w:rsid w:val="1A1F33F4"/>
    <w:rsid w:val="1A2B7BE7"/>
    <w:rsid w:val="1A30664F"/>
    <w:rsid w:val="1A3869CD"/>
    <w:rsid w:val="1A57223B"/>
    <w:rsid w:val="1A8D1687"/>
    <w:rsid w:val="1A9724C5"/>
    <w:rsid w:val="1AA26902"/>
    <w:rsid w:val="1AB00207"/>
    <w:rsid w:val="1ABD392F"/>
    <w:rsid w:val="1ABE7D37"/>
    <w:rsid w:val="1AC1475C"/>
    <w:rsid w:val="1AC809C4"/>
    <w:rsid w:val="1AE52DE4"/>
    <w:rsid w:val="1AF01F23"/>
    <w:rsid w:val="1AF451D3"/>
    <w:rsid w:val="1B1B27AF"/>
    <w:rsid w:val="1B246908"/>
    <w:rsid w:val="1B282B30"/>
    <w:rsid w:val="1B285967"/>
    <w:rsid w:val="1B2975FC"/>
    <w:rsid w:val="1B3A5C11"/>
    <w:rsid w:val="1B415D8B"/>
    <w:rsid w:val="1B4A3A42"/>
    <w:rsid w:val="1B4B1703"/>
    <w:rsid w:val="1B621AAF"/>
    <w:rsid w:val="1BA53D01"/>
    <w:rsid w:val="1BAE3711"/>
    <w:rsid w:val="1BB377E0"/>
    <w:rsid w:val="1BF565DF"/>
    <w:rsid w:val="1C215368"/>
    <w:rsid w:val="1C374044"/>
    <w:rsid w:val="1C496310"/>
    <w:rsid w:val="1C4D678E"/>
    <w:rsid w:val="1C51422C"/>
    <w:rsid w:val="1C53677B"/>
    <w:rsid w:val="1C5D4224"/>
    <w:rsid w:val="1C730E37"/>
    <w:rsid w:val="1C785ACB"/>
    <w:rsid w:val="1C832924"/>
    <w:rsid w:val="1C856B73"/>
    <w:rsid w:val="1CA15B59"/>
    <w:rsid w:val="1CA939DD"/>
    <w:rsid w:val="1CD97C9A"/>
    <w:rsid w:val="1CFA5536"/>
    <w:rsid w:val="1D045F67"/>
    <w:rsid w:val="1D491A74"/>
    <w:rsid w:val="1D507DCD"/>
    <w:rsid w:val="1D5674FC"/>
    <w:rsid w:val="1D590D93"/>
    <w:rsid w:val="1D6B15F2"/>
    <w:rsid w:val="1D6D1D09"/>
    <w:rsid w:val="1D6D3B96"/>
    <w:rsid w:val="1D832664"/>
    <w:rsid w:val="1DAE3C2D"/>
    <w:rsid w:val="1DCA2E25"/>
    <w:rsid w:val="1DDD1265"/>
    <w:rsid w:val="1E050206"/>
    <w:rsid w:val="1E446F7D"/>
    <w:rsid w:val="1E526FD4"/>
    <w:rsid w:val="1E5B1F68"/>
    <w:rsid w:val="1E6F59DA"/>
    <w:rsid w:val="1E85023D"/>
    <w:rsid w:val="1E8E446E"/>
    <w:rsid w:val="1E9F2387"/>
    <w:rsid w:val="1EA36749"/>
    <w:rsid w:val="1EA73F4E"/>
    <w:rsid w:val="1EB62F37"/>
    <w:rsid w:val="1EC126ED"/>
    <w:rsid w:val="1EC25B97"/>
    <w:rsid w:val="1EDE3E4D"/>
    <w:rsid w:val="1F08316A"/>
    <w:rsid w:val="1F226585"/>
    <w:rsid w:val="1F2A07D3"/>
    <w:rsid w:val="1F334F71"/>
    <w:rsid w:val="1F354DB1"/>
    <w:rsid w:val="1F426671"/>
    <w:rsid w:val="1F4A41E7"/>
    <w:rsid w:val="1F501528"/>
    <w:rsid w:val="1F7F1019"/>
    <w:rsid w:val="1F9675F9"/>
    <w:rsid w:val="1FE13EAD"/>
    <w:rsid w:val="1FF037A6"/>
    <w:rsid w:val="20153AC6"/>
    <w:rsid w:val="202E7C5A"/>
    <w:rsid w:val="20346F74"/>
    <w:rsid w:val="20396735"/>
    <w:rsid w:val="203D358C"/>
    <w:rsid w:val="20464821"/>
    <w:rsid w:val="204F52C9"/>
    <w:rsid w:val="20511EE8"/>
    <w:rsid w:val="205516BE"/>
    <w:rsid w:val="208166FD"/>
    <w:rsid w:val="20974CA4"/>
    <w:rsid w:val="209E0CEA"/>
    <w:rsid w:val="20C96BA5"/>
    <w:rsid w:val="20DA3F23"/>
    <w:rsid w:val="210C21A6"/>
    <w:rsid w:val="21286DFE"/>
    <w:rsid w:val="2139126E"/>
    <w:rsid w:val="214F4E5A"/>
    <w:rsid w:val="216D33DF"/>
    <w:rsid w:val="216F3C92"/>
    <w:rsid w:val="21792DE1"/>
    <w:rsid w:val="217D06C8"/>
    <w:rsid w:val="21CC2BDF"/>
    <w:rsid w:val="21D432AD"/>
    <w:rsid w:val="21E23CAE"/>
    <w:rsid w:val="21EA65F6"/>
    <w:rsid w:val="21F525CC"/>
    <w:rsid w:val="220E12FC"/>
    <w:rsid w:val="22127EE4"/>
    <w:rsid w:val="2241486F"/>
    <w:rsid w:val="224C5E5B"/>
    <w:rsid w:val="225F2F19"/>
    <w:rsid w:val="2267746E"/>
    <w:rsid w:val="228B6942"/>
    <w:rsid w:val="22A07D5F"/>
    <w:rsid w:val="22A129F3"/>
    <w:rsid w:val="22C25D65"/>
    <w:rsid w:val="22F775D6"/>
    <w:rsid w:val="230438D3"/>
    <w:rsid w:val="235552D2"/>
    <w:rsid w:val="235D7C1E"/>
    <w:rsid w:val="23611387"/>
    <w:rsid w:val="236B587B"/>
    <w:rsid w:val="237960DC"/>
    <w:rsid w:val="23A15217"/>
    <w:rsid w:val="23AD60D7"/>
    <w:rsid w:val="23B23888"/>
    <w:rsid w:val="23B41B9D"/>
    <w:rsid w:val="23BA4644"/>
    <w:rsid w:val="23BB07AB"/>
    <w:rsid w:val="23C26CFC"/>
    <w:rsid w:val="23C63441"/>
    <w:rsid w:val="23C914FB"/>
    <w:rsid w:val="23D275C2"/>
    <w:rsid w:val="24071708"/>
    <w:rsid w:val="240861E3"/>
    <w:rsid w:val="240A2CCE"/>
    <w:rsid w:val="240A7D4D"/>
    <w:rsid w:val="24155192"/>
    <w:rsid w:val="24221A57"/>
    <w:rsid w:val="24370B50"/>
    <w:rsid w:val="24565FCB"/>
    <w:rsid w:val="245743B5"/>
    <w:rsid w:val="246A3258"/>
    <w:rsid w:val="246D558B"/>
    <w:rsid w:val="247221DF"/>
    <w:rsid w:val="247513E0"/>
    <w:rsid w:val="247C7F91"/>
    <w:rsid w:val="24A12AC8"/>
    <w:rsid w:val="24AD6222"/>
    <w:rsid w:val="24C6397F"/>
    <w:rsid w:val="24CC79EE"/>
    <w:rsid w:val="24CD4542"/>
    <w:rsid w:val="24EE1F0C"/>
    <w:rsid w:val="2523138B"/>
    <w:rsid w:val="252D27AC"/>
    <w:rsid w:val="253568E8"/>
    <w:rsid w:val="2539268F"/>
    <w:rsid w:val="253F6151"/>
    <w:rsid w:val="25487564"/>
    <w:rsid w:val="25537E20"/>
    <w:rsid w:val="25697C46"/>
    <w:rsid w:val="256C1B5B"/>
    <w:rsid w:val="2593583B"/>
    <w:rsid w:val="25A2284A"/>
    <w:rsid w:val="25B519FD"/>
    <w:rsid w:val="25B81417"/>
    <w:rsid w:val="25BB704A"/>
    <w:rsid w:val="25C30489"/>
    <w:rsid w:val="25F3591F"/>
    <w:rsid w:val="25FE407C"/>
    <w:rsid w:val="26071F57"/>
    <w:rsid w:val="263B466F"/>
    <w:rsid w:val="263E0EAC"/>
    <w:rsid w:val="266071D5"/>
    <w:rsid w:val="266B722B"/>
    <w:rsid w:val="26894387"/>
    <w:rsid w:val="268E69E6"/>
    <w:rsid w:val="26BA0690"/>
    <w:rsid w:val="26BB23E6"/>
    <w:rsid w:val="26D4632B"/>
    <w:rsid w:val="27151F9C"/>
    <w:rsid w:val="27194349"/>
    <w:rsid w:val="271E24C5"/>
    <w:rsid w:val="272D7F07"/>
    <w:rsid w:val="27622244"/>
    <w:rsid w:val="27655664"/>
    <w:rsid w:val="276811E3"/>
    <w:rsid w:val="27890011"/>
    <w:rsid w:val="27A1703A"/>
    <w:rsid w:val="27E121C3"/>
    <w:rsid w:val="27FF223C"/>
    <w:rsid w:val="280704B5"/>
    <w:rsid w:val="2812613C"/>
    <w:rsid w:val="282273E5"/>
    <w:rsid w:val="283533E9"/>
    <w:rsid w:val="28374E18"/>
    <w:rsid w:val="283F33CD"/>
    <w:rsid w:val="28425FD1"/>
    <w:rsid w:val="28584CA2"/>
    <w:rsid w:val="28840AAD"/>
    <w:rsid w:val="28954ED3"/>
    <w:rsid w:val="28B52071"/>
    <w:rsid w:val="28C61782"/>
    <w:rsid w:val="28E4429B"/>
    <w:rsid w:val="28EB098E"/>
    <w:rsid w:val="29053272"/>
    <w:rsid w:val="29306795"/>
    <w:rsid w:val="29332234"/>
    <w:rsid w:val="294B5DCE"/>
    <w:rsid w:val="29532315"/>
    <w:rsid w:val="29566302"/>
    <w:rsid w:val="296563C1"/>
    <w:rsid w:val="29752DF4"/>
    <w:rsid w:val="29937C67"/>
    <w:rsid w:val="2998080E"/>
    <w:rsid w:val="29A943FB"/>
    <w:rsid w:val="29AA0412"/>
    <w:rsid w:val="29BB0CE9"/>
    <w:rsid w:val="29C15E35"/>
    <w:rsid w:val="29C36304"/>
    <w:rsid w:val="29D16DD2"/>
    <w:rsid w:val="29E7613C"/>
    <w:rsid w:val="29F15A0B"/>
    <w:rsid w:val="2A195A00"/>
    <w:rsid w:val="2A6E1D28"/>
    <w:rsid w:val="2A931A2E"/>
    <w:rsid w:val="2ABB0892"/>
    <w:rsid w:val="2ADA009F"/>
    <w:rsid w:val="2AEB310F"/>
    <w:rsid w:val="2AF90901"/>
    <w:rsid w:val="2B0428DA"/>
    <w:rsid w:val="2B1760E0"/>
    <w:rsid w:val="2B347D75"/>
    <w:rsid w:val="2B425909"/>
    <w:rsid w:val="2B913D0E"/>
    <w:rsid w:val="2BAA6FB4"/>
    <w:rsid w:val="2BB52FB9"/>
    <w:rsid w:val="2BBD31DA"/>
    <w:rsid w:val="2BD44CD9"/>
    <w:rsid w:val="2BD55B5A"/>
    <w:rsid w:val="2BEF516A"/>
    <w:rsid w:val="2BF96939"/>
    <w:rsid w:val="2C082D33"/>
    <w:rsid w:val="2C0B5F01"/>
    <w:rsid w:val="2C3934AF"/>
    <w:rsid w:val="2C50088B"/>
    <w:rsid w:val="2C693C27"/>
    <w:rsid w:val="2C6D38B0"/>
    <w:rsid w:val="2C963FFD"/>
    <w:rsid w:val="2C973F77"/>
    <w:rsid w:val="2C9D5806"/>
    <w:rsid w:val="2CA10CDD"/>
    <w:rsid w:val="2CD1434A"/>
    <w:rsid w:val="2CDE5A7A"/>
    <w:rsid w:val="2CEE6016"/>
    <w:rsid w:val="2CEF4A76"/>
    <w:rsid w:val="2CF916FA"/>
    <w:rsid w:val="2D093C9F"/>
    <w:rsid w:val="2D1B1B33"/>
    <w:rsid w:val="2D254713"/>
    <w:rsid w:val="2D2D0A11"/>
    <w:rsid w:val="2D3536B8"/>
    <w:rsid w:val="2D365434"/>
    <w:rsid w:val="2D3B7916"/>
    <w:rsid w:val="2D3C3A7D"/>
    <w:rsid w:val="2D3C3CD7"/>
    <w:rsid w:val="2D555855"/>
    <w:rsid w:val="2D681FD2"/>
    <w:rsid w:val="2D7423AD"/>
    <w:rsid w:val="2D7B1D4A"/>
    <w:rsid w:val="2D7F22A7"/>
    <w:rsid w:val="2D9109BF"/>
    <w:rsid w:val="2D993741"/>
    <w:rsid w:val="2DB600C3"/>
    <w:rsid w:val="2DD227A7"/>
    <w:rsid w:val="2DFF3321"/>
    <w:rsid w:val="2E0115DF"/>
    <w:rsid w:val="2E097677"/>
    <w:rsid w:val="2E173F56"/>
    <w:rsid w:val="2E193B83"/>
    <w:rsid w:val="2E1C6F62"/>
    <w:rsid w:val="2E27571E"/>
    <w:rsid w:val="2E333031"/>
    <w:rsid w:val="2E48670E"/>
    <w:rsid w:val="2E51670B"/>
    <w:rsid w:val="2E8F279C"/>
    <w:rsid w:val="2E9A5F12"/>
    <w:rsid w:val="2EB53BBB"/>
    <w:rsid w:val="2EDF107D"/>
    <w:rsid w:val="2EE437F9"/>
    <w:rsid w:val="2EE5197D"/>
    <w:rsid w:val="2F341996"/>
    <w:rsid w:val="2F3E4C01"/>
    <w:rsid w:val="2F62532D"/>
    <w:rsid w:val="2F856A63"/>
    <w:rsid w:val="2FA97745"/>
    <w:rsid w:val="2FAA0FB7"/>
    <w:rsid w:val="2FCE676B"/>
    <w:rsid w:val="2FD61C3D"/>
    <w:rsid w:val="2FEF10DB"/>
    <w:rsid w:val="300563D4"/>
    <w:rsid w:val="300C45EF"/>
    <w:rsid w:val="30280C4A"/>
    <w:rsid w:val="30461A06"/>
    <w:rsid w:val="30497748"/>
    <w:rsid w:val="30566E0B"/>
    <w:rsid w:val="306C4308"/>
    <w:rsid w:val="307160DC"/>
    <w:rsid w:val="30AB22E4"/>
    <w:rsid w:val="30B87114"/>
    <w:rsid w:val="30C27C4C"/>
    <w:rsid w:val="30EC4B0C"/>
    <w:rsid w:val="30ED594E"/>
    <w:rsid w:val="30FD564A"/>
    <w:rsid w:val="311D6372"/>
    <w:rsid w:val="312B37E3"/>
    <w:rsid w:val="313C7EEA"/>
    <w:rsid w:val="314B381C"/>
    <w:rsid w:val="314D3A38"/>
    <w:rsid w:val="31580D1D"/>
    <w:rsid w:val="31722917"/>
    <w:rsid w:val="31732017"/>
    <w:rsid w:val="317C2DC5"/>
    <w:rsid w:val="31BE39E8"/>
    <w:rsid w:val="31BF763B"/>
    <w:rsid w:val="31F435B2"/>
    <w:rsid w:val="320C33A1"/>
    <w:rsid w:val="321D6C82"/>
    <w:rsid w:val="3229558C"/>
    <w:rsid w:val="323053A3"/>
    <w:rsid w:val="323D35EB"/>
    <w:rsid w:val="325A5661"/>
    <w:rsid w:val="328B3968"/>
    <w:rsid w:val="32981BBF"/>
    <w:rsid w:val="32C147F4"/>
    <w:rsid w:val="330E2DC1"/>
    <w:rsid w:val="332E0049"/>
    <w:rsid w:val="33341670"/>
    <w:rsid w:val="334F350C"/>
    <w:rsid w:val="33513CF2"/>
    <w:rsid w:val="337068FB"/>
    <w:rsid w:val="33774D25"/>
    <w:rsid w:val="33841A7F"/>
    <w:rsid w:val="33882C2C"/>
    <w:rsid w:val="33887711"/>
    <w:rsid w:val="33907464"/>
    <w:rsid w:val="33965837"/>
    <w:rsid w:val="33AA50E6"/>
    <w:rsid w:val="33AD62E6"/>
    <w:rsid w:val="33B2699E"/>
    <w:rsid w:val="33B43DDB"/>
    <w:rsid w:val="33B7693E"/>
    <w:rsid w:val="33D35EC0"/>
    <w:rsid w:val="33DD2232"/>
    <w:rsid w:val="33EB0406"/>
    <w:rsid w:val="33F3175F"/>
    <w:rsid w:val="340A162B"/>
    <w:rsid w:val="3421519F"/>
    <w:rsid w:val="34216A65"/>
    <w:rsid w:val="34561EE4"/>
    <w:rsid w:val="346E51BD"/>
    <w:rsid w:val="347821DD"/>
    <w:rsid w:val="34872233"/>
    <w:rsid w:val="348C273F"/>
    <w:rsid w:val="34942631"/>
    <w:rsid w:val="34B97FC7"/>
    <w:rsid w:val="34C1388B"/>
    <w:rsid w:val="34C31F31"/>
    <w:rsid w:val="34CD3EA1"/>
    <w:rsid w:val="34D929F4"/>
    <w:rsid w:val="34E010CD"/>
    <w:rsid w:val="34E32054"/>
    <w:rsid w:val="34FF1701"/>
    <w:rsid w:val="34FF4E5D"/>
    <w:rsid w:val="35007656"/>
    <w:rsid w:val="350E0033"/>
    <w:rsid w:val="3522430E"/>
    <w:rsid w:val="352A5FD8"/>
    <w:rsid w:val="352E0F08"/>
    <w:rsid w:val="35631621"/>
    <w:rsid w:val="357D0DD1"/>
    <w:rsid w:val="358175A7"/>
    <w:rsid w:val="35BA7F90"/>
    <w:rsid w:val="35C6259B"/>
    <w:rsid w:val="35CA4469"/>
    <w:rsid w:val="35D16F54"/>
    <w:rsid w:val="35F01052"/>
    <w:rsid w:val="35F27E2D"/>
    <w:rsid w:val="35F72C7E"/>
    <w:rsid w:val="35FF1ADE"/>
    <w:rsid w:val="360258DD"/>
    <w:rsid w:val="360627D2"/>
    <w:rsid w:val="360D63C8"/>
    <w:rsid w:val="36170B0F"/>
    <w:rsid w:val="36246912"/>
    <w:rsid w:val="362D5ECB"/>
    <w:rsid w:val="36425100"/>
    <w:rsid w:val="366339B0"/>
    <w:rsid w:val="3685256B"/>
    <w:rsid w:val="369060B3"/>
    <w:rsid w:val="369F4AB1"/>
    <w:rsid w:val="36BE02F7"/>
    <w:rsid w:val="36CE3A65"/>
    <w:rsid w:val="36D53214"/>
    <w:rsid w:val="36DB282E"/>
    <w:rsid w:val="36DC37C4"/>
    <w:rsid w:val="36E35B01"/>
    <w:rsid w:val="36E713DE"/>
    <w:rsid w:val="36F30336"/>
    <w:rsid w:val="3709319D"/>
    <w:rsid w:val="370D35F7"/>
    <w:rsid w:val="372B4140"/>
    <w:rsid w:val="37384D46"/>
    <w:rsid w:val="374E6C65"/>
    <w:rsid w:val="37A52A63"/>
    <w:rsid w:val="37B77F1A"/>
    <w:rsid w:val="37CD6C71"/>
    <w:rsid w:val="37D45979"/>
    <w:rsid w:val="37E94D8C"/>
    <w:rsid w:val="3806257E"/>
    <w:rsid w:val="381A7F30"/>
    <w:rsid w:val="38300ACF"/>
    <w:rsid w:val="385344C1"/>
    <w:rsid w:val="385B07BB"/>
    <w:rsid w:val="38BC4993"/>
    <w:rsid w:val="38C45B8C"/>
    <w:rsid w:val="38F3228D"/>
    <w:rsid w:val="390300D0"/>
    <w:rsid w:val="3903531C"/>
    <w:rsid w:val="390F5E65"/>
    <w:rsid w:val="39315B32"/>
    <w:rsid w:val="3957396E"/>
    <w:rsid w:val="3967067A"/>
    <w:rsid w:val="39962B1A"/>
    <w:rsid w:val="39D6118D"/>
    <w:rsid w:val="39FE0119"/>
    <w:rsid w:val="3A027325"/>
    <w:rsid w:val="3A1B6795"/>
    <w:rsid w:val="3A2071EB"/>
    <w:rsid w:val="3A35011B"/>
    <w:rsid w:val="3A39104D"/>
    <w:rsid w:val="3A4726CD"/>
    <w:rsid w:val="3A481B2D"/>
    <w:rsid w:val="3A587C96"/>
    <w:rsid w:val="3A593A26"/>
    <w:rsid w:val="3A5960EE"/>
    <w:rsid w:val="3A8551C8"/>
    <w:rsid w:val="3A891C67"/>
    <w:rsid w:val="3A901453"/>
    <w:rsid w:val="3A9E48B4"/>
    <w:rsid w:val="3AA66471"/>
    <w:rsid w:val="3AA77913"/>
    <w:rsid w:val="3AB02CB8"/>
    <w:rsid w:val="3ABC37DA"/>
    <w:rsid w:val="3AC85FF8"/>
    <w:rsid w:val="3ACC6A80"/>
    <w:rsid w:val="3B300202"/>
    <w:rsid w:val="3B3165C4"/>
    <w:rsid w:val="3B380455"/>
    <w:rsid w:val="3B5573A4"/>
    <w:rsid w:val="3B6440CE"/>
    <w:rsid w:val="3B6B0E42"/>
    <w:rsid w:val="3B702B5D"/>
    <w:rsid w:val="3BAA1222"/>
    <w:rsid w:val="3BBA27F2"/>
    <w:rsid w:val="3BCE29FD"/>
    <w:rsid w:val="3BD00AD8"/>
    <w:rsid w:val="3BE15BDA"/>
    <w:rsid w:val="3BFF534F"/>
    <w:rsid w:val="3C0854EC"/>
    <w:rsid w:val="3C152F01"/>
    <w:rsid w:val="3C1A6FFE"/>
    <w:rsid w:val="3C1F361E"/>
    <w:rsid w:val="3C2639C0"/>
    <w:rsid w:val="3C3C0E78"/>
    <w:rsid w:val="3C745416"/>
    <w:rsid w:val="3C79586E"/>
    <w:rsid w:val="3C810D4A"/>
    <w:rsid w:val="3C8B2C9C"/>
    <w:rsid w:val="3C983BA7"/>
    <w:rsid w:val="3C9A1EBC"/>
    <w:rsid w:val="3CD80887"/>
    <w:rsid w:val="3CE4767C"/>
    <w:rsid w:val="3D20425B"/>
    <w:rsid w:val="3D273CA1"/>
    <w:rsid w:val="3D3108FC"/>
    <w:rsid w:val="3D3F7F93"/>
    <w:rsid w:val="3D4203D0"/>
    <w:rsid w:val="3D482062"/>
    <w:rsid w:val="3D4A65CE"/>
    <w:rsid w:val="3D720332"/>
    <w:rsid w:val="3D833902"/>
    <w:rsid w:val="3D844014"/>
    <w:rsid w:val="3D8F09F2"/>
    <w:rsid w:val="3DAD6152"/>
    <w:rsid w:val="3DC13DCB"/>
    <w:rsid w:val="3DC34729"/>
    <w:rsid w:val="3DE9747B"/>
    <w:rsid w:val="3DF55008"/>
    <w:rsid w:val="3DF773A0"/>
    <w:rsid w:val="3E267F37"/>
    <w:rsid w:val="3E2B25BA"/>
    <w:rsid w:val="3E2E3277"/>
    <w:rsid w:val="3E4A2A9B"/>
    <w:rsid w:val="3E6549B8"/>
    <w:rsid w:val="3E8D4E74"/>
    <w:rsid w:val="3E9A5304"/>
    <w:rsid w:val="3EB5213D"/>
    <w:rsid w:val="3EBC4DEF"/>
    <w:rsid w:val="3EC46393"/>
    <w:rsid w:val="3EC864CE"/>
    <w:rsid w:val="3ECE2BEE"/>
    <w:rsid w:val="3ED20FB4"/>
    <w:rsid w:val="3ED757D1"/>
    <w:rsid w:val="3EED1AC6"/>
    <w:rsid w:val="3F115329"/>
    <w:rsid w:val="3F365AB0"/>
    <w:rsid w:val="3F3F55BF"/>
    <w:rsid w:val="3F727917"/>
    <w:rsid w:val="3F7A7282"/>
    <w:rsid w:val="3F820DF2"/>
    <w:rsid w:val="3F885031"/>
    <w:rsid w:val="3F891A44"/>
    <w:rsid w:val="3FB825E1"/>
    <w:rsid w:val="3FCA54FF"/>
    <w:rsid w:val="3FE16076"/>
    <w:rsid w:val="3FF54B69"/>
    <w:rsid w:val="40053AEF"/>
    <w:rsid w:val="401943AA"/>
    <w:rsid w:val="40474563"/>
    <w:rsid w:val="404D74F4"/>
    <w:rsid w:val="40553E07"/>
    <w:rsid w:val="406F7959"/>
    <w:rsid w:val="409C2E6C"/>
    <w:rsid w:val="40B1111B"/>
    <w:rsid w:val="40CC1305"/>
    <w:rsid w:val="40D9303C"/>
    <w:rsid w:val="40D94239"/>
    <w:rsid w:val="40DD3FA4"/>
    <w:rsid w:val="40E0260F"/>
    <w:rsid w:val="40E81801"/>
    <w:rsid w:val="413455EB"/>
    <w:rsid w:val="41434BDD"/>
    <w:rsid w:val="414D2FA2"/>
    <w:rsid w:val="415A589B"/>
    <w:rsid w:val="41646889"/>
    <w:rsid w:val="418F53EB"/>
    <w:rsid w:val="419068A2"/>
    <w:rsid w:val="4191501F"/>
    <w:rsid w:val="4192041B"/>
    <w:rsid w:val="41A50E7A"/>
    <w:rsid w:val="41B15C11"/>
    <w:rsid w:val="41B42DBD"/>
    <w:rsid w:val="41BC665A"/>
    <w:rsid w:val="41E25433"/>
    <w:rsid w:val="41E87BAB"/>
    <w:rsid w:val="41F93E2C"/>
    <w:rsid w:val="41FE471A"/>
    <w:rsid w:val="4208394E"/>
    <w:rsid w:val="420C05F2"/>
    <w:rsid w:val="42123249"/>
    <w:rsid w:val="42185649"/>
    <w:rsid w:val="421B5CE9"/>
    <w:rsid w:val="424E280C"/>
    <w:rsid w:val="426A5969"/>
    <w:rsid w:val="4281684C"/>
    <w:rsid w:val="42C366DD"/>
    <w:rsid w:val="42C428EB"/>
    <w:rsid w:val="431D0242"/>
    <w:rsid w:val="434C5FFF"/>
    <w:rsid w:val="435C41F1"/>
    <w:rsid w:val="43734926"/>
    <w:rsid w:val="4388757A"/>
    <w:rsid w:val="438D700B"/>
    <w:rsid w:val="43A632D7"/>
    <w:rsid w:val="43B94089"/>
    <w:rsid w:val="43BF0624"/>
    <w:rsid w:val="43E56B94"/>
    <w:rsid w:val="43ED13E7"/>
    <w:rsid w:val="43ED353C"/>
    <w:rsid w:val="43F15ABD"/>
    <w:rsid w:val="43FC384B"/>
    <w:rsid w:val="440301EB"/>
    <w:rsid w:val="4417132F"/>
    <w:rsid w:val="44193AA8"/>
    <w:rsid w:val="44293A2D"/>
    <w:rsid w:val="44405482"/>
    <w:rsid w:val="4443562E"/>
    <w:rsid w:val="445A757F"/>
    <w:rsid w:val="446C66FB"/>
    <w:rsid w:val="447F6DAD"/>
    <w:rsid w:val="4485355E"/>
    <w:rsid w:val="4496142D"/>
    <w:rsid w:val="44AE0F68"/>
    <w:rsid w:val="44B70E1C"/>
    <w:rsid w:val="44C21817"/>
    <w:rsid w:val="44C864A2"/>
    <w:rsid w:val="44EE285D"/>
    <w:rsid w:val="44F47D63"/>
    <w:rsid w:val="451A1345"/>
    <w:rsid w:val="45210678"/>
    <w:rsid w:val="45365A7D"/>
    <w:rsid w:val="45432E6E"/>
    <w:rsid w:val="45502EFA"/>
    <w:rsid w:val="45596C5C"/>
    <w:rsid w:val="456A6A3D"/>
    <w:rsid w:val="456D007F"/>
    <w:rsid w:val="45715EA3"/>
    <w:rsid w:val="45732BA3"/>
    <w:rsid w:val="457814AF"/>
    <w:rsid w:val="457D1390"/>
    <w:rsid w:val="45AA7185"/>
    <w:rsid w:val="45BB6D5F"/>
    <w:rsid w:val="45CA2C98"/>
    <w:rsid w:val="45D47576"/>
    <w:rsid w:val="45DB01BB"/>
    <w:rsid w:val="45DB76C3"/>
    <w:rsid w:val="460F3D59"/>
    <w:rsid w:val="461A0474"/>
    <w:rsid w:val="46221F59"/>
    <w:rsid w:val="4622308A"/>
    <w:rsid w:val="463A25FA"/>
    <w:rsid w:val="463A4AB2"/>
    <w:rsid w:val="46493457"/>
    <w:rsid w:val="4664688D"/>
    <w:rsid w:val="469118B1"/>
    <w:rsid w:val="469C48FB"/>
    <w:rsid w:val="46BD3B9D"/>
    <w:rsid w:val="46C568E3"/>
    <w:rsid w:val="46DF4D26"/>
    <w:rsid w:val="46E52D55"/>
    <w:rsid w:val="46F14F25"/>
    <w:rsid w:val="46F30A2D"/>
    <w:rsid w:val="47056CA6"/>
    <w:rsid w:val="470A789B"/>
    <w:rsid w:val="47372A85"/>
    <w:rsid w:val="47652B4A"/>
    <w:rsid w:val="4787125E"/>
    <w:rsid w:val="47992A9F"/>
    <w:rsid w:val="47A33CC1"/>
    <w:rsid w:val="47BA383E"/>
    <w:rsid w:val="47BF2FE6"/>
    <w:rsid w:val="47D54965"/>
    <w:rsid w:val="48342339"/>
    <w:rsid w:val="48363D2A"/>
    <w:rsid w:val="485C7AF8"/>
    <w:rsid w:val="489674F7"/>
    <w:rsid w:val="48B8274A"/>
    <w:rsid w:val="48D8063B"/>
    <w:rsid w:val="49061158"/>
    <w:rsid w:val="490802F5"/>
    <w:rsid w:val="491E3725"/>
    <w:rsid w:val="492941E4"/>
    <w:rsid w:val="492E0D3E"/>
    <w:rsid w:val="493C5DEF"/>
    <w:rsid w:val="494A7E10"/>
    <w:rsid w:val="49750A0E"/>
    <w:rsid w:val="498D699C"/>
    <w:rsid w:val="49AD07BA"/>
    <w:rsid w:val="49C76F93"/>
    <w:rsid w:val="4A0822E7"/>
    <w:rsid w:val="4A0B1B0D"/>
    <w:rsid w:val="4A1E6E59"/>
    <w:rsid w:val="4A2328EA"/>
    <w:rsid w:val="4A2365AA"/>
    <w:rsid w:val="4A3610D0"/>
    <w:rsid w:val="4A375916"/>
    <w:rsid w:val="4A58087D"/>
    <w:rsid w:val="4AE83388"/>
    <w:rsid w:val="4B1155F2"/>
    <w:rsid w:val="4B1552CA"/>
    <w:rsid w:val="4B18275A"/>
    <w:rsid w:val="4B1F0576"/>
    <w:rsid w:val="4B415E8C"/>
    <w:rsid w:val="4B573495"/>
    <w:rsid w:val="4B5A3F42"/>
    <w:rsid w:val="4B5E4EA7"/>
    <w:rsid w:val="4B6E6D32"/>
    <w:rsid w:val="4B7701E2"/>
    <w:rsid w:val="4B7D1063"/>
    <w:rsid w:val="4B801B9C"/>
    <w:rsid w:val="4B892A61"/>
    <w:rsid w:val="4BAB409D"/>
    <w:rsid w:val="4BB01A6D"/>
    <w:rsid w:val="4BBC48B1"/>
    <w:rsid w:val="4BD53B8D"/>
    <w:rsid w:val="4BD923A6"/>
    <w:rsid w:val="4BF72FE5"/>
    <w:rsid w:val="4C122693"/>
    <w:rsid w:val="4C1D24E0"/>
    <w:rsid w:val="4C3318C0"/>
    <w:rsid w:val="4C3A5AD2"/>
    <w:rsid w:val="4C796DFC"/>
    <w:rsid w:val="4C806B31"/>
    <w:rsid w:val="4C821E70"/>
    <w:rsid w:val="4CAA0BB5"/>
    <w:rsid w:val="4CB020F9"/>
    <w:rsid w:val="4CBE6D04"/>
    <w:rsid w:val="4CD2257B"/>
    <w:rsid w:val="4CD4605E"/>
    <w:rsid w:val="4CDE5122"/>
    <w:rsid w:val="4CDF647F"/>
    <w:rsid w:val="4CE85349"/>
    <w:rsid w:val="4CFF494A"/>
    <w:rsid w:val="4D1360A4"/>
    <w:rsid w:val="4D2A3A4D"/>
    <w:rsid w:val="4D2F699F"/>
    <w:rsid w:val="4D31473C"/>
    <w:rsid w:val="4D3442AE"/>
    <w:rsid w:val="4D3E40B3"/>
    <w:rsid w:val="4D3F2EB8"/>
    <w:rsid w:val="4D6F1420"/>
    <w:rsid w:val="4D7C34CC"/>
    <w:rsid w:val="4D8135CF"/>
    <w:rsid w:val="4DAC271D"/>
    <w:rsid w:val="4DC02DC8"/>
    <w:rsid w:val="4DDF01FD"/>
    <w:rsid w:val="4DF3435E"/>
    <w:rsid w:val="4DF37D0A"/>
    <w:rsid w:val="4DF7667D"/>
    <w:rsid w:val="4DFA5520"/>
    <w:rsid w:val="4DFB4335"/>
    <w:rsid w:val="4DFB437B"/>
    <w:rsid w:val="4E1B0235"/>
    <w:rsid w:val="4E202B4B"/>
    <w:rsid w:val="4E2B39B8"/>
    <w:rsid w:val="4E5650C7"/>
    <w:rsid w:val="4E6B5642"/>
    <w:rsid w:val="4E7231A6"/>
    <w:rsid w:val="4E787EAE"/>
    <w:rsid w:val="4E7B36E9"/>
    <w:rsid w:val="4E9E6962"/>
    <w:rsid w:val="4EC17708"/>
    <w:rsid w:val="4EC9429E"/>
    <w:rsid w:val="4ED4056B"/>
    <w:rsid w:val="4ED826B7"/>
    <w:rsid w:val="4EDF251E"/>
    <w:rsid w:val="4EFE1BD7"/>
    <w:rsid w:val="4F1D2884"/>
    <w:rsid w:val="4F1D371F"/>
    <w:rsid w:val="4F22406F"/>
    <w:rsid w:val="4F334017"/>
    <w:rsid w:val="4F572D9B"/>
    <w:rsid w:val="4F624DEF"/>
    <w:rsid w:val="4F73115D"/>
    <w:rsid w:val="4F7D1C92"/>
    <w:rsid w:val="4F805561"/>
    <w:rsid w:val="4F891F33"/>
    <w:rsid w:val="4F8D46D4"/>
    <w:rsid w:val="4FA32236"/>
    <w:rsid w:val="4FC3727C"/>
    <w:rsid w:val="4FC37AD4"/>
    <w:rsid w:val="4FC81DF1"/>
    <w:rsid w:val="4FDF242A"/>
    <w:rsid w:val="4FE72148"/>
    <w:rsid w:val="4FFC65FB"/>
    <w:rsid w:val="502C581B"/>
    <w:rsid w:val="502E379C"/>
    <w:rsid w:val="503A6A56"/>
    <w:rsid w:val="50545B57"/>
    <w:rsid w:val="508D03AF"/>
    <w:rsid w:val="50A21B69"/>
    <w:rsid w:val="50DA2806"/>
    <w:rsid w:val="50E21BB2"/>
    <w:rsid w:val="50E26A6A"/>
    <w:rsid w:val="51123FD6"/>
    <w:rsid w:val="512B574F"/>
    <w:rsid w:val="512C16C8"/>
    <w:rsid w:val="513D0782"/>
    <w:rsid w:val="51481F13"/>
    <w:rsid w:val="515A1CDE"/>
    <w:rsid w:val="516C7666"/>
    <w:rsid w:val="516E5322"/>
    <w:rsid w:val="5175467C"/>
    <w:rsid w:val="51956C95"/>
    <w:rsid w:val="519B1B13"/>
    <w:rsid w:val="51A23523"/>
    <w:rsid w:val="51B9445A"/>
    <w:rsid w:val="51C8027C"/>
    <w:rsid w:val="51CD3850"/>
    <w:rsid w:val="51D21B63"/>
    <w:rsid w:val="51F22675"/>
    <w:rsid w:val="51F65309"/>
    <w:rsid w:val="52005544"/>
    <w:rsid w:val="523F3EF1"/>
    <w:rsid w:val="52475C76"/>
    <w:rsid w:val="5250728B"/>
    <w:rsid w:val="52582D49"/>
    <w:rsid w:val="5265133F"/>
    <w:rsid w:val="526C1D2D"/>
    <w:rsid w:val="52882208"/>
    <w:rsid w:val="528E5ED2"/>
    <w:rsid w:val="52BF14D9"/>
    <w:rsid w:val="52F26729"/>
    <w:rsid w:val="52F653CA"/>
    <w:rsid w:val="530F0126"/>
    <w:rsid w:val="53215DC1"/>
    <w:rsid w:val="53343024"/>
    <w:rsid w:val="534333A3"/>
    <w:rsid w:val="534D1F36"/>
    <w:rsid w:val="53553B0F"/>
    <w:rsid w:val="53A7074E"/>
    <w:rsid w:val="53D526A0"/>
    <w:rsid w:val="5424586C"/>
    <w:rsid w:val="545772BE"/>
    <w:rsid w:val="5475210A"/>
    <w:rsid w:val="549F284E"/>
    <w:rsid w:val="54AB26BE"/>
    <w:rsid w:val="54B22687"/>
    <w:rsid w:val="54BD2E74"/>
    <w:rsid w:val="54CD1F82"/>
    <w:rsid w:val="54CD7075"/>
    <w:rsid w:val="54CE02DF"/>
    <w:rsid w:val="54FA25E0"/>
    <w:rsid w:val="54FC076E"/>
    <w:rsid w:val="54FF07DA"/>
    <w:rsid w:val="554124AE"/>
    <w:rsid w:val="55457580"/>
    <w:rsid w:val="555169B9"/>
    <w:rsid w:val="555652B3"/>
    <w:rsid w:val="55622D21"/>
    <w:rsid w:val="55684148"/>
    <w:rsid w:val="557177C0"/>
    <w:rsid w:val="55855731"/>
    <w:rsid w:val="55AC63E5"/>
    <w:rsid w:val="55BD39EB"/>
    <w:rsid w:val="55D65368"/>
    <w:rsid w:val="55DA3793"/>
    <w:rsid w:val="55EE260F"/>
    <w:rsid w:val="55F354F3"/>
    <w:rsid w:val="562F498C"/>
    <w:rsid w:val="564E53BF"/>
    <w:rsid w:val="565C5CE0"/>
    <w:rsid w:val="56636EF2"/>
    <w:rsid w:val="56711CC2"/>
    <w:rsid w:val="56802EDF"/>
    <w:rsid w:val="56BB1C75"/>
    <w:rsid w:val="56C0616C"/>
    <w:rsid w:val="56C42BDD"/>
    <w:rsid w:val="56CF5E6D"/>
    <w:rsid w:val="56DC7BDB"/>
    <w:rsid w:val="56E2460C"/>
    <w:rsid w:val="56F41F92"/>
    <w:rsid w:val="572248A0"/>
    <w:rsid w:val="57566AC2"/>
    <w:rsid w:val="576F1FC3"/>
    <w:rsid w:val="57960862"/>
    <w:rsid w:val="57996B2C"/>
    <w:rsid w:val="57BC4C9C"/>
    <w:rsid w:val="57BD415C"/>
    <w:rsid w:val="57C253F0"/>
    <w:rsid w:val="57CC7366"/>
    <w:rsid w:val="580748F9"/>
    <w:rsid w:val="580B1EEE"/>
    <w:rsid w:val="580F1239"/>
    <w:rsid w:val="582711E6"/>
    <w:rsid w:val="58361E7A"/>
    <w:rsid w:val="5863122E"/>
    <w:rsid w:val="586435B6"/>
    <w:rsid w:val="58643F00"/>
    <w:rsid w:val="58851A63"/>
    <w:rsid w:val="588A6AD2"/>
    <w:rsid w:val="58A16586"/>
    <w:rsid w:val="58D379F2"/>
    <w:rsid w:val="58DE77F6"/>
    <w:rsid w:val="58E7604F"/>
    <w:rsid w:val="58FF4057"/>
    <w:rsid w:val="59256822"/>
    <w:rsid w:val="592B4CAC"/>
    <w:rsid w:val="59443C29"/>
    <w:rsid w:val="594A3D24"/>
    <w:rsid w:val="595620DB"/>
    <w:rsid w:val="59563313"/>
    <w:rsid w:val="596320F5"/>
    <w:rsid w:val="59641E3E"/>
    <w:rsid w:val="596B7215"/>
    <w:rsid w:val="59864FB2"/>
    <w:rsid w:val="5993415C"/>
    <w:rsid w:val="59AE3545"/>
    <w:rsid w:val="59D25EBE"/>
    <w:rsid w:val="5A056BFD"/>
    <w:rsid w:val="5A8931E9"/>
    <w:rsid w:val="5A9B0E5E"/>
    <w:rsid w:val="5A9F4FF2"/>
    <w:rsid w:val="5AA97954"/>
    <w:rsid w:val="5AC04993"/>
    <w:rsid w:val="5AC703B1"/>
    <w:rsid w:val="5B242987"/>
    <w:rsid w:val="5B2E0D06"/>
    <w:rsid w:val="5B583EBA"/>
    <w:rsid w:val="5B6E42AB"/>
    <w:rsid w:val="5B755453"/>
    <w:rsid w:val="5B9B475C"/>
    <w:rsid w:val="5BA00F7C"/>
    <w:rsid w:val="5BB9648F"/>
    <w:rsid w:val="5BC25E3E"/>
    <w:rsid w:val="5C04355A"/>
    <w:rsid w:val="5C0A3972"/>
    <w:rsid w:val="5C1F6B59"/>
    <w:rsid w:val="5C281F23"/>
    <w:rsid w:val="5C586941"/>
    <w:rsid w:val="5C617402"/>
    <w:rsid w:val="5D0513F5"/>
    <w:rsid w:val="5D0C7D95"/>
    <w:rsid w:val="5D1A5393"/>
    <w:rsid w:val="5D22762C"/>
    <w:rsid w:val="5D230532"/>
    <w:rsid w:val="5D28026C"/>
    <w:rsid w:val="5D314D15"/>
    <w:rsid w:val="5D387610"/>
    <w:rsid w:val="5D46279B"/>
    <w:rsid w:val="5D4B0109"/>
    <w:rsid w:val="5D5C033B"/>
    <w:rsid w:val="5D772B95"/>
    <w:rsid w:val="5D9A6A3D"/>
    <w:rsid w:val="5D9E2F27"/>
    <w:rsid w:val="5DC65C5A"/>
    <w:rsid w:val="5DD45B7B"/>
    <w:rsid w:val="5DEE16F6"/>
    <w:rsid w:val="5DF9398D"/>
    <w:rsid w:val="5E0104FB"/>
    <w:rsid w:val="5E0205F0"/>
    <w:rsid w:val="5E095FD6"/>
    <w:rsid w:val="5E3C2701"/>
    <w:rsid w:val="5E5D258D"/>
    <w:rsid w:val="5E670F02"/>
    <w:rsid w:val="5E922995"/>
    <w:rsid w:val="5E997C51"/>
    <w:rsid w:val="5EA26F5A"/>
    <w:rsid w:val="5EC55B64"/>
    <w:rsid w:val="5EC77638"/>
    <w:rsid w:val="5ED173BD"/>
    <w:rsid w:val="5EF20384"/>
    <w:rsid w:val="5F0C0C96"/>
    <w:rsid w:val="5F123973"/>
    <w:rsid w:val="5F25133A"/>
    <w:rsid w:val="5F2C5E3A"/>
    <w:rsid w:val="5F2E5DAC"/>
    <w:rsid w:val="5F4116A8"/>
    <w:rsid w:val="5F7F5C85"/>
    <w:rsid w:val="5F9300AA"/>
    <w:rsid w:val="5FAD7FE8"/>
    <w:rsid w:val="5FAF3EE8"/>
    <w:rsid w:val="5FB012BB"/>
    <w:rsid w:val="5FB21D65"/>
    <w:rsid w:val="5FB60FA1"/>
    <w:rsid w:val="5FB65919"/>
    <w:rsid w:val="5FB74B4B"/>
    <w:rsid w:val="5FB772DD"/>
    <w:rsid w:val="5FC03764"/>
    <w:rsid w:val="5FCA37FF"/>
    <w:rsid w:val="5FCE51B0"/>
    <w:rsid w:val="5FE110AA"/>
    <w:rsid w:val="5FE63971"/>
    <w:rsid w:val="5FF955B8"/>
    <w:rsid w:val="603819F0"/>
    <w:rsid w:val="604044B3"/>
    <w:rsid w:val="60445566"/>
    <w:rsid w:val="60451A52"/>
    <w:rsid w:val="604E6B79"/>
    <w:rsid w:val="60637905"/>
    <w:rsid w:val="60702ED7"/>
    <w:rsid w:val="60716CB7"/>
    <w:rsid w:val="60A71926"/>
    <w:rsid w:val="60E174E9"/>
    <w:rsid w:val="60E33CE0"/>
    <w:rsid w:val="60E45755"/>
    <w:rsid w:val="60F11ACC"/>
    <w:rsid w:val="61245CBB"/>
    <w:rsid w:val="613F1FCD"/>
    <w:rsid w:val="61415E1E"/>
    <w:rsid w:val="614F59B8"/>
    <w:rsid w:val="61603A71"/>
    <w:rsid w:val="616D3845"/>
    <w:rsid w:val="619706BD"/>
    <w:rsid w:val="619F3CE0"/>
    <w:rsid w:val="61C90742"/>
    <w:rsid w:val="61E00F5E"/>
    <w:rsid w:val="61FF6957"/>
    <w:rsid w:val="62095C8A"/>
    <w:rsid w:val="620C6BAB"/>
    <w:rsid w:val="621973B0"/>
    <w:rsid w:val="62323A92"/>
    <w:rsid w:val="6243605F"/>
    <w:rsid w:val="626F0DCF"/>
    <w:rsid w:val="62744805"/>
    <w:rsid w:val="628B1D94"/>
    <w:rsid w:val="62A078CC"/>
    <w:rsid w:val="62A26D46"/>
    <w:rsid w:val="62B43548"/>
    <w:rsid w:val="62C32259"/>
    <w:rsid w:val="62D40767"/>
    <w:rsid w:val="62DF39E9"/>
    <w:rsid w:val="62F52B28"/>
    <w:rsid w:val="62FA23A2"/>
    <w:rsid w:val="632F4C54"/>
    <w:rsid w:val="633356A8"/>
    <w:rsid w:val="6336023A"/>
    <w:rsid w:val="637D28DB"/>
    <w:rsid w:val="63925297"/>
    <w:rsid w:val="639918CB"/>
    <w:rsid w:val="63BB5339"/>
    <w:rsid w:val="63C64ED3"/>
    <w:rsid w:val="63E26B0C"/>
    <w:rsid w:val="63FD232B"/>
    <w:rsid w:val="6403179D"/>
    <w:rsid w:val="64726008"/>
    <w:rsid w:val="64AD20BC"/>
    <w:rsid w:val="64D811C9"/>
    <w:rsid w:val="64E96264"/>
    <w:rsid w:val="650F0736"/>
    <w:rsid w:val="65377D1B"/>
    <w:rsid w:val="653F532E"/>
    <w:rsid w:val="65473BDD"/>
    <w:rsid w:val="65476BE1"/>
    <w:rsid w:val="654950EA"/>
    <w:rsid w:val="65527936"/>
    <w:rsid w:val="655728FC"/>
    <w:rsid w:val="65672B12"/>
    <w:rsid w:val="65780480"/>
    <w:rsid w:val="658810E8"/>
    <w:rsid w:val="65AB65E0"/>
    <w:rsid w:val="65BD38F1"/>
    <w:rsid w:val="65F644BD"/>
    <w:rsid w:val="66127C70"/>
    <w:rsid w:val="662A782F"/>
    <w:rsid w:val="66587F43"/>
    <w:rsid w:val="667F07BA"/>
    <w:rsid w:val="668A1100"/>
    <w:rsid w:val="668D261D"/>
    <w:rsid w:val="66977C77"/>
    <w:rsid w:val="66A80E87"/>
    <w:rsid w:val="66AA76F2"/>
    <w:rsid w:val="66AD6755"/>
    <w:rsid w:val="66B86AE4"/>
    <w:rsid w:val="66BD7D7E"/>
    <w:rsid w:val="66CD5F3A"/>
    <w:rsid w:val="66D3237B"/>
    <w:rsid w:val="66E71606"/>
    <w:rsid w:val="66EB1384"/>
    <w:rsid w:val="67166EC5"/>
    <w:rsid w:val="67210094"/>
    <w:rsid w:val="67336828"/>
    <w:rsid w:val="673F1301"/>
    <w:rsid w:val="67416A44"/>
    <w:rsid w:val="675E1C55"/>
    <w:rsid w:val="67652A58"/>
    <w:rsid w:val="676A31F2"/>
    <w:rsid w:val="67712305"/>
    <w:rsid w:val="67736FEC"/>
    <w:rsid w:val="67875216"/>
    <w:rsid w:val="679867D0"/>
    <w:rsid w:val="67A54227"/>
    <w:rsid w:val="67AC1375"/>
    <w:rsid w:val="67AD0C2D"/>
    <w:rsid w:val="67E86158"/>
    <w:rsid w:val="67EC2A68"/>
    <w:rsid w:val="681F4A1B"/>
    <w:rsid w:val="684D39A5"/>
    <w:rsid w:val="685064A1"/>
    <w:rsid w:val="68592842"/>
    <w:rsid w:val="686167C2"/>
    <w:rsid w:val="686450D9"/>
    <w:rsid w:val="686D7FEE"/>
    <w:rsid w:val="687B2943"/>
    <w:rsid w:val="687B5DA7"/>
    <w:rsid w:val="687F6D54"/>
    <w:rsid w:val="68C107A0"/>
    <w:rsid w:val="691A31AB"/>
    <w:rsid w:val="691F40E4"/>
    <w:rsid w:val="693E6DB4"/>
    <w:rsid w:val="69545358"/>
    <w:rsid w:val="69645674"/>
    <w:rsid w:val="696E05C0"/>
    <w:rsid w:val="697408CC"/>
    <w:rsid w:val="697C07E8"/>
    <w:rsid w:val="698A76FD"/>
    <w:rsid w:val="69B117B7"/>
    <w:rsid w:val="69B452BD"/>
    <w:rsid w:val="69D54202"/>
    <w:rsid w:val="69DA5F5C"/>
    <w:rsid w:val="69F37FCF"/>
    <w:rsid w:val="69F66D45"/>
    <w:rsid w:val="6A1000B2"/>
    <w:rsid w:val="6A1414F7"/>
    <w:rsid w:val="6A5B392B"/>
    <w:rsid w:val="6A7727F9"/>
    <w:rsid w:val="6A7904B4"/>
    <w:rsid w:val="6A7F581D"/>
    <w:rsid w:val="6AAE5C4D"/>
    <w:rsid w:val="6AB56D46"/>
    <w:rsid w:val="6AB8030B"/>
    <w:rsid w:val="6AC26A45"/>
    <w:rsid w:val="6AD4602B"/>
    <w:rsid w:val="6AE63806"/>
    <w:rsid w:val="6B015D35"/>
    <w:rsid w:val="6B016E4F"/>
    <w:rsid w:val="6B087F72"/>
    <w:rsid w:val="6B200B90"/>
    <w:rsid w:val="6B220972"/>
    <w:rsid w:val="6B3F2242"/>
    <w:rsid w:val="6B474827"/>
    <w:rsid w:val="6B6E1603"/>
    <w:rsid w:val="6B7211DE"/>
    <w:rsid w:val="6B8D0C50"/>
    <w:rsid w:val="6B9168F0"/>
    <w:rsid w:val="6B9E1C99"/>
    <w:rsid w:val="6BAC63E0"/>
    <w:rsid w:val="6BB17CCD"/>
    <w:rsid w:val="6BD10EA4"/>
    <w:rsid w:val="6BFB72FE"/>
    <w:rsid w:val="6BFF6700"/>
    <w:rsid w:val="6C193201"/>
    <w:rsid w:val="6C2B3DF0"/>
    <w:rsid w:val="6C384E9E"/>
    <w:rsid w:val="6C442B3A"/>
    <w:rsid w:val="6C504440"/>
    <w:rsid w:val="6C5E1134"/>
    <w:rsid w:val="6C621892"/>
    <w:rsid w:val="6C7411B4"/>
    <w:rsid w:val="6C7E110D"/>
    <w:rsid w:val="6C8E04D6"/>
    <w:rsid w:val="6CA2751B"/>
    <w:rsid w:val="6CA3363F"/>
    <w:rsid w:val="6CB61EDC"/>
    <w:rsid w:val="6CC17E8D"/>
    <w:rsid w:val="6CD868F6"/>
    <w:rsid w:val="6CDE20BB"/>
    <w:rsid w:val="6D05385B"/>
    <w:rsid w:val="6D144035"/>
    <w:rsid w:val="6D1839B1"/>
    <w:rsid w:val="6D315983"/>
    <w:rsid w:val="6D7A37D1"/>
    <w:rsid w:val="6DA21479"/>
    <w:rsid w:val="6DC57A4B"/>
    <w:rsid w:val="6DC62FB7"/>
    <w:rsid w:val="6DD24BEB"/>
    <w:rsid w:val="6DD46355"/>
    <w:rsid w:val="6DDC7F86"/>
    <w:rsid w:val="6DF65F7C"/>
    <w:rsid w:val="6DFD4BC5"/>
    <w:rsid w:val="6E010DEA"/>
    <w:rsid w:val="6E0A3214"/>
    <w:rsid w:val="6E1216CB"/>
    <w:rsid w:val="6E1B3170"/>
    <w:rsid w:val="6E1E75D3"/>
    <w:rsid w:val="6E2C5C82"/>
    <w:rsid w:val="6E3B3401"/>
    <w:rsid w:val="6E413B35"/>
    <w:rsid w:val="6E6D45C2"/>
    <w:rsid w:val="6E85633A"/>
    <w:rsid w:val="6E9F3515"/>
    <w:rsid w:val="6EA10210"/>
    <w:rsid w:val="6EBA370A"/>
    <w:rsid w:val="6EC27EEA"/>
    <w:rsid w:val="6EC71C9F"/>
    <w:rsid w:val="6EE343B8"/>
    <w:rsid w:val="6EE558A8"/>
    <w:rsid w:val="6EE91537"/>
    <w:rsid w:val="6EF5535C"/>
    <w:rsid w:val="6F1116BF"/>
    <w:rsid w:val="6F2F106E"/>
    <w:rsid w:val="6F6C7A82"/>
    <w:rsid w:val="6F7B76F7"/>
    <w:rsid w:val="6F924462"/>
    <w:rsid w:val="6FA465AA"/>
    <w:rsid w:val="6FAC71E4"/>
    <w:rsid w:val="6FCD316B"/>
    <w:rsid w:val="6FD05A2A"/>
    <w:rsid w:val="6FEE084B"/>
    <w:rsid w:val="6FF16622"/>
    <w:rsid w:val="703B3BFC"/>
    <w:rsid w:val="70456902"/>
    <w:rsid w:val="704E6B13"/>
    <w:rsid w:val="70511CFD"/>
    <w:rsid w:val="706F7CF7"/>
    <w:rsid w:val="709032F2"/>
    <w:rsid w:val="70A15AFF"/>
    <w:rsid w:val="70A228FE"/>
    <w:rsid w:val="70BC3B32"/>
    <w:rsid w:val="70C7190D"/>
    <w:rsid w:val="70CA1FD5"/>
    <w:rsid w:val="70CD6595"/>
    <w:rsid w:val="70E75656"/>
    <w:rsid w:val="70EE0080"/>
    <w:rsid w:val="710A4D38"/>
    <w:rsid w:val="71174AD2"/>
    <w:rsid w:val="711F1EAD"/>
    <w:rsid w:val="712A4780"/>
    <w:rsid w:val="7132075F"/>
    <w:rsid w:val="71335D2E"/>
    <w:rsid w:val="714009FD"/>
    <w:rsid w:val="714C61F5"/>
    <w:rsid w:val="715E244A"/>
    <w:rsid w:val="715F644C"/>
    <w:rsid w:val="71BA0C85"/>
    <w:rsid w:val="71BF0E37"/>
    <w:rsid w:val="71D64FBD"/>
    <w:rsid w:val="71DB7D27"/>
    <w:rsid w:val="71ED676A"/>
    <w:rsid w:val="71F202C2"/>
    <w:rsid w:val="72353C87"/>
    <w:rsid w:val="72890517"/>
    <w:rsid w:val="72910072"/>
    <w:rsid w:val="72B56EEF"/>
    <w:rsid w:val="72CF74E1"/>
    <w:rsid w:val="730A427D"/>
    <w:rsid w:val="734372C8"/>
    <w:rsid w:val="73491262"/>
    <w:rsid w:val="73746D1D"/>
    <w:rsid w:val="73797A10"/>
    <w:rsid w:val="737A3959"/>
    <w:rsid w:val="73A6011C"/>
    <w:rsid w:val="73B12ED0"/>
    <w:rsid w:val="74021416"/>
    <w:rsid w:val="740B0CC7"/>
    <w:rsid w:val="7413358A"/>
    <w:rsid w:val="74143667"/>
    <w:rsid w:val="741D63AD"/>
    <w:rsid w:val="742B1BA1"/>
    <w:rsid w:val="743D2A83"/>
    <w:rsid w:val="745312B8"/>
    <w:rsid w:val="745430A3"/>
    <w:rsid w:val="746E42F6"/>
    <w:rsid w:val="747579BC"/>
    <w:rsid w:val="748F1DCB"/>
    <w:rsid w:val="74963132"/>
    <w:rsid w:val="74995431"/>
    <w:rsid w:val="74A73D01"/>
    <w:rsid w:val="74A77CC7"/>
    <w:rsid w:val="74E124F8"/>
    <w:rsid w:val="74ED716B"/>
    <w:rsid w:val="74F1737B"/>
    <w:rsid w:val="74F86947"/>
    <w:rsid w:val="74FA3F1B"/>
    <w:rsid w:val="750220D2"/>
    <w:rsid w:val="750A5CA9"/>
    <w:rsid w:val="75250BC9"/>
    <w:rsid w:val="75666FB1"/>
    <w:rsid w:val="756C1133"/>
    <w:rsid w:val="7570715C"/>
    <w:rsid w:val="757A6592"/>
    <w:rsid w:val="757E70E6"/>
    <w:rsid w:val="758A36B3"/>
    <w:rsid w:val="75AE469C"/>
    <w:rsid w:val="75D937BE"/>
    <w:rsid w:val="75E609D5"/>
    <w:rsid w:val="75F42C37"/>
    <w:rsid w:val="75FC7B39"/>
    <w:rsid w:val="76277A41"/>
    <w:rsid w:val="762A3D54"/>
    <w:rsid w:val="764A4B97"/>
    <w:rsid w:val="76617C75"/>
    <w:rsid w:val="766347AC"/>
    <w:rsid w:val="766D009F"/>
    <w:rsid w:val="767E34F8"/>
    <w:rsid w:val="76815219"/>
    <w:rsid w:val="768330F0"/>
    <w:rsid w:val="768512B9"/>
    <w:rsid w:val="768F5516"/>
    <w:rsid w:val="769F51BA"/>
    <w:rsid w:val="76A554A3"/>
    <w:rsid w:val="76C634AC"/>
    <w:rsid w:val="76ED0421"/>
    <w:rsid w:val="76FB42AC"/>
    <w:rsid w:val="76FE4FE9"/>
    <w:rsid w:val="771065D2"/>
    <w:rsid w:val="77510CB9"/>
    <w:rsid w:val="7765098C"/>
    <w:rsid w:val="776E2D69"/>
    <w:rsid w:val="77787755"/>
    <w:rsid w:val="778A0D23"/>
    <w:rsid w:val="77907556"/>
    <w:rsid w:val="77CB7EC5"/>
    <w:rsid w:val="77D321E0"/>
    <w:rsid w:val="77D4395D"/>
    <w:rsid w:val="781864EA"/>
    <w:rsid w:val="785943B3"/>
    <w:rsid w:val="789044CA"/>
    <w:rsid w:val="78C54FC9"/>
    <w:rsid w:val="78E439FC"/>
    <w:rsid w:val="78E90A0F"/>
    <w:rsid w:val="78EF6D74"/>
    <w:rsid w:val="78FD675F"/>
    <w:rsid w:val="79100A4F"/>
    <w:rsid w:val="791453EC"/>
    <w:rsid w:val="793F3FE9"/>
    <w:rsid w:val="794A727F"/>
    <w:rsid w:val="796A1717"/>
    <w:rsid w:val="796D27B7"/>
    <w:rsid w:val="79780691"/>
    <w:rsid w:val="797C5450"/>
    <w:rsid w:val="79915C8C"/>
    <w:rsid w:val="799B1706"/>
    <w:rsid w:val="79A71E19"/>
    <w:rsid w:val="79BF191F"/>
    <w:rsid w:val="79D067AD"/>
    <w:rsid w:val="79ED34C6"/>
    <w:rsid w:val="7A072E1B"/>
    <w:rsid w:val="7A0F12E6"/>
    <w:rsid w:val="7A1D1F55"/>
    <w:rsid w:val="7A2206AB"/>
    <w:rsid w:val="7A396334"/>
    <w:rsid w:val="7A3F6FE0"/>
    <w:rsid w:val="7A402DED"/>
    <w:rsid w:val="7A443267"/>
    <w:rsid w:val="7A647EFD"/>
    <w:rsid w:val="7A824C3A"/>
    <w:rsid w:val="7A98061E"/>
    <w:rsid w:val="7A986565"/>
    <w:rsid w:val="7A9E3A53"/>
    <w:rsid w:val="7ACA6D85"/>
    <w:rsid w:val="7AF806A9"/>
    <w:rsid w:val="7B022868"/>
    <w:rsid w:val="7B2665AD"/>
    <w:rsid w:val="7B3103E1"/>
    <w:rsid w:val="7B38172D"/>
    <w:rsid w:val="7B3829D6"/>
    <w:rsid w:val="7B4033EF"/>
    <w:rsid w:val="7B720641"/>
    <w:rsid w:val="7B767F82"/>
    <w:rsid w:val="7B7E5459"/>
    <w:rsid w:val="7BA12DFF"/>
    <w:rsid w:val="7BB706E5"/>
    <w:rsid w:val="7BB8027E"/>
    <w:rsid w:val="7BC7231A"/>
    <w:rsid w:val="7BC92D74"/>
    <w:rsid w:val="7BCD7EBC"/>
    <w:rsid w:val="7BDC758C"/>
    <w:rsid w:val="7BE6754B"/>
    <w:rsid w:val="7BEA7F06"/>
    <w:rsid w:val="7BEB15BF"/>
    <w:rsid w:val="7BFC18CE"/>
    <w:rsid w:val="7C017DA1"/>
    <w:rsid w:val="7C1576DC"/>
    <w:rsid w:val="7C1B5C77"/>
    <w:rsid w:val="7C2C4C5B"/>
    <w:rsid w:val="7C3C2092"/>
    <w:rsid w:val="7C461BA7"/>
    <w:rsid w:val="7C527EC3"/>
    <w:rsid w:val="7C562ABA"/>
    <w:rsid w:val="7C6F7A0C"/>
    <w:rsid w:val="7C730D95"/>
    <w:rsid w:val="7C811ABB"/>
    <w:rsid w:val="7C817E4A"/>
    <w:rsid w:val="7C862D75"/>
    <w:rsid w:val="7CA36CB3"/>
    <w:rsid w:val="7CAC14A1"/>
    <w:rsid w:val="7CB550D4"/>
    <w:rsid w:val="7CC93728"/>
    <w:rsid w:val="7CD959BA"/>
    <w:rsid w:val="7CF22194"/>
    <w:rsid w:val="7CF26644"/>
    <w:rsid w:val="7CFC61C6"/>
    <w:rsid w:val="7D0A7C90"/>
    <w:rsid w:val="7D32431E"/>
    <w:rsid w:val="7D447791"/>
    <w:rsid w:val="7D547036"/>
    <w:rsid w:val="7D564633"/>
    <w:rsid w:val="7D6657C1"/>
    <w:rsid w:val="7D6809D1"/>
    <w:rsid w:val="7D6E2130"/>
    <w:rsid w:val="7D6E5376"/>
    <w:rsid w:val="7D7379AB"/>
    <w:rsid w:val="7D8A07EE"/>
    <w:rsid w:val="7D9E0355"/>
    <w:rsid w:val="7DB4487B"/>
    <w:rsid w:val="7DC51FB6"/>
    <w:rsid w:val="7DCD5D6D"/>
    <w:rsid w:val="7DE03C2C"/>
    <w:rsid w:val="7E3C48CF"/>
    <w:rsid w:val="7E436899"/>
    <w:rsid w:val="7E43770C"/>
    <w:rsid w:val="7E463C10"/>
    <w:rsid w:val="7E620867"/>
    <w:rsid w:val="7E68152F"/>
    <w:rsid w:val="7E6B77EA"/>
    <w:rsid w:val="7E8041D2"/>
    <w:rsid w:val="7E884572"/>
    <w:rsid w:val="7E8B4C25"/>
    <w:rsid w:val="7E8E4676"/>
    <w:rsid w:val="7E93406C"/>
    <w:rsid w:val="7EB24392"/>
    <w:rsid w:val="7EB34C68"/>
    <w:rsid w:val="7EB81E19"/>
    <w:rsid w:val="7EBE6A21"/>
    <w:rsid w:val="7EC218D0"/>
    <w:rsid w:val="7EC925F8"/>
    <w:rsid w:val="7ECE45BD"/>
    <w:rsid w:val="7EE34D80"/>
    <w:rsid w:val="7EEF34CE"/>
    <w:rsid w:val="7EFC093A"/>
    <w:rsid w:val="7EFF2BDC"/>
    <w:rsid w:val="7F2315C3"/>
    <w:rsid w:val="7F423106"/>
    <w:rsid w:val="7F591577"/>
    <w:rsid w:val="7F72403E"/>
    <w:rsid w:val="7F734F41"/>
    <w:rsid w:val="7F7B1610"/>
    <w:rsid w:val="7F8E1577"/>
    <w:rsid w:val="7F8E3AE8"/>
    <w:rsid w:val="7F975A36"/>
    <w:rsid w:val="7F9C08F1"/>
    <w:rsid w:val="7FA44F86"/>
    <w:rsid w:val="7FE01758"/>
    <w:rsid w:val="7FFE0C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59"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4"/>
    <w:qFormat/>
    <w:uiPriority w:val="0"/>
    <w:pPr>
      <w:keepNext/>
      <w:keepLines/>
      <w:numPr>
        <w:ilvl w:val="0"/>
        <w:numId w:val="1"/>
      </w:numPr>
      <w:pBdr>
        <w:top w:val="single" w:color="auto" w:sz="12" w:space="3"/>
      </w:pBdr>
      <w:tabs>
        <w:tab w:val="left" w:pos="432"/>
      </w:tabs>
      <w:spacing w:beforeLines="50"/>
      <w:outlineLvl w:val="0"/>
    </w:pPr>
    <w:rPr>
      <w:rFonts w:ascii="Arial" w:hAnsi="Arial" w:eastAsia="宋体"/>
      <w:sz w:val="28"/>
      <w:szCs w:val="22"/>
      <w:lang w:eastAsia="zh-CN"/>
    </w:rPr>
  </w:style>
  <w:style w:type="paragraph" w:styleId="3">
    <w:name w:val="heading 2"/>
    <w:basedOn w:val="2"/>
    <w:next w:val="1"/>
    <w:qFormat/>
    <w:uiPriority w:val="0"/>
    <w:pPr>
      <w:pBdr>
        <w:top w:val="none" w:color="auto" w:sz="0" w:space="3"/>
        <w:left w:val="none" w:color="auto" w:sz="0" w:space="4"/>
        <w:bottom w:val="none" w:color="auto" w:sz="0" w:space="1"/>
        <w:right w:val="none" w:color="auto" w:sz="0" w:space="4"/>
      </w:pBdr>
      <w:tabs>
        <w:tab w:val="left" w:pos="576"/>
        <w:tab w:val="clear" w:pos="432"/>
      </w:tabs>
      <w:spacing w:before="50" w:after="240"/>
      <w:ind w:left="578" w:hanging="578"/>
      <w:outlineLvl w:val="1"/>
    </w:pPr>
    <w:rPr>
      <w:rFonts w:cs="Arial"/>
      <w:bCs/>
      <w:iCs/>
      <w:sz w:val="24"/>
      <w:szCs w:val="28"/>
      <w:lang w:val="en-US"/>
    </w:rPr>
  </w:style>
  <w:style w:type="paragraph" w:styleId="4">
    <w:name w:val="heading 3"/>
    <w:basedOn w:val="3"/>
    <w:next w:val="1"/>
    <w:qFormat/>
    <w:uiPriority w:val="0"/>
    <w:pPr>
      <w:tabs>
        <w:tab w:val="left" w:pos="720"/>
        <w:tab w:val="clear" w:pos="576"/>
      </w:tabs>
      <w:spacing w:after="60"/>
      <w:ind w:left="720" w:hanging="720"/>
      <w:outlineLvl w:val="2"/>
    </w:pPr>
    <w:rPr>
      <w:b/>
      <w:szCs w:val="26"/>
    </w:rPr>
  </w:style>
  <w:style w:type="paragraph" w:styleId="5">
    <w:name w:val="heading 4"/>
    <w:basedOn w:val="1"/>
    <w:next w:val="1"/>
    <w:link w:val="45"/>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9"/>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5"/>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31">
    <w:name w:val="Default Paragraph Font"/>
    <w:semiHidden/>
    <w:unhideWhenUsed/>
    <w:qFormat/>
    <w:uiPriority w:val="1"/>
  </w:style>
  <w:style w:type="table" w:default="1" w:styleId="2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3">
    <w:name w:val="caption"/>
    <w:basedOn w:val="1"/>
    <w:next w:val="1"/>
    <w:link w:val="40"/>
    <w:qFormat/>
    <w:uiPriority w:val="0"/>
    <w:rPr>
      <w:b/>
      <w:bCs/>
    </w:rPr>
  </w:style>
  <w:style w:type="paragraph" w:styleId="14">
    <w:name w:val="List Bullet"/>
    <w:basedOn w:val="15"/>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15">
    <w:name w:val="Body Text"/>
    <w:basedOn w:val="1"/>
    <w:link w:val="103"/>
    <w:qFormat/>
    <w:uiPriority w:val="0"/>
    <w:pPr>
      <w:overflowPunct/>
      <w:autoSpaceDE/>
      <w:autoSpaceDN/>
      <w:adjustRightInd/>
      <w:textAlignment w:val="auto"/>
    </w:pPr>
    <w:rPr>
      <w:rFonts w:eastAsia="MS Mincho"/>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6"/>
    <w:unhideWhenUsed/>
    <w:qFormat/>
    <w:uiPriority w:val="0"/>
  </w:style>
  <w:style w:type="paragraph" w:styleId="18">
    <w:name w:val="Body Text Indent"/>
    <w:basedOn w:val="1"/>
    <w:qFormat/>
    <w:uiPriority w:val="0"/>
    <w:pPr>
      <w:ind w:left="283"/>
    </w:pPr>
  </w:style>
  <w:style w:type="paragraph" w:styleId="19">
    <w:name w:val="List 2"/>
    <w:basedOn w:val="20"/>
    <w:qFormat/>
    <w:uiPriority w:val="0"/>
    <w:pPr>
      <w:ind w:left="851"/>
    </w:pPr>
  </w:style>
  <w:style w:type="paragraph" w:styleId="20">
    <w:name w:val="List"/>
    <w:basedOn w:val="1"/>
    <w:qFormat/>
    <w:uiPriority w:val="0"/>
    <w:pPr>
      <w:ind w:left="283" w:hanging="283"/>
    </w:pPr>
  </w:style>
  <w:style w:type="paragraph" w:styleId="21">
    <w:name w:val="Balloon Text"/>
    <w:basedOn w:val="1"/>
    <w:link w:val="39"/>
    <w:unhideWhenUsed/>
    <w:qFormat/>
    <w:uiPriority w:val="99"/>
    <w:pPr>
      <w:spacing w:after="0"/>
    </w:pPr>
    <w:rPr>
      <w:rFonts w:ascii="Tahoma" w:hAnsi="Tahoma" w:cs="Tahoma"/>
      <w:sz w:val="16"/>
      <w:szCs w:val="16"/>
    </w:rPr>
  </w:style>
  <w:style w:type="paragraph" w:styleId="22">
    <w:name w:val="footer"/>
    <w:basedOn w:val="1"/>
    <w:link w:val="60"/>
    <w:unhideWhenUsed/>
    <w:qFormat/>
    <w:uiPriority w:val="99"/>
    <w:pPr>
      <w:tabs>
        <w:tab w:val="center" w:pos="4513"/>
        <w:tab w:val="right" w:pos="9026"/>
      </w:tabs>
    </w:pPr>
  </w:style>
  <w:style w:type="paragraph" w:styleId="23">
    <w:name w:val="header"/>
    <w:link w:val="5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footnote text"/>
    <w:basedOn w:val="1"/>
    <w:unhideWhenUsed/>
    <w:qFormat/>
    <w:uiPriority w:val="99"/>
    <w:pPr>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7">
    <w:name w:val="index 1"/>
    <w:basedOn w:val="1"/>
    <w:next w:val="1"/>
    <w:qFormat/>
    <w:uiPriority w:val="0"/>
    <w:pPr>
      <w:keepLines/>
      <w:spacing w:after="0"/>
    </w:pPr>
  </w:style>
  <w:style w:type="paragraph" w:styleId="28">
    <w:name w:val="annotation subject"/>
    <w:basedOn w:val="17"/>
    <w:next w:val="17"/>
    <w:link w:val="59"/>
    <w:unhideWhenUsed/>
    <w:qFormat/>
    <w:uiPriority w:val="99"/>
    <w:rPr>
      <w:b/>
      <w:bCs/>
    </w:rPr>
  </w:style>
  <w:style w:type="table" w:styleId="30">
    <w:name w:val="Table Grid"/>
    <w:basedOn w:val="2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Strong"/>
    <w:basedOn w:val="31"/>
    <w:qFormat/>
    <w:uiPriority w:val="22"/>
    <w:rPr>
      <w:b/>
      <w:bCs/>
    </w:rPr>
  </w:style>
  <w:style w:type="character" w:styleId="33">
    <w:name w:val="page number"/>
    <w:basedOn w:val="31"/>
    <w:qFormat/>
    <w:uiPriority w:val="0"/>
  </w:style>
  <w:style w:type="character" w:styleId="34">
    <w:name w:val="FollowedHyperlink"/>
    <w:basedOn w:val="31"/>
    <w:qFormat/>
    <w:uiPriority w:val="0"/>
    <w:rPr>
      <w:color w:val="800080"/>
      <w:u w:val="single"/>
    </w:rPr>
  </w:style>
  <w:style w:type="character" w:styleId="35">
    <w:name w:val="Emphasis"/>
    <w:basedOn w:val="31"/>
    <w:qFormat/>
    <w:uiPriority w:val="0"/>
    <w:rPr>
      <w:i/>
      <w:iCs/>
    </w:rPr>
  </w:style>
  <w:style w:type="character" w:styleId="36">
    <w:name w:val="Hyperlink"/>
    <w:basedOn w:val="31"/>
    <w:unhideWhenUsed/>
    <w:qFormat/>
    <w:uiPriority w:val="99"/>
    <w:rPr>
      <w:color w:val="0000FF"/>
      <w:u w:val="single"/>
    </w:rPr>
  </w:style>
  <w:style w:type="character" w:styleId="37">
    <w:name w:val="annotation reference"/>
    <w:basedOn w:val="31"/>
    <w:unhideWhenUsed/>
    <w:qFormat/>
    <w:uiPriority w:val="0"/>
    <w:rPr>
      <w:sz w:val="16"/>
      <w:szCs w:val="16"/>
    </w:rPr>
  </w:style>
  <w:style w:type="character" w:styleId="38">
    <w:name w:val="footnote reference"/>
    <w:basedOn w:val="31"/>
    <w:unhideWhenUsed/>
    <w:qFormat/>
    <w:uiPriority w:val="99"/>
    <w:rPr>
      <w:vertAlign w:val="superscript"/>
    </w:rPr>
  </w:style>
  <w:style w:type="character" w:customStyle="1" w:styleId="39">
    <w:name w:val="批注框文本 Char"/>
    <w:basedOn w:val="31"/>
    <w:link w:val="21"/>
    <w:semiHidden/>
    <w:qFormat/>
    <w:uiPriority w:val="99"/>
    <w:rPr>
      <w:rFonts w:ascii="Tahoma" w:hAnsi="Tahoma" w:eastAsia="Times New Roman" w:cs="Tahoma"/>
      <w:sz w:val="16"/>
      <w:szCs w:val="16"/>
      <w:lang w:val="en-GB"/>
    </w:rPr>
  </w:style>
  <w:style w:type="character" w:customStyle="1" w:styleId="40">
    <w:name w:val="题注 Char"/>
    <w:basedOn w:val="31"/>
    <w:link w:val="13"/>
    <w:qFormat/>
    <w:uiPriority w:val="0"/>
    <w:rPr>
      <w:b/>
      <w:bCs/>
      <w:lang w:val="en-GB" w:eastAsia="en-US" w:bidi="ar-SA"/>
    </w:rPr>
  </w:style>
  <w:style w:type="character" w:customStyle="1" w:styleId="41">
    <w:name w:val="B1 (文字)"/>
    <w:basedOn w:val="31"/>
    <w:qFormat/>
    <w:uiPriority w:val="0"/>
    <w:rPr>
      <w:rFonts w:eastAsia="Times New Roman"/>
    </w:rPr>
  </w:style>
  <w:style w:type="character" w:customStyle="1" w:styleId="42">
    <w:name w:val="样式 正文缩进d + 首行缩进:  2 字符 段前: 0.35 行 Char"/>
    <w:basedOn w:val="31"/>
    <w:link w:val="43"/>
    <w:qFormat/>
    <w:locked/>
    <w:uiPriority w:val="0"/>
    <w:rPr>
      <w:rFonts w:ascii="Times New Roman" w:hAnsi="Times New Roman" w:eastAsia="楷体_GB2312" w:cs="宋体"/>
      <w:snapToGrid w:val="0"/>
      <w:sz w:val="28"/>
    </w:rPr>
  </w:style>
  <w:style w:type="paragraph" w:customStyle="1" w:styleId="43">
    <w:name w:val="样式 正文缩进d + 首行缩进:  2 字符 段前: 0.35 行"/>
    <w:basedOn w:val="10"/>
    <w:link w:val="42"/>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4">
    <w:name w:val="标题 1 Char"/>
    <w:basedOn w:val="31"/>
    <w:link w:val="2"/>
    <w:qFormat/>
    <w:uiPriority w:val="0"/>
    <w:rPr>
      <w:rFonts w:ascii="Arial" w:hAnsi="Arial" w:eastAsia="宋体"/>
      <w:sz w:val="28"/>
      <w:szCs w:val="22"/>
      <w:lang w:val="en-GB"/>
    </w:rPr>
  </w:style>
  <w:style w:type="character" w:customStyle="1" w:styleId="45">
    <w:name w:val="标题 4 Char"/>
    <w:basedOn w:val="31"/>
    <w:link w:val="5"/>
    <w:qFormat/>
    <w:uiPriority w:val="0"/>
    <w:rPr>
      <w:rFonts w:ascii="Times New Roman" w:hAnsi="Times New Roman" w:eastAsia="Times New Roman"/>
      <w:b/>
      <w:bCs/>
      <w:sz w:val="28"/>
      <w:szCs w:val="28"/>
      <w:lang w:val="en-GB" w:eastAsia="en-US"/>
    </w:rPr>
  </w:style>
  <w:style w:type="character" w:customStyle="1" w:styleId="46">
    <w:name w:val="批注文字 Char"/>
    <w:basedOn w:val="31"/>
    <w:link w:val="17"/>
    <w:semiHidden/>
    <w:qFormat/>
    <w:uiPriority w:val="0"/>
    <w:rPr>
      <w:rFonts w:ascii="Times New Roman" w:hAnsi="Times New Roman" w:eastAsia="Times New Roman" w:cs="Times New Roman"/>
      <w:sz w:val="20"/>
      <w:szCs w:val="20"/>
      <w:lang w:val="en-GB"/>
    </w:rPr>
  </w:style>
  <w:style w:type="character" w:customStyle="1" w:styleId="47">
    <w:name w:val="TH Char"/>
    <w:link w:val="48"/>
    <w:qFormat/>
    <w:uiPriority w:val="0"/>
    <w:rPr>
      <w:rFonts w:ascii="Arial" w:hAnsi="Arial" w:eastAsia="Times New Roman"/>
      <w:b/>
      <w:lang w:val="en-GB" w:eastAsia="en-GB"/>
    </w:rPr>
  </w:style>
  <w:style w:type="paragraph" w:customStyle="1" w:styleId="48">
    <w:name w:val="TH"/>
    <w:basedOn w:val="1"/>
    <w:link w:val="47"/>
    <w:qFormat/>
    <w:uiPriority w:val="0"/>
    <w:pPr>
      <w:keepNext/>
      <w:keepLines/>
      <w:spacing w:before="60"/>
      <w:jc w:val="center"/>
    </w:pPr>
    <w:rPr>
      <w:rFonts w:ascii="Arial" w:hAnsi="Arial"/>
      <w:b/>
      <w:lang w:eastAsia="en-GB"/>
    </w:rPr>
  </w:style>
  <w:style w:type="character" w:customStyle="1" w:styleId="49">
    <w:name w:val="标题 8 Char"/>
    <w:basedOn w:val="31"/>
    <w:link w:val="9"/>
    <w:qFormat/>
    <w:uiPriority w:val="0"/>
    <w:rPr>
      <w:rFonts w:ascii="Arial" w:hAnsi="Arial" w:eastAsia="宋体"/>
      <w:kern w:val="2"/>
      <w:sz w:val="21"/>
      <w:szCs w:val="24"/>
    </w:rPr>
  </w:style>
  <w:style w:type="character" w:customStyle="1" w:styleId="50">
    <w:name w:val="TAL Char"/>
    <w:basedOn w:val="31"/>
    <w:link w:val="51"/>
    <w:qFormat/>
    <w:uiPriority w:val="0"/>
    <w:rPr>
      <w:rFonts w:ascii="Arial" w:hAnsi="Arial"/>
      <w:sz w:val="18"/>
      <w:lang w:val="en-GB" w:eastAsia="ja-JP" w:bidi="ar-SA"/>
    </w:rPr>
  </w:style>
  <w:style w:type="paragraph" w:customStyle="1" w:styleId="51">
    <w:name w:val="TAL"/>
    <w:basedOn w:val="1"/>
    <w:link w:val="50"/>
    <w:qFormat/>
    <w:uiPriority w:val="0"/>
    <w:pPr>
      <w:keepNext/>
      <w:keepLines/>
      <w:spacing w:after="0"/>
    </w:pPr>
    <w:rPr>
      <w:rFonts w:ascii="Arial" w:hAnsi="Arial"/>
      <w:sz w:val="18"/>
      <w:lang w:eastAsia="ja-JP"/>
    </w:rPr>
  </w:style>
  <w:style w:type="character" w:customStyle="1" w:styleId="52">
    <w:name w:val="Text Car"/>
    <w:basedOn w:val="31"/>
    <w:link w:val="53"/>
    <w:qFormat/>
    <w:uiPriority w:val="0"/>
    <w:rPr>
      <w:rFonts w:ascii="Arial" w:hAnsi="Arial"/>
      <w:lang w:val="en-US" w:eastAsia="en-US" w:bidi="ar-SA"/>
    </w:rPr>
  </w:style>
  <w:style w:type="paragraph" w:customStyle="1" w:styleId="53">
    <w:name w:val="Text"/>
    <w:basedOn w:val="1"/>
    <w:link w:val="52"/>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4">
    <w:name w:val="页眉 Char"/>
    <w:basedOn w:val="31"/>
    <w:link w:val="23"/>
    <w:qFormat/>
    <w:uiPriority w:val="0"/>
    <w:rPr>
      <w:rFonts w:ascii="Arial" w:hAnsi="Arial" w:eastAsia="Times New Roman"/>
      <w:b/>
      <w:sz w:val="18"/>
      <w:lang w:val="en-US" w:eastAsia="en-US" w:bidi="ar-SA"/>
    </w:rPr>
  </w:style>
  <w:style w:type="character" w:customStyle="1" w:styleId="55">
    <w:name w:val="标题 9 Char"/>
    <w:basedOn w:val="31"/>
    <w:link w:val="11"/>
    <w:qFormat/>
    <w:uiPriority w:val="0"/>
    <w:rPr>
      <w:rFonts w:ascii="Arial" w:hAnsi="Arial" w:eastAsia="宋体"/>
      <w:kern w:val="2"/>
      <w:sz w:val="21"/>
      <w:szCs w:val="24"/>
    </w:rPr>
  </w:style>
  <w:style w:type="character" w:customStyle="1" w:styleId="56">
    <w:name w:val="Doc-title Char"/>
    <w:basedOn w:val="31"/>
    <w:link w:val="57"/>
    <w:qFormat/>
    <w:uiPriority w:val="0"/>
    <w:rPr>
      <w:rFonts w:ascii="Arial" w:hAnsi="Arial" w:eastAsia="MS Mincho"/>
      <w:szCs w:val="24"/>
      <w:lang w:val="en-GB" w:eastAsia="en-GB" w:bidi="ar-SA"/>
    </w:rPr>
  </w:style>
  <w:style w:type="paragraph" w:customStyle="1" w:styleId="57">
    <w:name w:val="Doc-title"/>
    <w:basedOn w:val="1"/>
    <w:next w:val="58"/>
    <w:link w:val="56"/>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8">
    <w:name w:val="Doc-text2"/>
    <w:basedOn w:val="1"/>
    <w:link w:val="6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9">
    <w:name w:val="批注主题 Char"/>
    <w:basedOn w:val="46"/>
    <w:link w:val="28"/>
    <w:semiHidden/>
    <w:qFormat/>
    <w:uiPriority w:val="99"/>
    <w:rPr>
      <w:rFonts w:ascii="Times New Roman" w:hAnsi="Times New Roman" w:eastAsia="Times New Roman" w:cs="Times New Roman"/>
      <w:b/>
      <w:bCs/>
      <w:sz w:val="20"/>
      <w:szCs w:val="20"/>
      <w:lang w:val="en-GB"/>
    </w:rPr>
  </w:style>
  <w:style w:type="character" w:customStyle="1" w:styleId="60">
    <w:name w:val="页脚 Char"/>
    <w:basedOn w:val="31"/>
    <w:link w:val="22"/>
    <w:qFormat/>
    <w:uiPriority w:val="99"/>
    <w:rPr>
      <w:rFonts w:ascii="Times New Roman" w:hAnsi="Times New Roman" w:eastAsia="Times New Roman"/>
      <w:lang w:val="en-GB" w:eastAsia="en-US"/>
    </w:rPr>
  </w:style>
  <w:style w:type="character" w:customStyle="1" w:styleId="61">
    <w:name w:val="Doc-text2 Char"/>
    <w:basedOn w:val="31"/>
    <w:link w:val="58"/>
    <w:qFormat/>
    <w:uiPriority w:val="0"/>
    <w:rPr>
      <w:rFonts w:ascii="Arial" w:hAnsi="Arial" w:eastAsia="MS Mincho"/>
      <w:szCs w:val="24"/>
      <w:lang w:val="en-GB" w:eastAsia="en-GB" w:bidi="ar-SA"/>
    </w:rPr>
  </w:style>
  <w:style w:type="character" w:customStyle="1" w:styleId="62">
    <w:name w:val="B1 Char1"/>
    <w:basedOn w:val="31"/>
    <w:link w:val="63"/>
    <w:qFormat/>
    <w:uiPriority w:val="0"/>
    <w:rPr>
      <w:rFonts w:eastAsia="MS Mincho"/>
      <w:lang w:val="en-GB" w:eastAsia="en-US" w:bidi="ar-SA"/>
    </w:rPr>
  </w:style>
  <w:style w:type="paragraph" w:customStyle="1" w:styleId="63">
    <w:name w:val="B1"/>
    <w:basedOn w:val="20"/>
    <w:link w:val="62"/>
    <w:qFormat/>
    <w:uiPriority w:val="0"/>
    <w:pPr>
      <w:overflowPunct/>
      <w:autoSpaceDE/>
      <w:autoSpaceDN/>
      <w:adjustRightInd/>
      <w:ind w:left="568" w:hanging="284"/>
      <w:textAlignment w:val="auto"/>
    </w:pPr>
    <w:rPr>
      <w:rFonts w:eastAsia="MS Mincho"/>
    </w:rPr>
  </w:style>
  <w:style w:type="character" w:customStyle="1" w:styleId="64">
    <w:name w:val="NO Char"/>
    <w:basedOn w:val="31"/>
    <w:link w:val="65"/>
    <w:qFormat/>
    <w:uiPriority w:val="0"/>
    <w:rPr>
      <w:rFonts w:eastAsia="MS Mincho"/>
      <w:lang w:val="en-GB" w:eastAsia="en-US" w:bidi="ar-SA"/>
    </w:rPr>
  </w:style>
  <w:style w:type="paragraph" w:customStyle="1" w:styleId="65">
    <w:name w:val="NO"/>
    <w:basedOn w:val="1"/>
    <w:link w:val="64"/>
    <w:qFormat/>
    <w:uiPriority w:val="0"/>
    <w:pPr>
      <w:keepLines/>
      <w:overflowPunct/>
      <w:autoSpaceDE/>
      <w:autoSpaceDN/>
      <w:adjustRightInd/>
      <w:ind w:left="1135" w:hanging="851"/>
      <w:textAlignment w:val="auto"/>
    </w:pPr>
    <w:rPr>
      <w:rFonts w:eastAsia="MS Mincho"/>
    </w:rPr>
  </w:style>
  <w:style w:type="character" w:customStyle="1" w:styleId="66">
    <w:name w:val="TAH Char"/>
    <w:basedOn w:val="31"/>
    <w:link w:val="67"/>
    <w:qFormat/>
    <w:uiPriority w:val="0"/>
    <w:rPr>
      <w:rFonts w:ascii="Arial" w:hAnsi="Arial"/>
      <w:b/>
      <w:sz w:val="18"/>
      <w:lang w:val="en-GB" w:eastAsia="ja-JP" w:bidi="ar-SA"/>
    </w:rPr>
  </w:style>
  <w:style w:type="paragraph" w:customStyle="1" w:styleId="67">
    <w:name w:val="TAH"/>
    <w:basedOn w:val="68"/>
    <w:link w:val="66"/>
    <w:qFormat/>
    <w:uiPriority w:val="0"/>
    <w:rPr>
      <w:b/>
    </w:rPr>
  </w:style>
  <w:style w:type="paragraph" w:customStyle="1" w:styleId="68">
    <w:name w:val="TAC"/>
    <w:basedOn w:val="51"/>
    <w:link w:val="78"/>
    <w:qFormat/>
    <w:uiPriority w:val="0"/>
    <w:pPr>
      <w:jc w:val="center"/>
    </w:pPr>
  </w:style>
  <w:style w:type="character" w:customStyle="1" w:styleId="69">
    <w:name w:val="msoins"/>
    <w:basedOn w:val="31"/>
    <w:qFormat/>
    <w:uiPriority w:val="0"/>
  </w:style>
  <w:style w:type="character" w:customStyle="1" w:styleId="70">
    <w:name w:val="B2 Char1"/>
    <w:basedOn w:val="46"/>
    <w:link w:val="71"/>
    <w:qFormat/>
    <w:uiPriority w:val="0"/>
    <w:rPr>
      <w:rFonts w:ascii="Times New Roman" w:hAnsi="Times New Roman" w:eastAsia="Times New Roman" w:cs="Times New Roman"/>
      <w:sz w:val="20"/>
      <w:szCs w:val="20"/>
      <w:lang w:val="en-GB" w:eastAsia="en-US" w:bidi="ar-SA"/>
    </w:rPr>
  </w:style>
  <w:style w:type="paragraph" w:customStyle="1" w:styleId="71">
    <w:name w:val="B2"/>
    <w:basedOn w:val="19"/>
    <w:link w:val="70"/>
    <w:qFormat/>
    <w:uiPriority w:val="0"/>
    <w:pPr>
      <w:overflowPunct/>
      <w:autoSpaceDE/>
      <w:autoSpaceDN/>
      <w:adjustRightInd/>
      <w:ind w:hanging="284"/>
      <w:textAlignment w:val="auto"/>
    </w:pPr>
  </w:style>
  <w:style w:type="character" w:customStyle="1" w:styleId="72">
    <w:name w:val="TAL + Left:  1.00 cm Char Char"/>
    <w:basedOn w:val="50"/>
    <w:link w:val="73"/>
    <w:qFormat/>
    <w:uiPriority w:val="0"/>
    <w:rPr>
      <w:rFonts w:ascii="Arial" w:hAnsi="Arial"/>
      <w:sz w:val="18"/>
      <w:lang w:val="en-GB" w:eastAsia="en-GB" w:bidi="ar-SA"/>
    </w:rPr>
  </w:style>
  <w:style w:type="paragraph" w:customStyle="1" w:styleId="73">
    <w:name w:val="TAL + Left:  1"/>
    <w:basedOn w:val="51"/>
    <w:link w:val="72"/>
    <w:qFormat/>
    <w:uiPriority w:val="0"/>
    <w:pPr>
      <w:ind w:left="567"/>
    </w:pPr>
    <w:rPr>
      <w:lang w:eastAsia="en-GB"/>
    </w:rPr>
  </w:style>
  <w:style w:type="character" w:customStyle="1" w:styleId="74">
    <w:name w:val="header odd Char"/>
    <w:basedOn w:val="31"/>
    <w:qFormat/>
    <w:uiPriority w:val="0"/>
    <w:rPr>
      <w:lang w:val="en-GB" w:eastAsia="en-US" w:bidi="ar-SA"/>
    </w:rPr>
  </w:style>
  <w:style w:type="character" w:customStyle="1" w:styleId="75">
    <w:name w:val="B1 Char"/>
    <w:basedOn w:val="31"/>
    <w:qFormat/>
    <w:uiPriority w:val="0"/>
    <w:rPr>
      <w:rFonts w:ascii="Times New Roman" w:hAnsi="Times New Roman"/>
      <w:lang w:val="en-GB" w:eastAsia="en-US"/>
    </w:rPr>
  </w:style>
  <w:style w:type="character" w:customStyle="1" w:styleId="76">
    <w:name w:val="PL Char"/>
    <w:basedOn w:val="31"/>
    <w:link w:val="77"/>
    <w:qFormat/>
    <w:uiPriority w:val="0"/>
    <w:rPr>
      <w:rFonts w:ascii="Courier New" w:hAnsi="Courier New" w:eastAsia="宋体"/>
      <w:sz w:val="16"/>
      <w:lang w:val="en-GB" w:eastAsia="ja-JP" w:bidi="ar-SA"/>
    </w:rPr>
  </w:style>
  <w:style w:type="paragraph" w:customStyle="1" w:styleId="77">
    <w:name w:val="PL"/>
    <w:link w:val="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8">
    <w:name w:val="TAC Char"/>
    <w:link w:val="68"/>
    <w:qFormat/>
    <w:uiPriority w:val="0"/>
    <w:rPr>
      <w:rFonts w:ascii="Arial" w:hAnsi="Arial" w:eastAsia="Times New Roman"/>
      <w:sz w:val="18"/>
      <w:lang w:val="en-GB" w:eastAsia="ja-JP"/>
    </w:rPr>
  </w:style>
  <w:style w:type="character" w:customStyle="1" w:styleId="79">
    <w:name w:val="占位符文本1"/>
    <w:basedOn w:val="31"/>
    <w:semiHidden/>
    <w:qFormat/>
    <w:uiPriority w:val="99"/>
    <w:rPr>
      <w:color w:val="808080"/>
    </w:rPr>
  </w:style>
  <w:style w:type="character" w:customStyle="1" w:styleId="80">
    <w:name w:val="MTEquationSection"/>
    <w:basedOn w:val="31"/>
    <w:qFormat/>
    <w:uiPriority w:val="0"/>
    <w:rPr>
      <w:rFonts w:cs="Arial"/>
      <w:bCs/>
      <w:vanish/>
      <w:color w:val="FF0000"/>
      <w:sz w:val="28"/>
      <w:szCs w:val="28"/>
      <w:lang w:eastAsia="zh-CN"/>
    </w:rPr>
  </w:style>
  <w:style w:type="character" w:customStyle="1" w:styleId="81">
    <w:name w:val="MTDisplayEquation Char"/>
    <w:basedOn w:val="31"/>
    <w:link w:val="82"/>
    <w:qFormat/>
    <w:uiPriority w:val="0"/>
    <w:rPr>
      <w:rFonts w:ascii="Times New Roman" w:hAnsi="Times New Roman" w:eastAsia="宋体"/>
    </w:rPr>
  </w:style>
  <w:style w:type="paragraph" w:customStyle="1" w:styleId="82">
    <w:name w:val="MTDisplayEquation"/>
    <w:basedOn w:val="1"/>
    <w:next w:val="1"/>
    <w:link w:val="81"/>
    <w:qFormat/>
    <w:uiPriority w:val="0"/>
    <w:pPr>
      <w:tabs>
        <w:tab w:val="center" w:pos="4680"/>
        <w:tab w:val="right" w:pos="9360"/>
      </w:tabs>
    </w:pPr>
    <w:rPr>
      <w:rFonts w:eastAsia="宋体"/>
      <w:lang w:val="en-US" w:eastAsia="zh-CN"/>
    </w:rPr>
  </w:style>
  <w:style w:type="character" w:customStyle="1" w:styleId="83">
    <w:name w:val="apple-converted-space"/>
    <w:basedOn w:val="31"/>
    <w:qFormat/>
    <w:uiPriority w:val="0"/>
  </w:style>
  <w:style w:type="character" w:customStyle="1" w:styleId="84">
    <w:name w:val="列出段落 Char"/>
    <w:link w:val="85"/>
    <w:qFormat/>
    <w:uiPriority w:val="72"/>
    <w:rPr>
      <w:rFonts w:ascii="宋体" w:hAnsi="宋体" w:eastAsia="宋体" w:cs="宋体"/>
      <w:sz w:val="24"/>
      <w:szCs w:val="24"/>
    </w:rPr>
  </w:style>
  <w:style w:type="paragraph" w:customStyle="1" w:styleId="85">
    <w:name w:val="列出段落1"/>
    <w:basedOn w:val="1"/>
    <w:link w:val="84"/>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6">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7">
    <w:name w:val="Reference"/>
    <w:basedOn w:val="1"/>
    <w:qFormat/>
    <w:uiPriority w:val="0"/>
    <w:pPr>
      <w:tabs>
        <w:tab w:val="left" w:pos="420"/>
      </w:tabs>
      <w:ind w:left="420" w:right="-99" w:hanging="420"/>
    </w:pPr>
    <w:rPr>
      <w:rFonts w:eastAsia="MS Mincho"/>
      <w:sz w:val="22"/>
    </w:rPr>
  </w:style>
  <w:style w:type="paragraph" w:customStyle="1" w:styleId="88">
    <w:name w:val="CR Cover Page"/>
    <w:qFormat/>
    <w:uiPriority w:val="0"/>
    <w:pPr>
      <w:spacing w:after="120" w:line="276" w:lineRule="auto"/>
    </w:pPr>
    <w:rPr>
      <w:rFonts w:ascii="Arial" w:hAnsi="Arial" w:eastAsia="MS Mincho" w:cs="Times New Roman"/>
      <w:lang w:val="en-GB" w:eastAsia="en-US" w:bidi="ar-SA"/>
    </w:rPr>
  </w:style>
  <w:style w:type="paragraph" w:customStyle="1" w:styleId="89">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90">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91">
    <w:name w:val="EQ"/>
    <w:basedOn w:val="1"/>
    <w:next w:val="1"/>
    <w:qFormat/>
    <w:uiPriority w:val="0"/>
    <w:pPr>
      <w:keepLines/>
      <w:tabs>
        <w:tab w:val="center" w:pos="4536"/>
        <w:tab w:val="right" w:pos="9072"/>
      </w:tabs>
    </w:pPr>
    <w:rPr>
      <w:lang w:val="en-US" w:eastAsia="en-GB"/>
    </w:rPr>
  </w:style>
  <w:style w:type="paragraph" w:customStyle="1" w:styleId="92">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3">
    <w:name w:val="List Paragraph1"/>
    <w:basedOn w:val="1"/>
    <w:qFormat/>
    <w:uiPriority w:val="34"/>
    <w:pPr>
      <w:ind w:left="720"/>
      <w:contextualSpacing/>
    </w:pPr>
  </w:style>
  <w:style w:type="paragraph" w:customStyle="1" w:styleId="94">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5">
    <w:name w:val="Style Numbered (Latin) Bold Before:  0 cm Hanging:  063 cm"/>
    <w:next w:val="20"/>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6">
    <w:name w:val="Observation"/>
    <w:basedOn w:val="1"/>
    <w:qFormat/>
    <w:uiPriority w:val="0"/>
    <w:pPr>
      <w:tabs>
        <w:tab w:val="left" w:pos="1701"/>
      </w:tabs>
      <w:ind w:left="360" w:hanging="360"/>
    </w:pPr>
    <w:rPr>
      <w:rFonts w:ascii="Arial" w:hAnsi="Arial" w:eastAsia="宋体"/>
      <w:b/>
      <w:bCs/>
      <w:lang w:eastAsia="zh-CN"/>
    </w:rPr>
  </w:style>
  <w:style w:type="paragraph" w:customStyle="1" w:styleId="97">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8">
    <w:name w:val="TAL + Left: 1"/>
    <w:basedOn w:val="51"/>
    <w:qFormat/>
    <w:uiPriority w:val="0"/>
    <w:pPr>
      <w:ind w:left="567"/>
    </w:pPr>
    <w:rPr>
      <w:lang w:eastAsia="en-US"/>
    </w:rPr>
  </w:style>
  <w:style w:type="paragraph" w:customStyle="1" w:styleId="99">
    <w:name w:val="TF"/>
    <w:basedOn w:val="48"/>
    <w:qFormat/>
    <w:uiPriority w:val="0"/>
    <w:pPr>
      <w:keepNext w:val="0"/>
      <w:spacing w:before="0" w:after="240"/>
    </w:pPr>
  </w:style>
  <w:style w:type="paragraph" w:customStyle="1" w:styleId="100">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101">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2">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3">
    <w:name w:val="正文文本 Char"/>
    <w:basedOn w:val="31"/>
    <w:link w:val="15"/>
    <w:qFormat/>
    <w:uiPriority w:val="0"/>
    <w:rPr>
      <w:rFonts w:eastAsia="MS Mincho"/>
      <w:lang w:val="en-GB" w:eastAsia="en-US"/>
    </w:rPr>
  </w:style>
  <w:style w:type="paragraph" w:customStyle="1" w:styleId="104">
    <w:name w:val="List Paragraph2"/>
    <w:basedOn w:val="1"/>
    <w:qFormat/>
    <w:uiPriority w:val="99"/>
    <w:pPr>
      <w:ind w:firstLine="420" w:firstLineChars="200"/>
    </w:pPr>
  </w:style>
  <w:style w:type="paragraph" w:customStyle="1" w:styleId="105">
    <w:name w:val="列出段落2"/>
    <w:basedOn w:val="1"/>
    <w:unhideWhenUsed/>
    <w:qFormat/>
    <w:uiPriority w:val="99"/>
    <w:pPr>
      <w:ind w:left="720"/>
      <w:contextualSpacing/>
    </w:pPr>
  </w:style>
  <w:style w:type="paragraph" w:customStyle="1" w:styleId="106">
    <w:name w:val="列出段落3"/>
    <w:basedOn w:val="1"/>
    <w:qFormat/>
    <w:uiPriority w:val="99"/>
    <w:pPr>
      <w:ind w:firstLine="420" w:firstLineChars="200"/>
    </w:pPr>
  </w:style>
  <w:style w:type="paragraph" w:customStyle="1" w:styleId="107">
    <w:name w:val="列出段落4"/>
    <w:basedOn w:val="1"/>
    <w:qFormat/>
    <w:uiPriority w:val="34"/>
    <w:pPr>
      <w:ind w:firstLine="420" w:firstLineChars="200"/>
    </w:pPr>
  </w:style>
  <w:style w:type="paragraph" w:customStyle="1" w:styleId="108">
    <w:name w:val="列出段落5"/>
    <w:basedOn w:val="1"/>
    <w:qFormat/>
    <w:uiPriority w:val="99"/>
    <w:pPr>
      <w:ind w:firstLine="420" w:firstLineChars="200"/>
    </w:pPr>
  </w:style>
  <w:style w:type="paragraph" w:customStyle="1" w:styleId="109">
    <w:name w:val="References"/>
    <w:basedOn w:val="1"/>
    <w:qFormat/>
    <w:uiPriority w:val="0"/>
    <w:pPr>
      <w:numPr>
        <w:ilvl w:val="0"/>
        <w:numId w:val="2"/>
      </w:numPr>
      <w:overflowPunct/>
      <w:adjustRightInd/>
      <w:spacing w:after="60"/>
      <w:textAlignment w:val="auto"/>
    </w:pPr>
    <w:rPr>
      <w:rFonts w:eastAsia="宋体"/>
      <w:szCs w:val="16"/>
      <w:lang w:val="en-US"/>
    </w:rPr>
  </w:style>
  <w:style w:type="paragraph" w:customStyle="1" w:styleId="110">
    <w:name w:val="List Paragraph3"/>
    <w:basedOn w:val="1"/>
    <w:qFormat/>
    <w:uiPriority w:val="34"/>
    <w:pPr>
      <w:ind w:left="840" w:leftChars="400"/>
    </w:pPr>
  </w:style>
  <w:style w:type="paragraph" w:customStyle="1" w:styleId="111">
    <w:name w:val="List Paragraph31"/>
    <w:basedOn w:val="1"/>
    <w:qFormat/>
    <w:uiPriority w:val="0"/>
    <w:pPr>
      <w:overflowPunct/>
      <w:autoSpaceDE/>
      <w:autoSpaceDN/>
      <w:adjustRightInd/>
      <w:spacing w:before="100" w:beforeAutospacing="1"/>
      <w:ind w:left="720"/>
      <w:contextualSpacing/>
      <w:jc w:val="left"/>
      <w:textAlignment w:val="auto"/>
    </w:pPr>
    <w:rPr>
      <w:rFonts w:eastAsia="宋体"/>
      <w:sz w:val="24"/>
      <w:szCs w:val="24"/>
      <w:lang w:val="en-US" w:eastAsia="zh-CN"/>
    </w:rPr>
  </w:style>
  <w:style w:type="paragraph" w:styleId="112">
    <w:name w:val="List Paragraph"/>
    <w:basedOn w:val="1"/>
    <w:qFormat/>
    <w:uiPriority w:val="34"/>
    <w:pPr>
      <w:ind w:left="840" w:leftChars="400"/>
    </w:pPr>
  </w:style>
  <w:style w:type="character" w:styleId="113">
    <w:name w:val="Placeholder Text"/>
    <w:semiHidden/>
    <w:qFormat/>
    <w:uiPriority w:val="99"/>
    <w:rPr>
      <w:color w:val="808080"/>
    </w:rPr>
  </w:style>
  <w:style w:type="character" w:customStyle="1" w:styleId="114">
    <w:name w:val="ZGSM"/>
    <w:qFormat/>
    <w:uiPriority w:val="0"/>
  </w:style>
  <w:style w:type="character" w:customStyle="1" w:styleId="115">
    <w:name w:val="normaltextrun"/>
    <w:basedOn w:val="31"/>
    <w:qFormat/>
    <w:uiPriority w:val="0"/>
  </w:style>
  <w:style w:type="character" w:customStyle="1" w:styleId="116">
    <w:name w:val="eop"/>
    <w:basedOn w:val="3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7044D-334B-403B-B55F-529113234FBF}">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8</Pages>
  <Words>2717</Words>
  <Characters>15488</Characters>
  <Lines>129</Lines>
  <Paragraphs>36</Paragraphs>
  <TotalTime>0</TotalTime>
  <ScaleCrop>false</ScaleCrop>
  <LinksUpToDate>false</LinksUpToDate>
  <CharactersWithSpaces>18169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2022-09-05T05:04:00Z</dcterms:created>
  <dc:creator>ZTE</dc:creator>
  <cp:lastModifiedBy>ZTE</cp:lastModifiedBy>
  <cp:lastPrinted>2011-10-28T07:16:00Z</cp:lastPrinted>
  <dcterms:modified xsi:type="dcterms:W3CDTF">2022-12-05T12:34:30Z</dcterms:modified>
  <dc:title>RedCap evolution in Rel-18</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