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rPr>
          <w:rFonts w:hint="default" w:cs="Arial"/>
          <w:bCs/>
          <w:sz w:val="24"/>
          <w:lang w:val="en-US"/>
        </w:rPr>
      </w:pPr>
      <w:bookmarkStart w:id="2" w:name="_GoBack"/>
      <w:bookmarkEnd w:id="2"/>
      <w:r>
        <w:rPr>
          <w:rFonts w:cs="Arial"/>
          <w:bCs/>
          <w:sz w:val="24"/>
          <w:lang w:val="en-GB"/>
        </w:rPr>
        <w:t>3GPP TSG RAN Meeting #9</w:t>
      </w:r>
      <w:r>
        <w:rPr>
          <w:rFonts w:hint="default" w:cs="Arial"/>
          <w:bCs/>
          <w:sz w:val="24"/>
          <w:lang w:val="en-US"/>
        </w:rPr>
        <w:t>8</w:t>
      </w:r>
      <w:r>
        <w:rPr>
          <w:rFonts w:cs="Arial"/>
          <w:bCs/>
          <w:sz w:val="24"/>
          <w:lang w:val="en-GB"/>
        </w:rPr>
        <w:t>-e</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 xml:space="preserve">                                                 </w:t>
      </w:r>
      <w:r>
        <w:rPr>
          <w:rFonts w:hint="eastAsia" w:cs="Arial"/>
          <w:bCs/>
          <w:sz w:val="24"/>
          <w:lang w:val="en-GB"/>
        </w:rPr>
        <w:t>RP-223044</w:t>
      </w:r>
    </w:p>
    <w:p>
      <w:pPr>
        <w:pStyle w:val="39"/>
        <w:rPr>
          <w:rFonts w:eastAsia="MS Mincho" w:cs="Arial"/>
          <w:bCs/>
          <w:sz w:val="24"/>
          <w:lang w:val="en-GB" w:eastAsia="ja-JP"/>
        </w:rPr>
      </w:pPr>
      <w:r>
        <w:rPr>
          <w:rFonts w:hint="eastAsia" w:cs="Arial"/>
          <w:bCs/>
          <w:sz w:val="24"/>
          <w:lang w:val="en-GB"/>
        </w:rPr>
        <w:t>Electronic Meeting, December 12-16, 2022</w:t>
      </w:r>
    </w:p>
    <w:p>
      <w:pPr>
        <w:spacing w:after="60"/>
        <w:ind w:left="1985" w:hanging="1985"/>
        <w:rPr>
          <w:rFonts w:ascii="Arial" w:hAnsi="Arial" w:cs="Arial"/>
          <w:b/>
        </w:rPr>
      </w:pPr>
      <w:bookmarkStart w:id="0" w:name="_Hlk495298459"/>
    </w:p>
    <w:p>
      <w:pPr>
        <w:spacing w:after="60"/>
        <w:ind w:left="1985" w:hanging="1985"/>
        <w:rPr>
          <w:rFonts w:hint="default"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Views on open issues for R18 RedCap WI</w:t>
      </w:r>
    </w:p>
    <w:p>
      <w:pPr>
        <w:spacing w:after="60"/>
        <w:ind w:left="1985" w:hanging="1985"/>
        <w:rPr>
          <w:rFonts w:hint="default" w:ascii="Arial" w:hAnsi="Arial"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hint="eastAsia" w:ascii="Arial" w:hAnsi="Arial" w:cs="Arial"/>
          <w:b/>
          <w:sz w:val="22"/>
          <w:szCs w:val="22"/>
          <w:lang w:eastAsia="zh-CN"/>
        </w:rPr>
        <w:t>9.3.1.7</w:t>
      </w:r>
    </w:p>
    <w:p>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b/>
          <w:sz w:val="22"/>
          <w:szCs w:val="22"/>
          <w:lang w:eastAsia="zh-CN"/>
        </w:rPr>
        <w:t>CMCC</w:t>
      </w:r>
    </w:p>
    <w:p>
      <w:pPr>
        <w:spacing w:after="6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w:t>
      </w:r>
      <w:bookmarkEnd w:id="0"/>
    </w:p>
    <w:p>
      <w:pPr>
        <w:pStyle w:val="2"/>
        <w:rPr>
          <w:lang w:eastAsia="zh-CN"/>
        </w:rPr>
      </w:pPr>
      <w:r>
        <w:rPr>
          <w:rFonts w:hint="eastAsia"/>
          <w:lang w:eastAsia="zh-CN"/>
        </w:rPr>
        <w:t>Introduction</w:t>
      </w:r>
    </w:p>
    <w:p>
      <w:pPr>
        <w:rPr>
          <w:lang w:val="en-US"/>
        </w:rPr>
      </w:pPr>
      <w:r>
        <w:rPr>
          <w:rFonts w:hint="default"/>
          <w:lang w:val="en-US" w:eastAsia="zh-CN"/>
        </w:rPr>
        <w:t xml:space="preserve">According to the WID[1], </w:t>
      </w:r>
      <w:r>
        <w:rPr>
          <w:rFonts w:hint="default"/>
          <w:lang w:val="en-US"/>
        </w:rPr>
        <w:t>t</w:t>
      </w:r>
      <w:r>
        <w:rPr>
          <w:lang w:val="en-US"/>
        </w:rPr>
        <w:t>he core part has the following objective and notes related to further reduced UE complexity:</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tcPr>
          <w:p>
            <w:pPr>
              <w:spacing w:before="120" w:line="280" w:lineRule="atLeast"/>
              <w:ind w:right="-99"/>
              <w:jc w:val="both"/>
              <w:rPr>
                <w:b/>
                <w:bCs/>
                <w:lang w:eastAsia="ja-JP"/>
              </w:rPr>
            </w:pPr>
            <w:r>
              <w:rPr>
                <w:b/>
                <w:bCs/>
                <w:lang w:eastAsia="ja-JP"/>
              </w:rPr>
              <w:t>Complexity/cost reduction</w:t>
            </w:r>
          </w:p>
          <w:p>
            <w:pPr>
              <w:numPr>
                <w:ilvl w:val="0"/>
                <w:numId w:val="9"/>
              </w:numPr>
              <w:overflowPunct w:val="0"/>
              <w:autoSpaceDE w:val="0"/>
              <w:autoSpaceDN w:val="0"/>
              <w:adjustRightInd w:val="0"/>
              <w:spacing w:before="120" w:line="240" w:lineRule="auto"/>
              <w:ind w:right="-99"/>
              <w:jc w:val="left"/>
              <w:textAlignment w:val="baseline"/>
              <w:rPr>
                <w:lang w:eastAsia="ja-JP"/>
              </w:rPr>
            </w:pPr>
            <w:r>
              <w:rPr>
                <w:lang w:eastAsia="ja-JP"/>
              </w:rPr>
              <w:t>Further reduced UE complexity in FR1 [RAN1, RAN2, RAN4]</w:t>
            </w:r>
          </w:p>
          <w:p>
            <w:pPr>
              <w:pStyle w:val="87"/>
              <w:numPr>
                <w:ilvl w:val="1"/>
                <w:numId w:val="10"/>
              </w:numPr>
              <w:overflowPunct w:val="0"/>
              <w:autoSpaceDE w:val="0"/>
              <w:autoSpaceDN w:val="0"/>
              <w:adjustRightInd w:val="0"/>
              <w:spacing w:before="120" w:line="240" w:lineRule="auto"/>
              <w:ind w:left="1440"/>
              <w:jc w:val="left"/>
              <w:textAlignment w:val="baseline"/>
              <w:rPr>
                <w:lang w:val="en-US"/>
              </w:rPr>
            </w:pPr>
            <w:r>
              <w:rPr>
                <w:lang w:val="en-US"/>
              </w:rPr>
              <w:t>UE BB bandwidth reduction</w:t>
            </w:r>
          </w:p>
          <w:p>
            <w:pPr>
              <w:pStyle w:val="87"/>
              <w:numPr>
                <w:ilvl w:val="2"/>
                <w:numId w:val="10"/>
              </w:numPr>
              <w:overflowPunct w:val="0"/>
              <w:autoSpaceDE w:val="0"/>
              <w:autoSpaceDN w:val="0"/>
              <w:adjustRightInd w:val="0"/>
              <w:spacing w:before="120" w:line="240" w:lineRule="auto"/>
              <w:ind w:left="2160"/>
              <w:jc w:val="left"/>
              <w:textAlignment w:val="baseline"/>
              <w:rPr>
                <w:lang w:val="en-US"/>
              </w:rPr>
            </w:pPr>
            <w:r>
              <w:rPr>
                <w:lang w:val="en-US"/>
              </w:rPr>
              <w:t>5 MHz BB bandwidth only for PDSCH (for both unicast and broadcast) and PUSCH, with 20 MHz RF bandwidth for UL and DL</w:t>
            </w:r>
          </w:p>
          <w:p>
            <w:pPr>
              <w:pStyle w:val="87"/>
              <w:numPr>
                <w:ilvl w:val="2"/>
                <w:numId w:val="10"/>
              </w:numPr>
              <w:overflowPunct w:val="0"/>
              <w:autoSpaceDE w:val="0"/>
              <w:autoSpaceDN w:val="0"/>
              <w:adjustRightInd w:val="0"/>
              <w:spacing w:before="120" w:line="240" w:lineRule="auto"/>
              <w:ind w:left="2160"/>
              <w:jc w:val="left"/>
              <w:textAlignment w:val="baseline"/>
              <w:rPr>
                <w:lang w:val="en-US"/>
              </w:rPr>
            </w:pPr>
            <w:r>
              <w:rPr>
                <w:lang w:val="en-US"/>
              </w:rPr>
              <w:t>The other physical channels and signals are still allowed to use a BWP up to the 20 MHz maximum UE RF+BB bandwidth.</w:t>
            </w:r>
          </w:p>
          <w:p>
            <w:pPr>
              <w:numPr>
                <w:ilvl w:val="1"/>
                <w:numId w:val="10"/>
              </w:numPr>
              <w:overflowPunct w:val="0"/>
              <w:autoSpaceDE w:val="0"/>
              <w:autoSpaceDN w:val="0"/>
              <w:adjustRightInd w:val="0"/>
              <w:spacing w:before="120" w:line="240" w:lineRule="auto"/>
              <w:ind w:left="1440" w:right="-99"/>
              <w:jc w:val="left"/>
              <w:textAlignment w:val="baseline"/>
              <w:rPr>
                <w:lang w:eastAsia="ja-JP"/>
              </w:rPr>
            </w:pPr>
            <w:r>
              <w:rPr>
                <w:lang w:eastAsia="ja-JP"/>
              </w:rPr>
              <w:t>UE peak data rate reduction</w:t>
            </w:r>
          </w:p>
          <w:p>
            <w:pPr>
              <w:pStyle w:val="87"/>
              <w:numPr>
                <w:ilvl w:val="2"/>
                <w:numId w:val="10"/>
              </w:numPr>
              <w:overflowPunct w:val="0"/>
              <w:autoSpaceDE w:val="0"/>
              <w:autoSpaceDN w:val="0"/>
              <w:adjustRightInd w:val="0"/>
              <w:spacing w:before="120"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pPr>
              <w:pStyle w:val="87"/>
              <w:numPr>
                <w:ilvl w:val="2"/>
                <w:numId w:val="10"/>
              </w:numPr>
              <w:overflowPunct w:val="0"/>
              <w:autoSpaceDE w:val="0"/>
              <w:autoSpaceDN w:val="0"/>
              <w:adjustRightInd w:val="0"/>
              <w:spacing w:before="120" w:line="240" w:lineRule="auto"/>
              <w:ind w:left="2160"/>
              <w:jc w:val="left"/>
              <w:textAlignment w:val="baseline"/>
              <w:rPr>
                <w:lang w:val="en-US"/>
              </w:rPr>
            </w:pPr>
            <w:r>
              <w:rPr>
                <w:lang w:val="en-US"/>
              </w:rPr>
              <w:t>The relaxed constraint is, e.g., 1 (instead of 4).</w:t>
            </w:r>
          </w:p>
          <w:p>
            <w:pPr>
              <w:pStyle w:val="87"/>
              <w:numPr>
                <w:ilvl w:val="2"/>
                <w:numId w:val="10"/>
              </w:numPr>
              <w:overflowPunct w:val="0"/>
              <w:autoSpaceDE w:val="0"/>
              <w:autoSpaceDN w:val="0"/>
              <w:adjustRightInd w:val="0"/>
              <w:spacing w:before="120"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pPr>
              <w:pStyle w:val="86"/>
              <w:numPr>
                <w:ilvl w:val="1"/>
                <w:numId w:val="10"/>
              </w:numPr>
              <w:overflowPunct w:val="0"/>
              <w:autoSpaceDE w:val="0"/>
              <w:autoSpaceDN w:val="0"/>
              <w:adjustRightInd w:val="0"/>
              <w:spacing w:before="120" w:line="240" w:lineRule="auto"/>
              <w:ind w:left="1440"/>
              <w:jc w:val="left"/>
              <w:textAlignment w:val="baseline"/>
              <w:rPr>
                <w:lang w:val="en-US" w:eastAsia="ja-JP"/>
              </w:rPr>
            </w:pPr>
            <w:r>
              <w:rPr>
                <w:lang w:val="en-US" w:eastAsia="ja-JP"/>
              </w:rPr>
              <w:t>Both 15 kHz SCS and 30 kHz SCS are supported.</w:t>
            </w:r>
          </w:p>
          <w:p>
            <w:pPr>
              <w:pStyle w:val="86"/>
              <w:numPr>
                <w:ilvl w:val="1"/>
                <w:numId w:val="10"/>
              </w:numPr>
              <w:overflowPunct w:val="0"/>
              <w:autoSpaceDE w:val="0"/>
              <w:autoSpaceDN w:val="0"/>
              <w:adjustRightInd w:val="0"/>
              <w:spacing w:before="120" w:line="240" w:lineRule="auto"/>
              <w:ind w:left="1440"/>
              <w:jc w:val="left"/>
              <w:textAlignment w:val="baseline"/>
              <w:rPr>
                <w:lang w:val="en-US" w:eastAsia="ja-JP"/>
              </w:rPr>
            </w:pPr>
            <w:r>
              <w:rPr>
                <w:lang w:val="en-US" w:eastAsia="ja-JP"/>
              </w:rPr>
              <w:t>Aim to define at most one Rel-18 RedCap UE type for further UE complexity reduction.</w:t>
            </w:r>
          </w:p>
          <w:p>
            <w:pPr>
              <w:numPr>
                <w:ilvl w:val="1"/>
                <w:numId w:val="10"/>
              </w:numPr>
              <w:overflowPunct w:val="0"/>
              <w:autoSpaceDE w:val="0"/>
              <w:autoSpaceDN w:val="0"/>
              <w:adjustRightInd w:val="0"/>
              <w:spacing w:before="120"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pPr>
              <w:pStyle w:val="87"/>
              <w:spacing w:before="120" w:line="280" w:lineRule="atLeast"/>
              <w:ind w:left="0" w:firstLine="0"/>
              <w:jc w:val="both"/>
              <w:rPr>
                <w:lang w:val="en-US" w:eastAsia="ja-JP"/>
              </w:rPr>
            </w:pPr>
            <w:r>
              <w:rPr>
                <w:lang w:val="en-US" w:eastAsia="ja-JP"/>
              </w:rPr>
              <w:t>Notes:</w:t>
            </w:r>
          </w:p>
          <w:p>
            <w:pPr>
              <w:pStyle w:val="86"/>
              <w:numPr>
                <w:ilvl w:val="0"/>
                <w:numId w:val="11"/>
              </w:numPr>
              <w:overflowPunct w:val="0"/>
              <w:autoSpaceDE w:val="0"/>
              <w:autoSpaceDN w:val="0"/>
              <w:adjustRightInd w:val="0"/>
              <w:spacing w:before="120" w:line="240" w:lineRule="auto"/>
              <w:jc w:val="left"/>
              <w:textAlignment w:val="baseline"/>
              <w:rPr>
                <w:lang w:val="en-US" w:eastAsia="ja-JP"/>
              </w:rPr>
            </w:pPr>
            <w:r>
              <w:rPr>
                <w:lang w:val="en-US" w:eastAsia="ja-JP"/>
              </w:rPr>
              <w:t>The work defined as part of this WI is not to overlap with LPWA use cases.</w:t>
            </w:r>
          </w:p>
          <w:p>
            <w:pPr>
              <w:pStyle w:val="86"/>
              <w:numPr>
                <w:ilvl w:val="0"/>
                <w:numId w:val="11"/>
              </w:numPr>
              <w:overflowPunct w:val="0"/>
              <w:autoSpaceDE w:val="0"/>
              <w:autoSpaceDN w:val="0"/>
              <w:adjustRightInd w:val="0"/>
              <w:spacing w:before="120"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pPr>
              <w:pStyle w:val="86"/>
              <w:numPr>
                <w:ilvl w:val="0"/>
                <w:numId w:val="11"/>
              </w:numPr>
              <w:overflowPunct w:val="0"/>
              <w:autoSpaceDE w:val="0"/>
              <w:autoSpaceDN w:val="0"/>
              <w:adjustRightInd w:val="0"/>
              <w:spacing w:before="120" w:line="240" w:lineRule="auto"/>
              <w:jc w:val="left"/>
              <w:textAlignment w:val="baseline"/>
              <w:rPr>
                <w:lang w:val="en-US" w:eastAsia="ja-JP"/>
              </w:rPr>
            </w:pPr>
            <w:r>
              <w:rPr>
                <w:lang w:val="en-US" w:eastAsia="ja-JP"/>
              </w:rPr>
              <w:t>This WI considers all applicable duplex modes unless otherwise specified.</w:t>
            </w:r>
          </w:p>
          <w:p>
            <w:pPr>
              <w:pStyle w:val="86"/>
              <w:spacing w:before="120" w:line="280" w:lineRule="atLeast"/>
              <w:ind w:left="0" w:firstLine="0"/>
              <w:jc w:val="both"/>
              <w:rPr>
                <w:lang w:val="en-US" w:eastAsia="ja-JP"/>
              </w:rPr>
            </w:pPr>
            <w:r>
              <w:rPr>
                <w:lang w:val="en-US" w:eastAsia="ja-JP"/>
              </w:rPr>
              <w:t>Check in RAN#98-e regarding:</w:t>
            </w:r>
          </w:p>
          <w:p>
            <w:pPr>
              <w:pStyle w:val="86"/>
              <w:numPr>
                <w:ilvl w:val="0"/>
                <w:numId w:val="9"/>
              </w:numPr>
              <w:overflowPunct w:val="0"/>
              <w:autoSpaceDE w:val="0"/>
              <w:autoSpaceDN w:val="0"/>
              <w:adjustRightInd w:val="0"/>
              <w:spacing w:before="120" w:line="240" w:lineRule="auto"/>
              <w:jc w:val="left"/>
              <w:textAlignment w:val="baseline"/>
              <w:rPr>
                <w:lang w:val="en-US" w:eastAsia="ja-JP"/>
              </w:rPr>
            </w:pPr>
            <w:r>
              <w:rPr>
                <w:lang w:val="en-US" w:eastAsia="ja-JP"/>
              </w:rPr>
              <w:t>Whether UE peak data rate reduction for UE is limited only with UE BB bandwidth reduction or standalone</w:t>
            </w:r>
          </w:p>
          <w:p>
            <w:pPr>
              <w:pStyle w:val="86"/>
              <w:numPr>
                <w:ilvl w:val="0"/>
                <w:numId w:val="9"/>
              </w:numPr>
              <w:overflowPunct w:val="0"/>
              <w:autoSpaceDE w:val="0"/>
              <w:autoSpaceDN w:val="0"/>
              <w:adjustRightInd w:val="0"/>
              <w:spacing w:before="120" w:line="240" w:lineRule="auto"/>
              <w:jc w:val="left"/>
              <w:textAlignment w:val="baseline"/>
              <w:rPr>
                <w:lang w:val="en-US" w:eastAsia="ja-JP"/>
              </w:rPr>
            </w:pPr>
            <w:r>
              <w:rPr>
                <w:lang w:val="en-US" w:eastAsia="ja-JP"/>
              </w:rPr>
              <w:t>Whether or not/how a separate early indication can be supported</w:t>
            </w:r>
          </w:p>
          <w:p>
            <w:pPr>
              <w:pStyle w:val="86"/>
              <w:numPr>
                <w:ilvl w:val="0"/>
                <w:numId w:val="9"/>
              </w:numPr>
              <w:overflowPunct w:val="0"/>
              <w:autoSpaceDE w:val="0"/>
              <w:autoSpaceDN w:val="0"/>
              <w:adjustRightInd w:val="0"/>
              <w:spacing w:before="120" w:line="240" w:lineRule="auto"/>
              <w:jc w:val="left"/>
              <w:textAlignment w:val="baseline"/>
              <w:rPr>
                <w:lang w:val="en-US" w:eastAsia="ja-JP"/>
              </w:rPr>
            </w:pPr>
            <w:r>
              <w:rPr>
                <w:lang w:val="en-US" w:eastAsia="ja-JP"/>
              </w:rPr>
              <w:t>Other restrictions of the WI (e.g., connectivity restrictions, band, etc.)</w:t>
            </w:r>
          </w:p>
        </w:tc>
      </w:tr>
    </w:tbl>
    <w:p>
      <w:pPr>
        <w:rPr>
          <w:rFonts w:hint="default"/>
          <w:lang w:val="en-US" w:eastAsia="zh-CN"/>
        </w:rPr>
      </w:pPr>
    </w:p>
    <w:p>
      <w:pPr>
        <w:rPr>
          <w:lang w:eastAsia="zh-CN"/>
        </w:rPr>
      </w:pPr>
      <w:r>
        <w:rPr>
          <w:rFonts w:hint="default"/>
          <w:lang w:val="en-US" w:eastAsia="zh-CN"/>
        </w:rPr>
        <w:t xml:space="preserve">It can be seen that there are some open issues to be checked in RAN#98-e meeting, in this contribution, we give our views on the first two open issues. </w:t>
      </w:r>
    </w:p>
    <w:p>
      <w:pPr>
        <w:pStyle w:val="2"/>
      </w:pPr>
      <w:r>
        <w:t xml:space="preserve">Discussion on the </w:t>
      </w:r>
      <w:r>
        <w:rPr>
          <w:rFonts w:hint="default"/>
          <w:lang w:val="en-US"/>
        </w:rPr>
        <w:t>open issues for R18 RedCap</w:t>
      </w:r>
    </w:p>
    <w:p>
      <w:pPr>
        <w:rPr>
          <w:rFonts w:hint="default"/>
          <w:lang w:val="en-US" w:eastAsia="zh-CN"/>
        </w:rPr>
      </w:pPr>
      <w:r>
        <w:rPr>
          <w:lang w:val="en-GB" w:eastAsia="zh-CN"/>
        </w:rPr>
        <w:t>I</w:t>
      </w:r>
      <w:r>
        <w:rPr>
          <w:rFonts w:hint="eastAsia"/>
          <w:lang w:val="en-GB" w:eastAsia="zh-CN"/>
        </w:rPr>
        <w:t>n</w:t>
      </w:r>
      <w:r>
        <w:rPr>
          <w:lang w:val="en-GB" w:eastAsia="zh-CN"/>
        </w:rPr>
        <w:t xml:space="preserve"> this section, we express our views on the </w:t>
      </w:r>
      <w:r>
        <w:rPr>
          <w:rFonts w:hint="default"/>
          <w:lang w:val="en-US" w:eastAsia="zh-CN"/>
        </w:rPr>
        <w:t>peak data rate reduction and separate early indication.</w:t>
      </w:r>
    </w:p>
    <w:p>
      <w:pPr>
        <w:pStyle w:val="3"/>
        <w:rPr>
          <w:lang w:eastAsia="zh-CN"/>
        </w:rPr>
      </w:pPr>
      <w:r>
        <w:rPr>
          <w:rFonts w:hint="default"/>
          <w:lang w:val="en-US" w:eastAsia="zh-CN"/>
        </w:rPr>
        <w:t>Discussion on UE peak data rate reduction</w:t>
      </w:r>
    </w:p>
    <w:p>
      <w:pPr>
        <w:rPr>
          <w:rFonts w:hint="default"/>
          <w:lang w:val="en-US" w:eastAsia="zh-CN"/>
        </w:rPr>
      </w:pPr>
      <w:r>
        <w:rPr>
          <w:rFonts w:hint="default"/>
          <w:lang w:val="en-US" w:eastAsia="zh-CN"/>
        </w:rPr>
        <w:t>There were a lot of discussion during last RAN#97 meeting about whether UE peak data rate reduction (PR1) is used only as add on to UE BB bandwidth reduction or as a standalone solution for R18 RedCap UEs, and the conclusion will be made in this meeting.</w:t>
      </w:r>
    </w:p>
    <w:p>
      <w:pPr>
        <w:rPr>
          <w:rFonts w:hint="default"/>
          <w:lang w:val="en-US" w:eastAsia="zh-CN"/>
        </w:rPr>
      </w:pPr>
      <w:r>
        <w:rPr>
          <w:rFonts w:hint="default"/>
          <w:lang w:val="en-US" w:eastAsia="zh-CN"/>
        </w:rPr>
        <w:t>Some progress has been made with two RAN1 meetings. During RAN1#111 meeting, the following agreements was made, which means PR3 other than BW3 is adopted for UE cost reduction, and the post FFT buffer size of UE is up to 20MHz.</w:t>
      </w:r>
    </w:p>
    <w:tbl>
      <w:tblPr>
        <w:tblStyle w:val="52"/>
        <w:tblW w:w="100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2" w:type="dxa"/>
          </w:tcPr>
          <w:p>
            <w:pPr>
              <w:spacing w:before="120" w:line="280" w:lineRule="atLeast"/>
              <w:jc w:val="both"/>
              <w:rPr>
                <w:b/>
                <w:highlight w:val="green"/>
                <w:lang w:val="en-US"/>
              </w:rPr>
            </w:pPr>
            <w:r>
              <w:rPr>
                <w:b/>
                <w:highlight w:val="green"/>
                <w:lang w:val="en-US"/>
              </w:rPr>
              <w:t>Agreement</w:t>
            </w:r>
          </w:p>
          <w:p>
            <w:pPr>
              <w:spacing w:before="120" w:line="280" w:lineRule="atLeast"/>
              <w:jc w:val="both"/>
              <w:rPr>
                <w:b/>
                <w:lang w:val="en-US"/>
              </w:rPr>
            </w:pPr>
            <w:r>
              <w:rPr>
                <w:b/>
                <w:lang w:val="en-US"/>
              </w:rPr>
              <w:t>For UE BB complexity reduction, a UE is able to receive a DL assignment in a DCI with a unicast PDSCH resource allocation spanning a bandwidth of more than ~5 MHz per slot.</w:t>
            </w:r>
          </w:p>
          <w:p>
            <w:pPr>
              <w:spacing w:before="120" w:line="280" w:lineRule="atLeast"/>
              <w:jc w:val="both"/>
              <w:rPr>
                <w:rFonts w:ascii="Times New Roman" w:hAnsi="Times New Roman" w:cs="Times New Roman"/>
                <w:sz w:val="20"/>
                <w:szCs w:val="20"/>
                <w:lang w:val="en-US"/>
              </w:rPr>
            </w:pPr>
            <w:r>
              <w:rPr>
                <w:b/>
                <w:lang w:val="en-US"/>
              </w:rPr>
              <w:t>T</w:t>
            </w:r>
            <w:r>
              <w:rPr>
                <w:rFonts w:eastAsia="等线"/>
                <w:b/>
                <w:lang w:val="en-US" w:eastAsia="zh-CN"/>
              </w:rPr>
              <w:t>he number of PRB scheduled in DCI is not larger than the maximum number of PRB agreed in previous agreement from 110b-e</w:t>
            </w:r>
          </w:p>
        </w:tc>
      </w:tr>
    </w:tbl>
    <w:p>
      <w:pPr>
        <w:rPr>
          <w:rFonts w:hint="default"/>
          <w:lang w:val="en-US" w:eastAsia="zh-CN"/>
        </w:rPr>
      </w:pPr>
    </w:p>
    <w:p>
      <w:pPr>
        <w:rPr>
          <w:rFonts w:hint="default"/>
          <w:lang w:val="en-US" w:eastAsia="zh-CN"/>
        </w:rPr>
      </w:pPr>
      <w:r>
        <w:rPr>
          <w:rFonts w:hint="default"/>
          <w:lang w:val="en-US" w:eastAsia="zh-CN"/>
        </w:rPr>
        <w:t>According to TR 38.865[2], the cost reduction gain of PR1 and PR3 is shown in Table 1 and Table 2, with R15 and R17 as baseline, respectively.</w:t>
      </w:r>
    </w:p>
    <w:p>
      <w:pPr>
        <w:jc w:val="center"/>
        <w:rPr>
          <w:rFonts w:hint="default"/>
          <w:lang w:val="en-US" w:eastAsia="zh-CN"/>
        </w:rPr>
      </w:pPr>
      <w:r>
        <w:rPr>
          <w:rFonts w:hint="default"/>
          <w:lang w:val="en-US"/>
        </w:rPr>
        <w:t xml:space="preserve">Table 1. </w:t>
      </w:r>
      <w:r>
        <w:t>Average UE complexity reduction achieved</w:t>
      </w:r>
      <w:r>
        <w:rPr>
          <w:rFonts w:hint="default"/>
          <w:lang w:val="en-US"/>
        </w:rPr>
        <w:t xml:space="preserve"> for PR1 and PR3 with different configurations </w:t>
      </w:r>
    </w:p>
    <w:tbl>
      <w:tblPr>
        <w:tblStyle w:val="51"/>
        <w:tblW w:w="8486" w:type="dxa"/>
        <w:jc w:val="center"/>
        <w:tblLayout w:type="autofit"/>
        <w:tblCellMar>
          <w:top w:w="0" w:type="dxa"/>
          <w:left w:w="108" w:type="dxa"/>
          <w:bottom w:w="0" w:type="dxa"/>
          <w:right w:w="108" w:type="dxa"/>
        </w:tblCellMar>
      </w:tblPr>
      <w:tblGrid>
        <w:gridCol w:w="3904"/>
        <w:gridCol w:w="1186"/>
        <w:gridCol w:w="1142"/>
        <w:gridCol w:w="1154"/>
        <w:gridCol w:w="1100"/>
      </w:tblGrid>
      <w:tr>
        <w:tblPrEx>
          <w:tblCellMar>
            <w:top w:w="0" w:type="dxa"/>
            <w:left w:w="108" w:type="dxa"/>
            <w:bottom w:w="0" w:type="dxa"/>
            <w:right w:w="108" w:type="dxa"/>
          </w:tblCellMar>
        </w:tblPrEx>
        <w:trPr>
          <w:trHeight w:val="204" w:hRule="atLeast"/>
          <w:jc w:val="center"/>
        </w:trPr>
        <w:tc>
          <w:tcPr>
            <w:tcW w:w="3904"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2"/>
              <w:rPr>
                <w:rFonts w:hint="default"/>
                <w:color w:val="000000"/>
                <w:lang w:val="en-US"/>
              </w:rPr>
            </w:pPr>
            <w:r>
              <w:rPr>
                <w:rFonts w:hint="default"/>
                <w:color w:val="000000"/>
                <w:lang w:val="en-US"/>
              </w:rPr>
              <w:t>RF+BB cost reduction</w:t>
            </w:r>
          </w:p>
        </w:tc>
        <w:tc>
          <w:tcPr>
            <w:tcW w:w="1186" w:type="dxa"/>
            <w:tcBorders>
              <w:top w:val="dotted" w:color="auto" w:sz="4" w:space="0"/>
              <w:left w:val="dotted" w:color="auto" w:sz="0" w:space="0"/>
              <w:bottom w:val="dotted" w:color="auto" w:sz="4" w:space="0"/>
              <w:right w:val="dotted" w:color="auto" w:sz="4" w:space="0"/>
            </w:tcBorders>
            <w:shd w:val="clear" w:color="auto" w:fill="FFFFFF"/>
            <w:vAlign w:val="center"/>
          </w:tcPr>
          <w:p>
            <w:pPr>
              <w:pStyle w:val="62"/>
              <w:rPr>
                <w:color w:val="000000"/>
                <w:lang w:val="en-US"/>
              </w:rPr>
            </w:pPr>
            <w:r>
              <w:rPr>
                <w:color w:val="000000"/>
                <w:lang w:val="en-US"/>
              </w:rPr>
              <w:t>Rel-15 reference</w:t>
            </w:r>
          </w:p>
        </w:tc>
        <w:tc>
          <w:tcPr>
            <w:tcW w:w="1142" w:type="dxa"/>
            <w:tcBorders>
              <w:top w:val="dotted" w:color="auto" w:sz="4" w:space="0"/>
              <w:left w:val="dotted" w:color="auto" w:sz="0" w:space="0"/>
              <w:bottom w:val="dotted" w:color="auto" w:sz="4" w:space="0"/>
              <w:right w:val="dotted" w:color="auto" w:sz="4" w:space="0"/>
            </w:tcBorders>
            <w:shd w:val="clear" w:color="auto" w:fill="FFFFFF"/>
            <w:vAlign w:val="center"/>
          </w:tcPr>
          <w:p>
            <w:pPr>
              <w:pStyle w:val="62"/>
              <w:rPr>
                <w:color w:val="000000"/>
                <w:lang w:val="en-US"/>
              </w:rPr>
            </w:pPr>
            <w:r>
              <w:rPr>
                <w:color w:val="000000"/>
                <w:lang w:val="en-US"/>
              </w:rPr>
              <w:t>Rel-17 RedCap</w:t>
            </w:r>
          </w:p>
        </w:tc>
        <w:tc>
          <w:tcPr>
            <w:tcW w:w="1154" w:type="dxa"/>
            <w:tcBorders>
              <w:top w:val="dotted" w:color="auto" w:sz="4" w:space="0"/>
              <w:left w:val="dotted" w:color="auto" w:sz="0" w:space="0"/>
              <w:bottom w:val="dotted" w:color="auto" w:sz="4" w:space="0"/>
              <w:right w:val="dotted" w:color="auto" w:sz="4" w:space="0"/>
            </w:tcBorders>
            <w:shd w:val="clear" w:color="auto" w:fill="FFFFFF"/>
          </w:tcPr>
          <w:p>
            <w:pPr>
              <w:pStyle w:val="62"/>
              <w:rPr>
                <w:color w:val="000000"/>
                <w:lang w:val="en-US"/>
              </w:rPr>
            </w:pPr>
            <w:r>
              <w:rPr>
                <w:color w:val="000000"/>
                <w:lang w:val="en-US"/>
              </w:rPr>
              <w:t>PR1</w:t>
            </w:r>
          </w:p>
        </w:tc>
        <w:tc>
          <w:tcPr>
            <w:tcW w:w="1100" w:type="dxa"/>
            <w:tcBorders>
              <w:top w:val="dotted" w:color="auto" w:sz="4" w:space="0"/>
              <w:left w:val="dotted" w:color="auto" w:sz="4" w:space="0"/>
              <w:bottom w:val="dotted" w:color="auto" w:sz="4" w:space="0"/>
              <w:right w:val="dotted" w:color="auto" w:sz="4" w:space="0"/>
            </w:tcBorders>
            <w:shd w:val="clear" w:color="auto" w:fill="FFFFFF"/>
          </w:tcPr>
          <w:p>
            <w:pPr>
              <w:pStyle w:val="62"/>
              <w:rPr>
                <w:color w:val="000000"/>
                <w:lang w:val="en-US"/>
              </w:rPr>
            </w:pPr>
            <w:r>
              <w:rPr>
                <w:color w:val="000000"/>
                <w:lang w:val="en-US"/>
              </w:rPr>
              <w:t>PR3</w:t>
            </w:r>
          </w:p>
        </w:tc>
      </w:tr>
      <w:tr>
        <w:tblPrEx>
          <w:tblCellMar>
            <w:top w:w="0" w:type="dxa"/>
            <w:left w:w="108" w:type="dxa"/>
            <w:bottom w:w="0" w:type="dxa"/>
            <w:right w:w="108" w:type="dxa"/>
          </w:tblCellMar>
        </w:tblPrEx>
        <w:trPr>
          <w:trHeight w:val="204" w:hRule="atLeast"/>
          <w:jc w:val="center"/>
        </w:trPr>
        <w:tc>
          <w:tcPr>
            <w:tcW w:w="3904"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rPr>
            </w:pPr>
            <w:r>
              <w:rPr>
                <w:rFonts w:eastAsia="Calibri" w:cs="Times New Roman"/>
                <w:color w:val="000000"/>
                <w:lang w:val="en-US"/>
              </w:rPr>
              <w:t>FD-FDD 1Rx</w:t>
            </w:r>
          </w:p>
        </w:tc>
        <w:tc>
          <w:tcPr>
            <w:tcW w:w="1186"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rPr>
            </w:pPr>
            <w:r>
              <w:rPr>
                <w:rFonts w:eastAsia="Calibri" w:cs="Times New Roman"/>
                <w:color w:val="000000"/>
                <w:lang w:val="en-US"/>
              </w:rPr>
              <w:t>100%</w:t>
            </w:r>
          </w:p>
        </w:tc>
        <w:tc>
          <w:tcPr>
            <w:tcW w:w="1142"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rPr>
            </w:pPr>
            <w:r>
              <w:rPr>
                <w:rFonts w:eastAsia="Calibri" w:cs="Times New Roman"/>
                <w:color w:val="000000"/>
                <w:lang w:val="en-US"/>
              </w:rPr>
              <w:t>44.74%</w:t>
            </w:r>
          </w:p>
        </w:tc>
        <w:tc>
          <w:tcPr>
            <w:tcW w:w="1154"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rPr>
            </w:pPr>
            <w:r>
              <w:rPr>
                <w:rFonts w:eastAsia="Calibri" w:cs="Times New Roman"/>
                <w:color w:val="000000"/>
                <w:lang w:val="en-US"/>
              </w:rPr>
              <w:t>42.89%</w:t>
            </w:r>
          </w:p>
        </w:tc>
        <w:tc>
          <w:tcPr>
            <w:tcW w:w="1100"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rPr>
            </w:pPr>
            <w:r>
              <w:rPr>
                <w:rFonts w:eastAsia="Calibri" w:cs="Times New Roman"/>
                <w:color w:val="000000"/>
                <w:lang w:val="en-US"/>
              </w:rPr>
              <w:t>41.58%</w:t>
            </w:r>
          </w:p>
        </w:tc>
      </w:tr>
      <w:tr>
        <w:tblPrEx>
          <w:tblCellMar>
            <w:top w:w="0" w:type="dxa"/>
            <w:left w:w="108" w:type="dxa"/>
            <w:bottom w:w="0" w:type="dxa"/>
            <w:right w:w="108" w:type="dxa"/>
          </w:tblCellMar>
        </w:tblPrEx>
        <w:trPr>
          <w:trHeight w:val="204" w:hRule="atLeast"/>
          <w:jc w:val="center"/>
        </w:trPr>
        <w:tc>
          <w:tcPr>
            <w:tcW w:w="3904"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hint="default" w:eastAsia="Calibri" w:cs="Times New Roman"/>
                <w:color w:val="000000"/>
                <w:lang w:val="en-US"/>
              </w:rPr>
            </w:pPr>
            <w:r>
              <w:rPr>
                <w:rFonts w:hint="default" w:eastAsia="Calibri" w:cs="Times New Roman"/>
                <w:color w:val="000000"/>
                <w:lang w:val="en-US"/>
              </w:rPr>
              <w:t>TDD 1Rx</w:t>
            </w:r>
          </w:p>
        </w:tc>
        <w:tc>
          <w:tcPr>
            <w:tcW w:w="1186"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eastAsia="en-US"/>
              </w:rPr>
            </w:pPr>
            <w:r>
              <w:rPr>
                <w:rFonts w:eastAsia="Calibri" w:cs="Times New Roman"/>
                <w:color w:val="000000"/>
                <w:lang w:val="en-US"/>
              </w:rPr>
              <w:t>100%</w:t>
            </w:r>
          </w:p>
        </w:tc>
        <w:tc>
          <w:tcPr>
            <w:tcW w:w="1142"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31.41%</w:t>
            </w:r>
          </w:p>
        </w:tc>
        <w:tc>
          <w:tcPr>
            <w:tcW w:w="1154"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30.15%</w:t>
            </w:r>
          </w:p>
        </w:tc>
        <w:tc>
          <w:tcPr>
            <w:tcW w:w="1100"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29.30%</w:t>
            </w:r>
          </w:p>
        </w:tc>
      </w:tr>
      <w:tr>
        <w:tblPrEx>
          <w:tblCellMar>
            <w:top w:w="0" w:type="dxa"/>
            <w:left w:w="108" w:type="dxa"/>
            <w:bottom w:w="0" w:type="dxa"/>
            <w:right w:w="108" w:type="dxa"/>
          </w:tblCellMar>
        </w:tblPrEx>
        <w:trPr>
          <w:trHeight w:val="204" w:hRule="atLeast"/>
          <w:jc w:val="center"/>
        </w:trPr>
        <w:tc>
          <w:tcPr>
            <w:tcW w:w="3904"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rPr>
            </w:pPr>
            <w:r>
              <w:rPr>
                <w:rFonts w:eastAsia="Calibri" w:cs="Times New Roman"/>
                <w:color w:val="000000"/>
                <w:lang w:val="en-US"/>
              </w:rPr>
              <w:t>HD-FDD 1Rx</w:t>
            </w:r>
          </w:p>
        </w:tc>
        <w:tc>
          <w:tcPr>
            <w:tcW w:w="1186"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eastAsia="en-US"/>
              </w:rPr>
            </w:pPr>
            <w:r>
              <w:rPr>
                <w:rFonts w:eastAsia="Calibri" w:cs="Times New Roman"/>
                <w:color w:val="000000"/>
                <w:lang w:val="en-US"/>
              </w:rPr>
              <w:t>100%</w:t>
            </w:r>
          </w:p>
        </w:tc>
        <w:tc>
          <w:tcPr>
            <w:tcW w:w="1142"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39.07%</w:t>
            </w:r>
          </w:p>
        </w:tc>
        <w:tc>
          <w:tcPr>
            <w:tcW w:w="1154"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37.12%</w:t>
            </w:r>
          </w:p>
        </w:tc>
        <w:tc>
          <w:tcPr>
            <w:tcW w:w="1100"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35.90%</w:t>
            </w:r>
          </w:p>
        </w:tc>
      </w:tr>
      <w:tr>
        <w:tblPrEx>
          <w:tblCellMar>
            <w:top w:w="0" w:type="dxa"/>
            <w:left w:w="108" w:type="dxa"/>
            <w:bottom w:w="0" w:type="dxa"/>
            <w:right w:w="108" w:type="dxa"/>
          </w:tblCellMar>
        </w:tblPrEx>
        <w:trPr>
          <w:trHeight w:val="204" w:hRule="atLeast"/>
          <w:jc w:val="center"/>
        </w:trPr>
        <w:tc>
          <w:tcPr>
            <w:tcW w:w="3904"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rPr>
            </w:pPr>
            <w:r>
              <w:rPr>
                <w:rFonts w:eastAsia="Calibri" w:cs="Times New Roman"/>
                <w:color w:val="000000"/>
                <w:lang w:val="en-US"/>
              </w:rPr>
              <w:t>FD-FDD 2Rx</w:t>
            </w:r>
          </w:p>
        </w:tc>
        <w:tc>
          <w:tcPr>
            <w:tcW w:w="1186"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eastAsia="en-US"/>
              </w:rPr>
            </w:pPr>
            <w:r>
              <w:rPr>
                <w:rFonts w:eastAsia="Calibri" w:cs="Times New Roman"/>
                <w:color w:val="000000"/>
                <w:lang w:val="en-US"/>
              </w:rPr>
              <w:t>100%</w:t>
            </w:r>
          </w:p>
        </w:tc>
        <w:tc>
          <w:tcPr>
            <w:tcW w:w="1142"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65.24%</w:t>
            </w:r>
          </w:p>
        </w:tc>
        <w:tc>
          <w:tcPr>
            <w:tcW w:w="1154"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61.74%</w:t>
            </w:r>
          </w:p>
        </w:tc>
        <w:tc>
          <w:tcPr>
            <w:tcW w:w="1100"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hint="default" w:eastAsia="Calibri" w:cs="Times New Roman"/>
                <w:color w:val="000000"/>
                <w:lang w:val="en-US"/>
              </w:rPr>
              <w:t>58.83</w:t>
            </w:r>
            <w:r>
              <w:rPr>
                <w:rFonts w:eastAsia="Calibri" w:cs="Times New Roman"/>
                <w:color w:val="000000"/>
                <w:lang w:val="en-US"/>
              </w:rPr>
              <w:t>%</w:t>
            </w:r>
          </w:p>
        </w:tc>
      </w:tr>
      <w:tr>
        <w:tblPrEx>
          <w:tblCellMar>
            <w:top w:w="0" w:type="dxa"/>
            <w:left w:w="108" w:type="dxa"/>
            <w:bottom w:w="0" w:type="dxa"/>
            <w:right w:w="108" w:type="dxa"/>
          </w:tblCellMar>
        </w:tblPrEx>
        <w:trPr>
          <w:trHeight w:val="204" w:hRule="atLeast"/>
          <w:jc w:val="center"/>
        </w:trPr>
        <w:tc>
          <w:tcPr>
            <w:tcW w:w="3904"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rPr>
            </w:pPr>
            <w:r>
              <w:rPr>
                <w:rFonts w:eastAsia="Calibri" w:cs="Times New Roman"/>
                <w:color w:val="000000"/>
                <w:lang w:val="en-US"/>
              </w:rPr>
              <w:t>TDD 2Rx</w:t>
            </w:r>
          </w:p>
        </w:tc>
        <w:tc>
          <w:tcPr>
            <w:tcW w:w="1186"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eastAsia="en-US"/>
              </w:rPr>
            </w:pPr>
            <w:r>
              <w:rPr>
                <w:rFonts w:eastAsia="Calibri" w:cs="Times New Roman"/>
                <w:color w:val="000000"/>
                <w:lang w:val="en-US"/>
              </w:rPr>
              <w:t>100%</w:t>
            </w:r>
          </w:p>
        </w:tc>
        <w:tc>
          <w:tcPr>
            <w:tcW w:w="1142"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43.99%</w:t>
            </w:r>
          </w:p>
        </w:tc>
        <w:tc>
          <w:tcPr>
            <w:tcW w:w="1154"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42.35%</w:t>
            </w:r>
          </w:p>
        </w:tc>
        <w:tc>
          <w:tcPr>
            <w:tcW w:w="1100"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4</w:t>
            </w:r>
            <w:r>
              <w:rPr>
                <w:rFonts w:hint="default" w:eastAsia="Calibri" w:cs="Times New Roman"/>
                <w:color w:val="000000"/>
                <w:lang w:val="en-US"/>
              </w:rPr>
              <w:t>1.09</w:t>
            </w:r>
            <w:r>
              <w:rPr>
                <w:rFonts w:eastAsia="Calibri" w:cs="Times New Roman"/>
                <w:color w:val="000000"/>
                <w:lang w:val="en-US"/>
              </w:rPr>
              <w:t>%</w:t>
            </w:r>
          </w:p>
        </w:tc>
      </w:tr>
      <w:tr>
        <w:tblPrEx>
          <w:tblCellMar>
            <w:top w:w="0" w:type="dxa"/>
            <w:left w:w="108" w:type="dxa"/>
            <w:bottom w:w="0" w:type="dxa"/>
            <w:right w:w="108" w:type="dxa"/>
          </w:tblCellMar>
        </w:tblPrEx>
        <w:trPr>
          <w:trHeight w:val="204" w:hRule="atLeast"/>
          <w:jc w:val="center"/>
        </w:trPr>
        <w:tc>
          <w:tcPr>
            <w:tcW w:w="3904"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rPr>
            </w:pPr>
            <w:r>
              <w:rPr>
                <w:rFonts w:eastAsia="Calibri" w:cs="Times New Roman"/>
                <w:color w:val="000000"/>
                <w:lang w:val="en-US"/>
              </w:rPr>
              <w:t>HD-FDD 2Rx</w:t>
            </w:r>
          </w:p>
        </w:tc>
        <w:tc>
          <w:tcPr>
            <w:tcW w:w="1186" w:type="dxa"/>
            <w:tcBorders>
              <w:top w:val="dotted" w:color="auto" w:sz="4" w:space="0"/>
              <w:left w:val="dotted" w:color="auto" w:sz="4" w:space="0"/>
              <w:bottom w:val="dotted" w:color="auto" w:sz="4" w:space="0"/>
              <w:right w:val="dotted" w:color="auto" w:sz="4" w:space="0"/>
            </w:tcBorders>
            <w:shd w:val="clear" w:color="auto" w:fill="FFFFFF"/>
            <w:vAlign w:val="center"/>
          </w:tcPr>
          <w:p>
            <w:pPr>
              <w:pStyle w:val="63"/>
              <w:rPr>
                <w:rFonts w:eastAsia="Calibri" w:cs="Times New Roman"/>
                <w:color w:val="000000"/>
                <w:lang w:val="en-US" w:eastAsia="en-US"/>
              </w:rPr>
            </w:pPr>
            <w:r>
              <w:rPr>
                <w:rFonts w:eastAsia="Calibri" w:cs="Times New Roman"/>
                <w:color w:val="000000"/>
                <w:lang w:val="en-US"/>
              </w:rPr>
              <w:t>100%</w:t>
            </w:r>
          </w:p>
        </w:tc>
        <w:tc>
          <w:tcPr>
            <w:tcW w:w="1142"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58.99%</w:t>
            </w:r>
          </w:p>
        </w:tc>
        <w:tc>
          <w:tcPr>
            <w:tcW w:w="1154"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eastAsia="Calibri" w:cs="Times New Roman"/>
                <w:color w:val="000000"/>
                <w:lang w:val="en-US"/>
              </w:rPr>
              <w:t>56.19%</w:t>
            </w:r>
          </w:p>
        </w:tc>
        <w:tc>
          <w:tcPr>
            <w:tcW w:w="1100" w:type="dxa"/>
            <w:tcBorders>
              <w:top w:val="dotted" w:color="auto" w:sz="4" w:space="0"/>
              <w:left w:val="dotted" w:color="auto" w:sz="4" w:space="0"/>
              <w:bottom w:val="dotted" w:color="auto" w:sz="4" w:space="0"/>
              <w:right w:val="dotted" w:color="auto" w:sz="4" w:space="0"/>
            </w:tcBorders>
            <w:shd w:val="clear" w:color="auto" w:fill="FFFFFF"/>
            <w:vAlign w:val="bottom"/>
          </w:tcPr>
          <w:p>
            <w:pPr>
              <w:pStyle w:val="63"/>
              <w:rPr>
                <w:rFonts w:eastAsia="Calibri" w:cs="Times New Roman"/>
                <w:color w:val="000000"/>
                <w:lang w:val="en-US" w:eastAsia="en-US"/>
              </w:rPr>
            </w:pPr>
            <w:r>
              <w:rPr>
                <w:rFonts w:hint="default" w:eastAsia="Calibri" w:cs="Times New Roman"/>
                <w:color w:val="000000"/>
                <w:lang w:val="en-US"/>
              </w:rPr>
              <w:t>54.28</w:t>
            </w:r>
            <w:r>
              <w:rPr>
                <w:rFonts w:eastAsia="Calibri" w:cs="Times New Roman"/>
                <w:color w:val="000000"/>
                <w:lang w:val="en-US"/>
              </w:rPr>
              <w:t>%</w:t>
            </w:r>
          </w:p>
        </w:tc>
      </w:tr>
    </w:tbl>
    <w:p>
      <w:pPr>
        <w:pStyle w:val="28"/>
        <w:keepNext/>
        <w:jc w:val="center"/>
        <w:rPr>
          <w:rFonts w:hint="default" w:ascii="Times New Roman" w:hAnsi="Times New Roman" w:cs="Times New Roman"/>
          <w:b w:val="0"/>
          <w:bCs w:val="0"/>
          <w:sz w:val="20"/>
          <w:szCs w:val="20"/>
          <w:lang w:val="en-US" w:eastAsia="zh-CN"/>
        </w:rPr>
      </w:pPr>
    </w:p>
    <w:p>
      <w:pPr>
        <w:pStyle w:val="28"/>
        <w:keepNext/>
        <w:jc w:val="center"/>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val="en-US"/>
        </w:rPr>
        <w:t>Table 2. Cost reduction for PR1 and PR3</w:t>
      </w:r>
    </w:p>
    <w:p>
      <w:pPr>
        <w:pStyle w:val="28"/>
        <w:keepNext/>
        <w:jc w:val="center"/>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val="en-US"/>
        </w:rPr>
        <w:t>(TR 38.865 Table 7.3.2-7 Average UE complexity reduction achieved by PR reduction options compared to corresponding Rel-17 baselines)</w:t>
      </w:r>
    </w:p>
    <w:tbl>
      <w:tblPr>
        <w:tblStyle w:val="51"/>
        <w:tblW w:w="9620" w:type="dxa"/>
        <w:jc w:val="center"/>
        <w:tblLayout w:type="autofit"/>
        <w:tblCellMar>
          <w:top w:w="0" w:type="dxa"/>
          <w:left w:w="0" w:type="dxa"/>
          <w:bottom w:w="0" w:type="dxa"/>
          <w:right w:w="0" w:type="dxa"/>
        </w:tblCellMar>
      </w:tblPr>
      <w:tblGrid>
        <w:gridCol w:w="1100"/>
        <w:gridCol w:w="1424"/>
        <w:gridCol w:w="1560"/>
        <w:gridCol w:w="1637"/>
        <w:gridCol w:w="1283"/>
        <w:gridCol w:w="1331"/>
        <w:gridCol w:w="1285"/>
      </w:tblGrid>
      <w:tr>
        <w:tblPrEx>
          <w:tblCellMar>
            <w:top w:w="0" w:type="dxa"/>
            <w:left w:w="0" w:type="dxa"/>
            <w:bottom w:w="0" w:type="dxa"/>
            <w:right w:w="0" w:type="dxa"/>
          </w:tblCellMar>
        </w:tblPrEx>
        <w:trPr>
          <w:trHeight w:val="843" w:hRule="atLeast"/>
          <w:jc w:val="center"/>
        </w:trPr>
        <w:tc>
          <w:tcPr>
            <w:tcW w:w="1100"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pStyle w:val="62"/>
              <w:rPr>
                <w:lang w:val="en-US"/>
              </w:rPr>
            </w:pPr>
            <w:r>
              <w:rPr>
                <w:rFonts w:eastAsia="Calibri"/>
                <w:lang w:val="en-US"/>
              </w:rPr>
              <w:t>Option</w:t>
            </w:r>
          </w:p>
        </w:tc>
        <w:tc>
          <w:tcPr>
            <w:tcW w:w="1424"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pStyle w:val="62"/>
              <w:rPr>
                <w:lang w:val="en-US"/>
              </w:rPr>
            </w:pPr>
            <w:r>
              <w:rPr>
                <w:rFonts w:eastAsia="Calibri"/>
                <w:lang w:val="en-US"/>
              </w:rPr>
              <w:t>FD-FDD 1Rx</w:t>
            </w:r>
          </w:p>
        </w:tc>
        <w:tc>
          <w:tcPr>
            <w:tcW w:w="1560"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pStyle w:val="62"/>
              <w:rPr>
                <w:lang w:val="en-US"/>
              </w:rPr>
            </w:pPr>
            <w:r>
              <w:rPr>
                <w:rFonts w:eastAsia="Calibri"/>
                <w:lang w:val="en-US"/>
              </w:rPr>
              <w:t>TDD 1Rx</w:t>
            </w:r>
          </w:p>
        </w:tc>
        <w:tc>
          <w:tcPr>
            <w:tcW w:w="1637"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pStyle w:val="62"/>
              <w:rPr>
                <w:lang w:val="en-US"/>
              </w:rPr>
            </w:pPr>
            <w:r>
              <w:rPr>
                <w:rFonts w:eastAsia="Calibri"/>
                <w:lang w:val="en-US"/>
              </w:rPr>
              <w:t>HD-FDD 1Rx</w:t>
            </w:r>
          </w:p>
        </w:tc>
        <w:tc>
          <w:tcPr>
            <w:tcW w:w="1283"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pStyle w:val="62"/>
              <w:rPr>
                <w:lang w:val="en-US"/>
              </w:rPr>
            </w:pPr>
            <w:r>
              <w:rPr>
                <w:rFonts w:eastAsia="Calibri"/>
                <w:lang w:val="en-US"/>
              </w:rPr>
              <w:t>FD-FDD 2Rx</w:t>
            </w:r>
          </w:p>
        </w:tc>
        <w:tc>
          <w:tcPr>
            <w:tcW w:w="1331" w:type="dxa"/>
            <w:tcBorders>
              <w:top w:val="single" w:color="000000" w:sz="8" w:space="0"/>
              <w:left w:val="single" w:color="000000" w:sz="8" w:space="0"/>
              <w:bottom w:val="single" w:color="000000" w:sz="8" w:space="0"/>
              <w:right w:val="single" w:color="000000" w:sz="8" w:space="0"/>
            </w:tcBorders>
            <w:shd w:val="clear" w:color="auto" w:fill="D9D9D9"/>
            <w:tcMar>
              <w:top w:w="15" w:type="dxa"/>
              <w:left w:w="70" w:type="dxa"/>
              <w:bottom w:w="0" w:type="dxa"/>
              <w:right w:w="70" w:type="dxa"/>
            </w:tcMar>
            <w:vAlign w:val="center"/>
          </w:tcPr>
          <w:p>
            <w:pPr>
              <w:pStyle w:val="62"/>
              <w:rPr>
                <w:lang w:val="en-US"/>
              </w:rPr>
            </w:pPr>
            <w:r>
              <w:rPr>
                <w:rFonts w:eastAsia="Calibri"/>
                <w:lang w:val="en-US"/>
              </w:rPr>
              <w:t>TDD 2Rx</w:t>
            </w:r>
          </w:p>
        </w:tc>
        <w:tc>
          <w:tcPr>
            <w:tcW w:w="1285" w:type="dxa"/>
            <w:tcBorders>
              <w:top w:val="single" w:color="000000" w:sz="8" w:space="0"/>
              <w:left w:val="single" w:color="000000" w:sz="8" w:space="0"/>
              <w:bottom w:val="single" w:color="000000" w:sz="8" w:space="0"/>
              <w:right w:val="single" w:color="000000" w:sz="8" w:space="0"/>
            </w:tcBorders>
            <w:shd w:val="clear" w:color="auto" w:fill="D9D9D9"/>
            <w:vAlign w:val="center"/>
          </w:tcPr>
          <w:p>
            <w:pPr>
              <w:pStyle w:val="62"/>
              <w:rPr>
                <w:rFonts w:eastAsia="Calibri"/>
                <w:lang w:val="en-US"/>
              </w:rPr>
            </w:pPr>
            <w:r>
              <w:rPr>
                <w:rFonts w:eastAsia="Calibri"/>
                <w:lang w:val="en-US"/>
              </w:rPr>
              <w:t>HD-FDD 2Rx</w:t>
            </w:r>
          </w:p>
        </w:tc>
      </w:tr>
      <w:tr>
        <w:tblPrEx>
          <w:tblCellMar>
            <w:top w:w="0" w:type="dxa"/>
            <w:left w:w="0" w:type="dxa"/>
            <w:bottom w:w="0" w:type="dxa"/>
            <w:right w:w="0" w:type="dxa"/>
          </w:tblCellMar>
        </w:tblPrEx>
        <w:trPr>
          <w:trHeight w:val="420" w:hRule="atLeast"/>
          <w:jc w:val="center"/>
        </w:trPr>
        <w:tc>
          <w:tcPr>
            <w:tcW w:w="1100"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eastAsia="Calibri"/>
                <w:lang w:val="en-US"/>
              </w:rPr>
            </w:pPr>
            <w:r>
              <w:rPr>
                <w:rFonts w:eastAsia="Calibri"/>
                <w:lang w:val="en-US"/>
              </w:rPr>
              <w:t>PR1</w:t>
            </w:r>
          </w:p>
        </w:tc>
        <w:tc>
          <w:tcPr>
            <w:tcW w:w="1424"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eastAsia="PMingLiU" w:cs="Arial"/>
                <w:lang w:val="en-US"/>
              </w:rPr>
            </w:pPr>
            <w:r>
              <w:rPr>
                <w:rFonts w:cs="Arial"/>
              </w:rPr>
              <w:t>4.13%</w:t>
            </w:r>
          </w:p>
        </w:tc>
        <w:tc>
          <w:tcPr>
            <w:tcW w:w="1560"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cs="Arial"/>
                <w:lang w:val="en-US"/>
              </w:rPr>
            </w:pPr>
            <w:r>
              <w:rPr>
                <w:rFonts w:cs="Arial"/>
              </w:rPr>
              <w:t>4.02%</w:t>
            </w:r>
          </w:p>
        </w:tc>
        <w:tc>
          <w:tcPr>
            <w:tcW w:w="1637"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cs="Arial"/>
                <w:lang w:val="en-US"/>
              </w:rPr>
            </w:pPr>
            <w:r>
              <w:rPr>
                <w:rFonts w:cs="Arial"/>
              </w:rPr>
              <w:t>4.99%</w:t>
            </w:r>
          </w:p>
        </w:tc>
        <w:tc>
          <w:tcPr>
            <w:tcW w:w="1283"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cs="Arial"/>
                <w:lang w:val="en-US"/>
              </w:rPr>
            </w:pPr>
            <w:r>
              <w:rPr>
                <w:rFonts w:cs="Arial"/>
              </w:rPr>
              <w:t>5.36%</w:t>
            </w:r>
          </w:p>
        </w:tc>
        <w:tc>
          <w:tcPr>
            <w:tcW w:w="1331"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cs="Arial"/>
                <w:lang w:val="en-US"/>
              </w:rPr>
            </w:pPr>
            <w:r>
              <w:rPr>
                <w:rFonts w:cs="Arial"/>
              </w:rPr>
              <w:t>3.73%</w:t>
            </w:r>
          </w:p>
        </w:tc>
        <w:tc>
          <w:tcPr>
            <w:tcW w:w="1285" w:type="dxa"/>
            <w:tcBorders>
              <w:top w:val="single" w:color="000000" w:sz="8" w:space="0"/>
              <w:left w:val="single" w:color="000000" w:sz="8" w:space="0"/>
              <w:bottom w:val="single" w:color="000000" w:sz="8" w:space="0"/>
              <w:right w:val="single" w:color="000000" w:sz="8" w:space="0"/>
            </w:tcBorders>
            <w:vAlign w:val="center"/>
          </w:tcPr>
          <w:p>
            <w:pPr>
              <w:pStyle w:val="63"/>
              <w:rPr>
                <w:rFonts w:cs="Arial"/>
                <w:lang w:val="en-US"/>
              </w:rPr>
            </w:pPr>
            <w:r>
              <w:rPr>
                <w:rFonts w:cs="Arial"/>
              </w:rPr>
              <w:t>4.74%</w:t>
            </w:r>
          </w:p>
        </w:tc>
      </w:tr>
      <w:tr>
        <w:tblPrEx>
          <w:tblCellMar>
            <w:top w:w="0" w:type="dxa"/>
            <w:left w:w="0" w:type="dxa"/>
            <w:bottom w:w="0" w:type="dxa"/>
            <w:right w:w="0" w:type="dxa"/>
          </w:tblCellMar>
        </w:tblPrEx>
        <w:trPr>
          <w:trHeight w:val="420" w:hRule="atLeast"/>
          <w:jc w:val="center"/>
        </w:trPr>
        <w:tc>
          <w:tcPr>
            <w:tcW w:w="1100"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eastAsia="Calibri"/>
                <w:lang w:val="en-US"/>
              </w:rPr>
            </w:pPr>
            <w:r>
              <w:rPr>
                <w:rFonts w:eastAsia="Calibri"/>
                <w:lang w:val="en-US"/>
              </w:rPr>
              <w:t>PR3</w:t>
            </w:r>
          </w:p>
        </w:tc>
        <w:tc>
          <w:tcPr>
            <w:tcW w:w="1424"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eastAsia="PMingLiU" w:cs="Arial"/>
                <w:lang w:val="en-US"/>
              </w:rPr>
            </w:pPr>
            <w:r>
              <w:rPr>
                <w:rFonts w:cs="Arial"/>
              </w:rPr>
              <w:t>7.06%</w:t>
            </w:r>
          </w:p>
        </w:tc>
        <w:tc>
          <w:tcPr>
            <w:tcW w:w="1560"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cs="Arial"/>
                <w:lang w:val="en-US"/>
              </w:rPr>
            </w:pPr>
            <w:r>
              <w:rPr>
                <w:rFonts w:cs="Arial"/>
              </w:rPr>
              <w:t>6.74%</w:t>
            </w:r>
          </w:p>
        </w:tc>
        <w:tc>
          <w:tcPr>
            <w:tcW w:w="1637"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cs="Arial"/>
                <w:lang w:val="en-US"/>
              </w:rPr>
            </w:pPr>
            <w:r>
              <w:rPr>
                <w:rFonts w:cs="Arial"/>
              </w:rPr>
              <w:t>8.12%</w:t>
            </w:r>
          </w:p>
        </w:tc>
        <w:tc>
          <w:tcPr>
            <w:tcW w:w="1283"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cs="Arial"/>
                <w:lang w:val="en-US"/>
              </w:rPr>
            </w:pPr>
            <w:r>
              <w:rPr>
                <w:rFonts w:cs="Arial"/>
              </w:rPr>
              <w:t>9.81%</w:t>
            </w:r>
          </w:p>
        </w:tc>
        <w:tc>
          <w:tcPr>
            <w:tcW w:w="1331" w:type="dxa"/>
            <w:tcBorders>
              <w:top w:val="single" w:color="000000" w:sz="8" w:space="0"/>
              <w:left w:val="single" w:color="000000" w:sz="8" w:space="0"/>
              <w:bottom w:val="single" w:color="000000" w:sz="8" w:space="0"/>
              <w:right w:val="single" w:color="000000" w:sz="8" w:space="0"/>
            </w:tcBorders>
            <w:tcMar>
              <w:top w:w="15" w:type="dxa"/>
              <w:left w:w="70" w:type="dxa"/>
              <w:bottom w:w="0" w:type="dxa"/>
              <w:right w:w="70" w:type="dxa"/>
            </w:tcMar>
            <w:vAlign w:val="center"/>
          </w:tcPr>
          <w:p>
            <w:pPr>
              <w:pStyle w:val="63"/>
              <w:rPr>
                <w:rFonts w:cs="Arial"/>
                <w:lang w:val="en-US"/>
              </w:rPr>
            </w:pPr>
            <w:r>
              <w:rPr>
                <w:rFonts w:cs="Arial"/>
              </w:rPr>
              <w:t>6.59%</w:t>
            </w:r>
          </w:p>
        </w:tc>
        <w:tc>
          <w:tcPr>
            <w:tcW w:w="1285" w:type="dxa"/>
            <w:tcBorders>
              <w:top w:val="single" w:color="000000" w:sz="8" w:space="0"/>
              <w:left w:val="single" w:color="000000" w:sz="8" w:space="0"/>
              <w:bottom w:val="single" w:color="000000" w:sz="8" w:space="0"/>
              <w:right w:val="single" w:color="000000" w:sz="8" w:space="0"/>
            </w:tcBorders>
            <w:vAlign w:val="center"/>
          </w:tcPr>
          <w:p>
            <w:pPr>
              <w:pStyle w:val="63"/>
              <w:rPr>
                <w:rFonts w:cs="Arial"/>
                <w:lang w:val="en-US"/>
              </w:rPr>
            </w:pPr>
            <w:r>
              <w:rPr>
                <w:rFonts w:cs="Arial"/>
              </w:rPr>
              <w:t>7.98%</w:t>
            </w:r>
          </w:p>
        </w:tc>
      </w:tr>
    </w:tbl>
    <w:p>
      <w:pPr>
        <w:rPr>
          <w:rFonts w:hint="default"/>
          <w:lang w:val="en-US" w:eastAsia="zh-CN"/>
        </w:rPr>
      </w:pPr>
    </w:p>
    <w:p>
      <w:pPr>
        <w:rPr>
          <w:rFonts w:hint="default"/>
          <w:lang w:val="en-US" w:eastAsia="zh-CN"/>
        </w:rPr>
      </w:pPr>
      <w:r>
        <w:rPr>
          <w:rFonts w:hint="default"/>
          <w:lang w:val="en-US" w:eastAsia="zh-CN"/>
        </w:rPr>
        <w:t>It can be seen that the cost reduction gain gap between PR1 and PR3 is not large, however, PR1 is more simple to implement for network due to the following reasons,</w:t>
      </w:r>
    </w:p>
    <w:p>
      <w:pPr>
        <w:numPr>
          <w:ilvl w:val="0"/>
          <w:numId w:val="12"/>
        </w:numPr>
        <w:ind w:left="420" w:leftChars="0" w:hanging="420" w:firstLineChars="0"/>
        <w:rPr>
          <w:rFonts w:hint="default"/>
          <w:lang w:val="en-US" w:eastAsia="zh-CN"/>
        </w:rPr>
      </w:pPr>
      <w:r>
        <w:rPr>
          <w:rFonts w:hint="default"/>
          <w:lang w:val="en-US" w:eastAsia="zh-CN"/>
        </w:rPr>
        <w:t>There is no need to consider scheduling restriction for R18 RedCap UEs before RRC connection, gNB complexity can be reduced.</w:t>
      </w:r>
    </w:p>
    <w:p>
      <w:pPr>
        <w:numPr>
          <w:ilvl w:val="0"/>
          <w:numId w:val="0"/>
        </w:numPr>
        <w:ind w:leftChars="0"/>
        <w:rPr>
          <w:rFonts w:hint="default"/>
          <w:lang w:val="en-US" w:eastAsia="zh-CN"/>
        </w:rPr>
      </w:pPr>
      <w:r>
        <w:rPr>
          <w:rFonts w:hint="default"/>
          <w:lang w:val="en-US" w:eastAsia="zh-CN"/>
        </w:rPr>
        <w:t>According to RAN1 agreements, common channels such as SIB1, broadcast OSI, paging, RAR can span more than 5MHz. Then it is up to gNB to ensure correct decoding of R18 RedCap UEs if they are allowed to access the network. For example, gNB need to check whether the common paging message with large TBS can be correct decoded for R18 UEs if they are scheduled with more than 12/11 RBs for 30KHz or more than 25RBs for 15KHz. If not, whether to delay the separate R18 paging message to a later PO with smaller TBS. For RAR, gNB has consider whether to schedule a RAR with number of PRBs larger than the maximum number of unicast PRBs, according to the time gap between RAR and corresponding Msg3. And it has to make sure that Msg3 PUSCH resource allocation spans a bandwidth no more than ~5 MHz.</w:t>
      </w:r>
    </w:p>
    <w:p>
      <w:pPr>
        <w:numPr>
          <w:ilvl w:val="0"/>
          <w:numId w:val="0"/>
        </w:numPr>
        <w:ind w:leftChars="0"/>
        <w:rPr>
          <w:rFonts w:hint="default"/>
          <w:lang w:val="en-US" w:eastAsia="zh-CN"/>
        </w:rPr>
      </w:pPr>
      <w:r>
        <w:rPr>
          <w:rFonts w:hint="default"/>
          <w:lang w:val="en-US" w:eastAsia="zh-CN"/>
        </w:rPr>
        <w:t>The related agreements is as following.</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spacing w:before="120" w:line="280" w:lineRule="atLeast"/>
              <w:jc w:val="both"/>
              <w:rPr>
                <w:b/>
                <w:highlight w:val="green"/>
                <w:lang w:val="en-US"/>
              </w:rPr>
            </w:pPr>
            <w:r>
              <w:rPr>
                <w:b/>
                <w:highlight w:val="green"/>
                <w:lang w:val="en-US"/>
              </w:rPr>
              <w:t>Agreement</w:t>
            </w:r>
          </w:p>
          <w:p>
            <w:pPr>
              <w:spacing w:before="120" w:line="280" w:lineRule="atLeast"/>
              <w:jc w:val="both"/>
              <w:rPr>
                <w:rFonts w:eastAsia="Microsoft YaHei UI"/>
                <w:b/>
                <w:lang w:val="en-US" w:eastAsia="zh-CN"/>
              </w:rPr>
            </w:pPr>
            <w:r>
              <w:rPr>
                <w:b/>
                <w:lang w:val="en-US"/>
              </w:rPr>
              <w:t xml:space="preserve">From RAN1 perspective, for UE BB complexity reduction, for paging channel (PDSCH) to Rel-18 RedCap UEs, allow the scheduling of paging channel to be larger than 5 MHz (as in legacy operation). </w:t>
            </w:r>
          </w:p>
          <w:p>
            <w:pPr>
              <w:spacing w:before="120" w:line="280" w:lineRule="atLeast"/>
              <w:jc w:val="both"/>
              <w:rPr>
                <w:rFonts w:hint="eastAsia" w:eastAsia="等线"/>
                <w:b/>
                <w:bCs/>
                <w:lang w:val="en-US" w:eastAsia="zh-CN"/>
              </w:rPr>
            </w:pPr>
          </w:p>
          <w:p>
            <w:pPr>
              <w:spacing w:before="120" w:line="280" w:lineRule="atLeast"/>
              <w:jc w:val="both"/>
              <w:rPr>
                <w:b/>
                <w:highlight w:val="green"/>
                <w:lang w:val="en-US"/>
              </w:rPr>
            </w:pPr>
            <w:r>
              <w:rPr>
                <w:b/>
                <w:highlight w:val="green"/>
                <w:lang w:val="en-US"/>
              </w:rPr>
              <w:t xml:space="preserve">Agreement </w:t>
            </w:r>
          </w:p>
          <w:p>
            <w:pPr>
              <w:spacing w:before="120" w:line="280" w:lineRule="atLeast"/>
              <w:jc w:val="both"/>
              <w:rPr>
                <w:b/>
                <w:lang w:val="en-US"/>
              </w:rPr>
            </w:pPr>
            <w:r>
              <w:rPr>
                <w:b/>
                <w:lang w:val="en-US"/>
              </w:rPr>
              <w:t>For UE BB complexity reduction, a UE is not expected to receive an UL grant in a RAR or in a DCI scrambled with TC-RNTI with a Msg3 PUSCH resource allocation spanning a bandwidth of more than ~5 MHz per slot or per hop, if applicable.</w:t>
            </w:r>
          </w:p>
          <w:p>
            <w:pPr>
              <w:pStyle w:val="113"/>
              <w:spacing w:after="180" w:line="252" w:lineRule="auto"/>
              <w:ind w:leftChars="0"/>
              <w:contextualSpacing/>
              <w:jc w:val="both"/>
              <w:rPr>
                <w:rFonts w:ascii="Times New Roman" w:hAnsi="Times New Roman" w:eastAsia="Microsoft YaHei UI"/>
                <w:b/>
                <w:strike/>
                <w:szCs w:val="20"/>
                <w:lang w:val="en-US" w:eastAsia="zh-CN"/>
              </w:rPr>
            </w:pPr>
          </w:p>
          <w:p>
            <w:pPr>
              <w:spacing w:before="120" w:line="280" w:lineRule="atLeast"/>
              <w:jc w:val="both"/>
              <w:rPr>
                <w:b/>
                <w:highlight w:val="green"/>
                <w:lang w:val="en-US"/>
              </w:rPr>
            </w:pPr>
            <w:r>
              <w:rPr>
                <w:rFonts w:hint="eastAsia"/>
                <w:b/>
                <w:highlight w:val="green"/>
                <w:lang w:val="en-US"/>
              </w:rPr>
              <w:t>Agreement</w:t>
            </w:r>
          </w:p>
          <w:p>
            <w:pPr>
              <w:spacing w:before="120" w:line="280" w:lineRule="atLeast"/>
              <w:jc w:val="both"/>
              <w:rPr>
                <w:b/>
                <w:lang w:val="en-US"/>
              </w:rPr>
            </w:pPr>
            <w:r>
              <w:rPr>
                <w:b/>
                <w:lang w:val="en-US"/>
              </w:rPr>
              <w:t>For UE BB bandwidth reduction, for RAR (PDSCH) to Rel-18 RedCap UEs, the</w:t>
            </w:r>
            <w:r>
              <w:rPr>
                <w:rFonts w:eastAsia="MS PGothic"/>
                <w:b/>
                <w:bCs/>
                <w:lang w:val="en-US" w:eastAsia="ja-JP"/>
              </w:rPr>
              <w:t xml:space="preserve"> scheduling of RAR PDSCH is allowed to be larger than the maximum number of unicast PRBs that the UE can process per slot.</w:t>
            </w:r>
          </w:p>
          <w:p>
            <w:pPr>
              <w:pStyle w:val="113"/>
              <w:numPr>
                <w:ilvl w:val="0"/>
                <w:numId w:val="13"/>
              </w:numPr>
              <w:spacing w:after="180" w:line="252" w:lineRule="auto"/>
              <w:ind w:leftChars="0"/>
              <w:contextualSpacing/>
              <w:jc w:val="both"/>
              <w:rPr>
                <w:rFonts w:ascii="Times New Roman" w:hAnsi="Times New Roman"/>
                <w:b/>
                <w:szCs w:val="20"/>
                <w:lang w:val="en-US"/>
              </w:rPr>
            </w:pPr>
            <w:r>
              <w:rPr>
                <w:rFonts w:ascii="Times New Roman" w:hAnsi="Times New Roman" w:eastAsia="MS PGothic"/>
                <w:b/>
                <w:bCs/>
                <w:szCs w:val="20"/>
              </w:rPr>
              <w:t>When the scheduling of RAR PDSCH is within the maximum number of unicast PRBs that the UE can process per slot, the legacy time between RAR reception and Msg3 transmission (not smaller than N</w:t>
            </w:r>
            <w:r>
              <w:rPr>
                <w:rFonts w:ascii="Times New Roman" w:hAnsi="Times New Roman" w:eastAsia="MS PGothic"/>
                <w:b/>
                <w:bCs/>
                <w:szCs w:val="20"/>
                <w:vertAlign w:val="subscript"/>
              </w:rPr>
              <w:t>T,1</w:t>
            </w:r>
            <w:r>
              <w:rPr>
                <w:rFonts w:ascii="Times New Roman" w:hAnsi="Times New Roman" w:eastAsia="MS PGothic"/>
                <w:b/>
                <w:bCs/>
                <w:szCs w:val="20"/>
              </w:rPr>
              <w:t xml:space="preserve"> + N</w:t>
            </w:r>
            <w:r>
              <w:rPr>
                <w:rFonts w:ascii="Times New Roman" w:hAnsi="Times New Roman" w:eastAsia="MS PGothic"/>
                <w:b/>
                <w:bCs/>
                <w:szCs w:val="20"/>
                <w:vertAlign w:val="subscript"/>
              </w:rPr>
              <w:t>T,2</w:t>
            </w:r>
            <w:r>
              <w:rPr>
                <w:rFonts w:ascii="Times New Roman" w:hAnsi="Times New Roman" w:eastAsia="MS PGothic"/>
                <w:b/>
                <w:bCs/>
                <w:szCs w:val="20"/>
              </w:rPr>
              <w:t xml:space="preserve"> + 0.5 ms) is applied.</w:t>
            </w:r>
          </w:p>
          <w:p>
            <w:pPr>
              <w:pStyle w:val="113"/>
              <w:numPr>
                <w:ilvl w:val="0"/>
                <w:numId w:val="13"/>
              </w:numPr>
              <w:spacing w:after="180" w:line="252" w:lineRule="auto"/>
              <w:ind w:leftChars="0"/>
              <w:contextualSpacing/>
              <w:jc w:val="both"/>
              <w:rPr>
                <w:rFonts w:ascii="Times New Roman" w:hAnsi="Times New Roman"/>
                <w:b/>
                <w:szCs w:val="20"/>
                <w:lang w:val="en-US" w:eastAsia="en-US"/>
              </w:rPr>
            </w:pPr>
            <w:r>
              <w:rPr>
                <w:rFonts w:ascii="Times New Roman" w:hAnsi="Times New Roman" w:eastAsia="MS PGothic"/>
                <w:b/>
                <w:bCs/>
                <w:szCs w:val="20"/>
                <w:lang w:val="en-US"/>
              </w:rPr>
              <w:t>When the scheduling of RAR PDSCH is larger than the maximum number of unicast PRBs that the UE can process per slot,</w:t>
            </w:r>
          </w:p>
          <w:p>
            <w:pPr>
              <w:numPr>
                <w:ilvl w:val="1"/>
                <w:numId w:val="13"/>
              </w:numPr>
              <w:tabs>
                <w:tab w:val="left" w:pos="720"/>
                <w:tab w:val="left" w:pos="1440"/>
              </w:tabs>
              <w:spacing w:before="100" w:beforeAutospacing="1" w:after="100" w:afterAutospacing="1" w:line="280" w:lineRule="atLeast"/>
              <w:jc w:val="both"/>
              <w:rPr>
                <w:rFonts w:eastAsia="MS PGothic"/>
                <w:lang w:val="en-US" w:eastAsia="ja-JP"/>
              </w:rPr>
            </w:pPr>
            <w:r>
              <w:rPr>
                <w:rFonts w:eastAsia="MS PGothic"/>
                <w:b/>
                <w:bCs/>
                <w:lang w:val="en-US" w:eastAsia="ja-JP"/>
              </w:rPr>
              <w:t>The UE receives the RAR and correspondingly transmits Msg3 if the TDRA for Msg3 in UL grant in RAR indicates that the time between RAR reception and Msg3 transmission is NOT smaller than N</w:t>
            </w:r>
            <w:r>
              <w:rPr>
                <w:rFonts w:eastAsia="MS PGothic"/>
                <w:b/>
                <w:bCs/>
                <w:vertAlign w:val="subscript"/>
                <w:lang w:val="en-US" w:eastAsia="ja-JP"/>
              </w:rPr>
              <w:t>T,1</w:t>
            </w:r>
            <w:r>
              <w:rPr>
                <w:rFonts w:eastAsia="MS PGothic"/>
                <w:b/>
                <w:bCs/>
                <w:lang w:val="en-US" w:eastAsia="ja-JP"/>
              </w:rPr>
              <w:t xml:space="preserve"> + N</w:t>
            </w:r>
            <w:r>
              <w:rPr>
                <w:rFonts w:eastAsia="MS PGothic"/>
                <w:b/>
                <w:bCs/>
                <w:vertAlign w:val="subscript"/>
                <w:lang w:val="en-US" w:eastAsia="ja-JP"/>
              </w:rPr>
              <w:t>T,2</w:t>
            </w:r>
            <w:r>
              <w:rPr>
                <w:rFonts w:eastAsia="MS PGothic"/>
                <w:b/>
                <w:bCs/>
                <w:lang w:val="en-US" w:eastAsia="ja-JP"/>
              </w:rPr>
              <w:t xml:space="preserve"> + 0.5 + X ms.</w:t>
            </w:r>
          </w:p>
          <w:p>
            <w:pPr>
              <w:numPr>
                <w:ilvl w:val="2"/>
                <w:numId w:val="13"/>
              </w:numPr>
              <w:tabs>
                <w:tab w:val="left" w:pos="1440"/>
                <w:tab w:val="left" w:pos="2160"/>
              </w:tabs>
              <w:spacing w:before="100" w:beforeAutospacing="1" w:after="100" w:afterAutospacing="1" w:line="280" w:lineRule="atLeast"/>
              <w:jc w:val="both"/>
              <w:rPr>
                <w:rFonts w:eastAsia="MS PGothic"/>
                <w:lang w:val="en-US" w:eastAsia="ja-JP"/>
              </w:rPr>
            </w:pPr>
            <w:r>
              <w:rPr>
                <w:rFonts w:eastAsia="MS PGothic"/>
                <w:b/>
                <w:bCs/>
                <w:lang w:val="en-US" w:eastAsia="ja-JP"/>
              </w:rPr>
              <w:t>FFS: value(s) of X</w:t>
            </w:r>
          </w:p>
          <w:p>
            <w:pPr>
              <w:numPr>
                <w:ilvl w:val="1"/>
                <w:numId w:val="13"/>
              </w:numPr>
              <w:tabs>
                <w:tab w:val="left" w:pos="720"/>
                <w:tab w:val="left" w:pos="1440"/>
              </w:tabs>
              <w:spacing w:before="100" w:beforeAutospacing="1" w:after="100" w:afterAutospacing="1" w:line="280" w:lineRule="atLeast"/>
              <w:jc w:val="both"/>
              <w:rPr>
                <w:rFonts w:eastAsia="MS PGothic"/>
                <w:lang w:val="en-US" w:eastAsia="ja-JP"/>
              </w:rPr>
            </w:pPr>
            <w:r>
              <w:rPr>
                <w:rFonts w:eastAsia="MS PGothic"/>
                <w:b/>
                <w:bCs/>
                <w:lang w:val="en-US" w:eastAsia="ja-JP"/>
              </w:rPr>
              <w:t>Otherwise, the UE behavior is up to the UE implementation.</w:t>
            </w:r>
          </w:p>
          <w:p>
            <w:pPr>
              <w:numPr>
                <w:ilvl w:val="0"/>
                <w:numId w:val="13"/>
              </w:numPr>
              <w:tabs>
                <w:tab w:val="left" w:pos="720"/>
                <w:tab w:val="left" w:pos="1440"/>
              </w:tabs>
              <w:spacing w:before="100" w:beforeAutospacing="1" w:after="100" w:afterAutospacing="1" w:line="280" w:lineRule="atLeast"/>
              <w:jc w:val="both"/>
              <w:rPr>
                <w:rFonts w:eastAsia="MS PGothic"/>
                <w:lang w:val="en-US" w:eastAsia="ja-JP"/>
              </w:rPr>
            </w:pPr>
            <w:r>
              <w:rPr>
                <w:rFonts w:eastAsia="等线"/>
                <w:b/>
                <w:bCs/>
                <w:lang w:val="en-US" w:eastAsia="zh-CN"/>
              </w:rPr>
              <w:t>Note: it does not mean early indication is needed</w:t>
            </w:r>
          </w:p>
          <w:p>
            <w:pPr>
              <w:numPr>
                <w:ilvl w:val="0"/>
                <w:numId w:val="13"/>
              </w:numPr>
              <w:tabs>
                <w:tab w:val="left" w:pos="720"/>
                <w:tab w:val="left" w:pos="1440"/>
              </w:tabs>
              <w:spacing w:before="100" w:beforeAutospacing="1" w:after="100" w:afterAutospacing="1" w:line="280" w:lineRule="atLeast"/>
              <w:jc w:val="both"/>
              <w:rPr>
                <w:rFonts w:hint="default"/>
                <w:vertAlign w:val="baseline"/>
                <w:lang w:val="en-US" w:eastAsia="zh-CN"/>
              </w:rPr>
            </w:pPr>
            <w:r>
              <w:rPr>
                <w:rFonts w:hint="eastAsia" w:eastAsia="等线"/>
                <w:b/>
                <w:bCs/>
                <w:lang w:val="en-US" w:eastAsia="zh-CN"/>
              </w:rPr>
              <w:t>N</w:t>
            </w:r>
            <w:r>
              <w:rPr>
                <w:rFonts w:eastAsia="等线"/>
                <w:b/>
                <w:bCs/>
                <w:lang w:val="en-US" w:eastAsia="zh-CN"/>
              </w:rPr>
              <w:t>ote: it will not be used as example for unicast PDSCH</w:t>
            </w:r>
          </w:p>
        </w:tc>
      </w:tr>
    </w:tbl>
    <w:p>
      <w:pPr>
        <w:numPr>
          <w:ilvl w:val="0"/>
          <w:numId w:val="0"/>
        </w:numPr>
        <w:ind w:leftChars="0"/>
        <w:rPr>
          <w:rFonts w:hint="default"/>
          <w:lang w:val="en-US" w:eastAsia="zh-CN"/>
        </w:rPr>
      </w:pPr>
    </w:p>
    <w:p>
      <w:pPr>
        <w:numPr>
          <w:ilvl w:val="0"/>
          <w:numId w:val="12"/>
        </w:numPr>
        <w:ind w:left="420" w:leftChars="0" w:hanging="420" w:firstLineChars="0"/>
        <w:rPr>
          <w:rFonts w:hint="default"/>
          <w:lang w:val="en-US" w:eastAsia="zh-CN"/>
        </w:rPr>
      </w:pPr>
      <w:r>
        <w:rPr>
          <w:rFonts w:hint="default"/>
          <w:lang w:val="en-US" w:eastAsia="zh-CN"/>
        </w:rPr>
        <w:t>No additional spec impact for PR1 as standalone solution compares to add on way.</w:t>
      </w:r>
    </w:p>
    <w:p>
      <w:pPr>
        <w:numPr>
          <w:ilvl w:val="0"/>
          <w:numId w:val="0"/>
        </w:numPr>
        <w:ind w:leftChars="0"/>
        <w:rPr>
          <w:rFonts w:hint="default"/>
          <w:lang w:val="en-US" w:eastAsia="zh-CN"/>
        </w:rPr>
      </w:pPr>
      <w:r>
        <w:rPr>
          <w:rFonts w:hint="default"/>
          <w:lang w:val="en-US" w:eastAsia="zh-CN"/>
        </w:rPr>
        <w:t xml:space="preserve">With PR1 as standalone solution, only the constraint of </w:t>
      </w:r>
      <w:r>
        <w:rPr>
          <w:rFonts w:ascii="Times New Roman" w:hAnsi="Times New Roman" w:eastAsia="宋体" w:cs="Times New Roman"/>
          <w:b w:val="0"/>
          <w:bCs w:val="0"/>
          <w:sz w:val="20"/>
          <w:szCs w:val="20"/>
          <w:lang w:eastAsia="en-GB"/>
        </w:rPr>
        <w:t>v</w:t>
      </w:r>
      <w:r>
        <w:rPr>
          <w:rFonts w:ascii="Times New Roman" w:hAnsi="Times New Roman" w:eastAsia="宋体" w:cs="Times New Roman"/>
          <w:b w:val="0"/>
          <w:bCs w:val="0"/>
          <w:sz w:val="20"/>
          <w:szCs w:val="20"/>
          <w:vertAlign w:val="subscript"/>
          <w:lang w:eastAsia="en-GB"/>
        </w:rPr>
        <w:t>Layers</w:t>
      </w:r>
      <w:r>
        <w:rPr>
          <w:rFonts w:ascii="Times New Roman" w:hAnsi="Times New Roman" w:eastAsia="宋体" w:cs="Times New Roman"/>
          <w:b w:val="0"/>
          <w:bCs w:val="0"/>
          <w:sz w:val="20"/>
          <w:szCs w:val="20"/>
          <w:lang w:eastAsia="en-GB"/>
        </w:rPr>
        <w:t>·Q</w:t>
      </w:r>
      <w:r>
        <w:rPr>
          <w:rFonts w:ascii="Times New Roman" w:hAnsi="Times New Roman" w:eastAsia="宋体" w:cs="Times New Roman"/>
          <w:b w:val="0"/>
          <w:bCs w:val="0"/>
          <w:sz w:val="20"/>
          <w:szCs w:val="20"/>
          <w:vertAlign w:val="subscript"/>
          <w:lang w:eastAsia="en-GB"/>
        </w:rPr>
        <w:t>m</w:t>
      </w:r>
      <w:r>
        <w:rPr>
          <w:rFonts w:ascii="Times New Roman" w:hAnsi="Times New Roman" w:eastAsia="宋体" w:cs="Times New Roman"/>
          <w:b w:val="0"/>
          <w:bCs w:val="0"/>
          <w:sz w:val="20"/>
          <w:szCs w:val="20"/>
          <w:lang w:eastAsia="en-GB"/>
        </w:rPr>
        <w:t>·f</w:t>
      </w:r>
      <w:r>
        <w:rPr>
          <w:rFonts w:hint="default"/>
          <w:b w:val="0"/>
          <w:bCs w:val="0"/>
          <w:lang w:val="en-US" w:eastAsia="zh-CN"/>
        </w:rPr>
        <w:t xml:space="preserve"> </w:t>
      </w:r>
      <w:r>
        <w:rPr>
          <w:rFonts w:hint="default"/>
          <w:lang w:val="en-US" w:eastAsia="zh-CN"/>
        </w:rPr>
        <w:t>for peak data rate calculation needs to be determined. There is no need for early indication, since no coexistence issues for PR1.</w:t>
      </w:r>
    </w:p>
    <w:p>
      <w:pPr>
        <w:numPr>
          <w:ilvl w:val="0"/>
          <w:numId w:val="0"/>
        </w:numPr>
        <w:ind w:leftChars="0"/>
        <w:rPr>
          <w:rFonts w:hint="default"/>
          <w:lang w:val="en-US" w:eastAsia="zh-CN"/>
        </w:rPr>
      </w:pPr>
      <w:r>
        <w:rPr>
          <w:rFonts w:hint="default"/>
          <w:lang w:val="en-US" w:eastAsia="zh-CN"/>
        </w:rPr>
        <w:t>Therefore, although PR1 has a bit smaller cost reduction gain than PR3, it is much easier for network implementation and easy to be deployed. So we propose to support standalone PR1 operation.</w:t>
      </w:r>
    </w:p>
    <w:p>
      <w:pPr>
        <w:numPr>
          <w:ilvl w:val="0"/>
          <w:numId w:val="0"/>
        </w:numPr>
        <w:ind w:leftChars="0"/>
        <w:rPr>
          <w:rFonts w:hint="default"/>
          <w:b/>
          <w:bCs/>
          <w:lang w:val="en-US" w:eastAsia="zh-CN"/>
        </w:rPr>
      </w:pPr>
      <w:r>
        <w:rPr>
          <w:rFonts w:hint="default"/>
          <w:b/>
          <w:bCs/>
          <w:lang w:val="en-US" w:eastAsia="zh-CN"/>
        </w:rPr>
        <w:t xml:space="preserve">Proposal 1: </w:t>
      </w:r>
      <w:r>
        <w:rPr>
          <w:b/>
          <w:bCs/>
          <w:lang w:val="en-US" w:eastAsia="ja-JP"/>
        </w:rPr>
        <w:t>UE peak data rate reduction for UE</w:t>
      </w:r>
      <w:r>
        <w:rPr>
          <w:rFonts w:hint="default"/>
          <w:b/>
          <w:bCs/>
          <w:lang w:val="en-US" w:eastAsia="ja-JP"/>
        </w:rPr>
        <w:t xml:space="preserve"> can be supported as standalone solution for R18 RedCap.</w:t>
      </w:r>
    </w:p>
    <w:p>
      <w:pPr>
        <w:rPr>
          <w:lang w:eastAsia="zh-CN"/>
        </w:rPr>
      </w:pPr>
    </w:p>
    <w:p>
      <w:pPr>
        <w:pStyle w:val="3"/>
        <w:rPr>
          <w:rFonts w:hint="default" w:eastAsia="Times New Roman"/>
          <w:lang w:val="en-US" w:eastAsia="zh-CN"/>
        </w:rPr>
      </w:pPr>
      <w:r>
        <w:rPr>
          <w:rFonts w:hint="default" w:eastAsia="Times New Roman"/>
          <w:lang w:val="en-US" w:eastAsia="zh-CN"/>
        </w:rPr>
        <w:t xml:space="preserve">Discussion on </w:t>
      </w:r>
      <w:r>
        <w:rPr>
          <w:lang w:val="en-US" w:eastAsia="ja-JP"/>
        </w:rPr>
        <w:t>separate early indication</w:t>
      </w:r>
    </w:p>
    <w:p>
      <w:pPr>
        <w:spacing w:beforeLines="50" w:after="120"/>
        <w:jc w:val="both"/>
        <w:rPr>
          <w:rFonts w:hint="default"/>
          <w:lang w:val="en-US" w:eastAsia="zh-CN"/>
        </w:rPr>
      </w:pPr>
      <w:r>
        <w:rPr>
          <w:rFonts w:hint="default"/>
          <w:lang w:val="en-US" w:eastAsia="zh-CN"/>
        </w:rPr>
        <w:t>Early indication is used for gNB to apply different scheduling strategies for different kinds of UEs before UE reporting its capability. For example, if R18 RedCap UEs cannot correctly decode the downlink common channels that gNB sends to R17 UEs, or if R18 RedCap UEs cannot perform uplink scheduling if the gNB schedules Msg3 PUSCH with BWP larger than 5MHz, early indication will be needed.</w:t>
      </w:r>
    </w:p>
    <w:p>
      <w:pPr>
        <w:spacing w:beforeLines="50" w:after="120"/>
        <w:jc w:val="both"/>
        <w:rPr>
          <w:rFonts w:hint="default" w:eastAsia="Times New Roman"/>
          <w:sz w:val="20"/>
          <w:szCs w:val="24"/>
          <w:lang w:val="en-US"/>
        </w:rPr>
      </w:pPr>
      <w:r>
        <w:rPr>
          <w:rFonts w:hint="default"/>
          <w:lang w:val="en-US" w:eastAsia="zh-CN"/>
        </w:rPr>
        <w:t xml:space="preserve">According to RAN1 agreements, </w:t>
      </w:r>
      <w:r>
        <w:rPr>
          <w:rFonts w:hint="default" w:ascii="Times New Roman" w:hAnsi="Times New Roman" w:eastAsia="Times New Roman" w:cs="Times New Roman"/>
          <w:lang w:val="en-US" w:eastAsia="zh-CN"/>
        </w:rPr>
        <w:t xml:space="preserve"> the</w:t>
      </w:r>
      <w:r>
        <w:rPr>
          <w:rFonts w:hint="default" w:ascii="Times New Roman" w:hAnsi="Times New Roman" w:eastAsia="Times New Roman" w:cs="Times New Roman"/>
          <w:lang w:val="en-US" w:eastAsia="ja-JP"/>
        </w:rPr>
        <w:t xml:space="preserve"> scheduling of RAR PDSCH is allowed to be larger than the maximum number of unicast PRBs that the UE can process per slot. </w:t>
      </w:r>
      <w:r>
        <w:rPr>
          <w:rFonts w:hint="default"/>
          <w:lang w:val="en-US" w:eastAsia="zh-CN"/>
        </w:rPr>
        <w:t>For uplink transmission of Msg3, even MCS0 of</w:t>
      </w:r>
      <w:r>
        <w:rPr>
          <w:rFonts w:hint="default" w:ascii="Times New Roman" w:hAnsi="Times New Roman" w:cs="Times New Roman"/>
          <w:lang w:val="en-US" w:eastAsia="zh-CN"/>
        </w:rPr>
        <w:t xml:space="preserve"> Table 6.1.4.1-1 in TS 38.214 is used, with spectrum efficiency </w:t>
      </w:r>
      <w:r>
        <w:rPr>
          <w:rFonts w:hint="default" w:ascii="Times New Roman" w:hAnsi="Times New Roman" w:eastAsia="Times New Roman"/>
          <w:sz w:val="20"/>
          <w:szCs w:val="24"/>
        </w:rPr>
        <w:t>0.2344</w:t>
      </w:r>
      <w:r>
        <w:rPr>
          <w:rFonts w:hint="default" w:eastAsia="Times New Roman"/>
          <w:sz w:val="20"/>
          <w:szCs w:val="24"/>
          <w:lang w:val="en-US"/>
        </w:rPr>
        <w:t>, 14 OS (2 DMRS) ,11 RB can carry a TB size of 370bit. Usually Msg.3 has a smaller TBS such as 56 or 72 bits. So the scheduling of Msg3 is likely to be within 11RB/12RB. So there is no need for gNB to identify R18 RedCap UE for scheduling of Msg2 and Msg3.</w:t>
      </w:r>
    </w:p>
    <w:p>
      <w:pPr>
        <w:spacing w:beforeLines="50" w:after="120"/>
        <w:jc w:val="both"/>
        <w:rPr>
          <w:rFonts w:hint="default" w:eastAsia="Times New Roman"/>
          <w:sz w:val="20"/>
          <w:szCs w:val="24"/>
          <w:lang w:val="en-US"/>
        </w:rPr>
      </w:pPr>
      <w:r>
        <w:rPr>
          <w:rFonts w:hint="default" w:eastAsia="Times New Roman"/>
          <w:sz w:val="20"/>
          <w:szCs w:val="24"/>
          <w:lang w:val="en-US"/>
        </w:rPr>
        <w:t xml:space="preserve">And also considering that RACH indication has been used by quit a few features, such as 2-step RA, slicing, R17 RedCap, CE, etc. It will be further fragmented if early indication is introduced for R18 RedCap by Msg1, and the PRACH collision will be increased or more PRACH resource needs to be reserved. So we think early indication of R18 RedCap by Msg.1 is not needed for R18 RedCap, but we are open for Msg3 indication if find necessary. </w:t>
      </w:r>
    </w:p>
    <w:p>
      <w:pPr>
        <w:spacing w:beforeLines="50" w:after="120"/>
        <w:jc w:val="both"/>
        <w:rPr>
          <w:rFonts w:hint="default" w:ascii="Times New Roman" w:hAnsi="Times New Roman" w:eastAsia="Times New Roman" w:cs="Times New Roman"/>
          <w:lang w:val="en-US" w:eastAsia="zh-CN"/>
        </w:rPr>
      </w:pPr>
      <w:r>
        <w:rPr>
          <w:rFonts w:hint="default" w:eastAsia="Times New Roman"/>
          <w:b/>
          <w:bCs/>
          <w:sz w:val="20"/>
          <w:szCs w:val="24"/>
          <w:lang w:val="en-US"/>
        </w:rPr>
        <w:t>Proposal 2. Separate early indication for R18 RedCap by Msg1 is not supported.</w:t>
      </w:r>
      <w:r>
        <w:rPr>
          <w:rFonts w:ascii="Times New Roman" w:hAnsi="Times New Roman" w:eastAsia="Times New Roman" w:cs="Times New Roman"/>
          <w:sz w:val="20"/>
          <w:szCs w:val="20"/>
          <w:lang w:val="en-GB"/>
        </w:rPr>
        <w:t xml:space="preserve"> </w:t>
      </w:r>
    </w:p>
    <w:p>
      <w:pPr>
        <w:pStyle w:val="2"/>
        <w:rPr>
          <w:lang w:eastAsia="zh-CN"/>
        </w:rPr>
      </w:pPr>
      <w:r>
        <w:rPr>
          <w:lang w:eastAsia="zh-CN"/>
        </w:rPr>
        <w:t>Conclusion</w:t>
      </w:r>
    </w:p>
    <w:p>
      <w:pPr>
        <w:rPr>
          <w:lang w:val="en-GB" w:eastAsia="zh-CN"/>
        </w:rPr>
      </w:pPr>
      <w:r>
        <w:rPr>
          <w:lang w:val="en-GB" w:eastAsia="zh-CN"/>
        </w:rPr>
        <w:t xml:space="preserve">In this contribution, we discussed the considerations on </w:t>
      </w:r>
      <w:r>
        <w:rPr>
          <w:rFonts w:hint="default"/>
          <w:lang w:val="en-US" w:eastAsia="zh-CN"/>
        </w:rPr>
        <w:t xml:space="preserve">open issues of R18 </w:t>
      </w:r>
      <w:r>
        <w:rPr>
          <w:lang w:val="en-GB" w:eastAsia="zh-CN"/>
        </w:rPr>
        <w:t xml:space="preserve">RedCap </w:t>
      </w:r>
      <w:r>
        <w:rPr>
          <w:rFonts w:hint="default"/>
          <w:bCs/>
          <w:lang w:val="en-US" w:eastAsia="zh-CN"/>
        </w:rPr>
        <w:t>WI</w:t>
      </w:r>
      <w:r>
        <w:rPr>
          <w:lang w:val="en-GB" w:eastAsia="zh-CN"/>
        </w:rPr>
        <w:t xml:space="preserve">, </w:t>
      </w:r>
      <w:r>
        <w:rPr>
          <w:rFonts w:hint="default"/>
          <w:lang w:val="en-US" w:eastAsia="zh-CN"/>
        </w:rPr>
        <w:t>t</w:t>
      </w:r>
      <w:r>
        <w:rPr>
          <w:lang w:val="en-GB" w:eastAsia="zh-CN"/>
        </w:rPr>
        <w:t xml:space="preserve">he following </w:t>
      </w:r>
      <w:r>
        <w:rPr>
          <w:rFonts w:hint="default"/>
          <w:lang w:val="en-US" w:eastAsia="zh-CN"/>
        </w:rPr>
        <w:t>proposal are</w:t>
      </w:r>
      <w:r>
        <w:rPr>
          <w:rFonts w:hint="default"/>
          <w:lang w:val="en-US" w:eastAsia="ja-JP"/>
        </w:rPr>
        <w:t xml:space="preserve"> made</w:t>
      </w:r>
      <w:r>
        <w:rPr>
          <w:lang w:val="en-GB" w:eastAsia="zh-CN"/>
        </w:rPr>
        <w:t xml:space="preserve">, </w:t>
      </w:r>
    </w:p>
    <w:p>
      <w:pPr>
        <w:numPr>
          <w:ilvl w:val="0"/>
          <w:numId w:val="0"/>
        </w:numPr>
        <w:ind w:leftChars="0"/>
        <w:rPr>
          <w:rFonts w:hint="default"/>
          <w:b/>
          <w:bCs/>
          <w:lang w:val="en-US" w:eastAsia="zh-CN"/>
        </w:rPr>
      </w:pPr>
      <w:r>
        <w:rPr>
          <w:rFonts w:hint="default"/>
          <w:b/>
          <w:bCs/>
          <w:lang w:val="en-US" w:eastAsia="zh-CN"/>
        </w:rPr>
        <w:t xml:space="preserve">Proposal 1: </w:t>
      </w:r>
      <w:r>
        <w:rPr>
          <w:b/>
          <w:bCs/>
          <w:lang w:val="en-US" w:eastAsia="ja-JP"/>
        </w:rPr>
        <w:t>UE peak data rate reduction for UE</w:t>
      </w:r>
      <w:r>
        <w:rPr>
          <w:rFonts w:hint="default"/>
          <w:b/>
          <w:bCs/>
          <w:lang w:val="en-US" w:eastAsia="ja-JP"/>
        </w:rPr>
        <w:t xml:space="preserve"> can be supported as standalone solution for R18 RedCap.</w:t>
      </w:r>
    </w:p>
    <w:p>
      <w:pPr>
        <w:rPr>
          <w:rFonts w:hint="default"/>
          <w:b/>
          <w:bCs/>
          <w:lang w:val="en-US" w:eastAsia="zh-CN"/>
        </w:rPr>
      </w:pPr>
      <w:r>
        <w:rPr>
          <w:rFonts w:hint="default" w:eastAsia="Times New Roman"/>
          <w:b/>
          <w:bCs/>
          <w:sz w:val="20"/>
          <w:szCs w:val="24"/>
          <w:lang w:val="en-US"/>
        </w:rPr>
        <w:t>Proposal 2. Separate early indication for R18 RedCap by Msg1 is not supported.</w:t>
      </w:r>
      <w:r>
        <w:rPr>
          <w:rFonts w:ascii="Times New Roman" w:hAnsi="Times New Roman" w:eastAsia="Times New Roman" w:cs="Times New Roman"/>
          <w:sz w:val="20"/>
          <w:szCs w:val="20"/>
          <w:lang w:val="en-GB"/>
        </w:rPr>
        <w:t xml:space="preserve"> </w:t>
      </w:r>
    </w:p>
    <w:p>
      <w:pPr>
        <w:pStyle w:val="2"/>
      </w:pPr>
      <w:r>
        <w:t>References</w:t>
      </w:r>
    </w:p>
    <w:p>
      <w:pPr>
        <w:numPr>
          <w:ilvl w:val="0"/>
          <w:numId w:val="14"/>
        </w:numPr>
        <w:tabs>
          <w:tab w:val="center" w:pos="4536"/>
          <w:tab w:val="right" w:pos="8280"/>
          <w:tab w:val="right" w:pos="9639"/>
        </w:tabs>
        <w:spacing w:after="0" w:line="276" w:lineRule="auto"/>
        <w:ind w:right="2"/>
        <w:rPr>
          <w:rFonts w:hint="default"/>
          <w:lang w:val="en-US" w:eastAsia="zh-CN"/>
        </w:rPr>
      </w:pPr>
      <w:r>
        <w:rPr>
          <w:rFonts w:hint="eastAsia"/>
          <w:lang w:val="en-GB" w:eastAsia="zh-CN"/>
        </w:rPr>
        <w:t>RP-222675</w:t>
      </w:r>
      <w:r>
        <w:rPr>
          <w:rFonts w:hint="default"/>
          <w:lang w:val="en-US" w:eastAsia="zh-CN"/>
        </w:rPr>
        <w:t xml:space="preserve">, </w:t>
      </w:r>
      <w:r>
        <w:rPr>
          <w:rFonts w:hint="eastAsia"/>
          <w:lang w:val="en-GB" w:eastAsia="zh-CN"/>
        </w:rPr>
        <w:t>New WID on enhanced support of reduced capability NR devices</w:t>
      </w:r>
      <w:r>
        <w:rPr>
          <w:rFonts w:hint="default"/>
          <w:lang w:val="en-US" w:eastAsia="zh-CN"/>
        </w:rPr>
        <w:t xml:space="preserve">, </w:t>
      </w:r>
      <w:r>
        <w:rPr>
          <w:rFonts w:hint="eastAsia"/>
          <w:lang w:val="en-GB" w:eastAsia="zh-CN"/>
        </w:rPr>
        <w:t>Ericsson</w:t>
      </w:r>
      <w:r>
        <w:rPr>
          <w:rFonts w:hint="default"/>
          <w:lang w:val="en-US" w:eastAsia="zh-CN"/>
        </w:rPr>
        <w:t>.</w:t>
      </w:r>
      <w:bookmarkStart w:id="1" w:name="_Ref106014886"/>
    </w:p>
    <w:p>
      <w:pPr>
        <w:numPr>
          <w:ilvl w:val="0"/>
          <w:numId w:val="14"/>
        </w:numPr>
        <w:tabs>
          <w:tab w:val="center" w:pos="4536"/>
          <w:tab w:val="right" w:pos="8280"/>
          <w:tab w:val="right" w:pos="9639"/>
        </w:tabs>
        <w:spacing w:after="0" w:line="276" w:lineRule="auto"/>
        <w:ind w:right="2"/>
        <w:rPr>
          <w:rFonts w:ascii="Times New Roman" w:hAnsi="Times New Roman" w:cs="Times New Roman"/>
          <w:lang w:eastAsia="ja-JP"/>
        </w:rPr>
      </w:pPr>
      <w:r>
        <w:rPr>
          <w:rFonts w:ascii="Times New Roman" w:hAnsi="Times New Roman" w:cs="Times New Roman"/>
          <w:lang w:eastAsia="ja-JP"/>
        </w:rPr>
        <w:t>RP-222207, TR 38.865 V1.0.0 Study on further NR RedCap UE complexity reduction,” RAN#97e, September, 2022</w:t>
      </w:r>
      <w:bookmarkEnd w:id="1"/>
    </w:p>
    <w:p>
      <w:pPr>
        <w:tabs>
          <w:tab w:val="center" w:pos="4536"/>
          <w:tab w:val="right" w:pos="8280"/>
          <w:tab w:val="right" w:pos="9639"/>
        </w:tabs>
        <w:spacing w:after="0" w:line="276" w:lineRule="auto"/>
        <w:ind w:right="2"/>
        <w:rPr>
          <w:lang w:eastAsia="zh-CN"/>
        </w:rPr>
      </w:pPr>
    </w:p>
    <w:p>
      <w:pPr>
        <w:tabs>
          <w:tab w:val="center" w:pos="4536"/>
          <w:tab w:val="right" w:pos="8280"/>
          <w:tab w:val="right" w:pos="9639"/>
        </w:tabs>
        <w:spacing w:after="0" w:line="276" w:lineRule="auto"/>
        <w:ind w:right="2"/>
        <w:rPr>
          <w:lang w:eastAsia="zh-CN"/>
        </w:rPr>
      </w:pPr>
    </w:p>
    <w:sectPr>
      <w:footerReference r:id="rId5" w:type="default"/>
      <w:headerReference r:id="rId4" w:type="even"/>
      <w:footerReference r:id="rId6"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auto"/>
    <w:pitch w:val="default"/>
    <w:sig w:usb0="00000000" w:usb1="00000000" w:usb2="00000000" w:usb3="00000000" w:csb0="000001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E1D717"/>
    <w:multiLevelType w:val="singleLevel"/>
    <w:tmpl w:val="ABE1D717"/>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1002"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3">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8"/>
      <w:numFmt w:val="bullet"/>
      <w:lvlText w:val="-"/>
      <w:lvlJc w:val="left"/>
      <w:pPr>
        <w:ind w:left="2880" w:hanging="360"/>
      </w:pPr>
      <w:rPr>
        <w:rFonts w:hint="default" w:ascii="Times New Roman" w:hAnsi="Times New Roman" w:eastAsia="宋体"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5">
    <w:nsid w:val="417F6AFB"/>
    <w:multiLevelType w:val="multilevel"/>
    <w:tmpl w:val="417F6AFB"/>
    <w:lvl w:ilvl="0" w:tentative="0">
      <w:start w:val="1"/>
      <w:numFmt w:val="bullet"/>
      <w:pStyle w:val="167"/>
      <w:lvlText w:val="●"/>
      <w:lvlJc w:val="left"/>
      <w:pPr>
        <w:ind w:left="572" w:hanging="284"/>
      </w:pPr>
      <w:rPr>
        <w:rFonts w:hint="default" w:ascii="Times New Roman" w:hAnsi="Times New Roman" w:cs="Times New Roman"/>
        <w:color w:val="auto"/>
        <w:sz w:val="22"/>
      </w:rPr>
    </w:lvl>
    <w:lvl w:ilvl="1" w:tentative="0">
      <w:start w:val="1"/>
      <w:numFmt w:val="bullet"/>
      <w:lvlText w:val="○"/>
      <w:lvlJc w:val="left"/>
      <w:pPr>
        <w:ind w:left="855" w:hanging="283"/>
      </w:pPr>
      <w:rPr>
        <w:rFonts w:hint="default" w:ascii="Times New Roman" w:hAnsi="Times New Roman" w:cs="Times New Roman"/>
        <w:color w:val="auto"/>
        <w:sz w:val="22"/>
      </w:rPr>
    </w:lvl>
    <w:lvl w:ilvl="2" w:tentative="0">
      <w:start w:val="1"/>
      <w:numFmt w:val="bullet"/>
      <w:lvlText w:val="♦"/>
      <w:lvlJc w:val="left"/>
      <w:pPr>
        <w:ind w:left="1139" w:hanging="284"/>
      </w:pPr>
      <w:rPr>
        <w:rFonts w:hint="default" w:ascii="Times New Roman" w:hAnsi="Times New Roman" w:cs="Times New Roman"/>
        <w:color w:val="auto"/>
        <w:sz w:val="22"/>
      </w:rPr>
    </w:lvl>
    <w:lvl w:ilvl="3" w:tentative="0">
      <w:start w:val="1"/>
      <w:numFmt w:val="bullet"/>
      <w:lvlText w:val="□"/>
      <w:lvlJc w:val="left"/>
      <w:pPr>
        <w:ind w:left="1422" w:hanging="283"/>
      </w:pPr>
      <w:rPr>
        <w:rFonts w:hint="default" w:ascii="Times New Roman" w:hAnsi="Times New Roman" w:cs="Times New Roman"/>
        <w:color w:val="auto"/>
      </w:rPr>
    </w:lvl>
    <w:lvl w:ilvl="4" w:tentative="0">
      <w:start w:val="1"/>
      <w:numFmt w:val="bullet"/>
      <w:lvlText w:val="▪"/>
      <w:lvlJc w:val="left"/>
      <w:pPr>
        <w:ind w:left="1706" w:hanging="284"/>
      </w:pPr>
      <w:rPr>
        <w:rFonts w:hint="default" w:ascii="Times New Roman" w:hAnsi="Times New Roman" w:cs="Times New Roman"/>
        <w:color w:val="auto"/>
      </w:rPr>
    </w:lvl>
    <w:lvl w:ilvl="5" w:tentative="0">
      <w:start w:val="1"/>
      <w:numFmt w:val="lowerRoman"/>
      <w:lvlText w:val="(%6)"/>
      <w:lvlJc w:val="left"/>
      <w:pPr>
        <w:ind w:left="2448" w:hanging="360"/>
      </w:pPr>
      <w:rPr>
        <w:rFonts w:hint="default"/>
      </w:rPr>
    </w:lvl>
    <w:lvl w:ilvl="6" w:tentative="0">
      <w:start w:val="1"/>
      <w:numFmt w:val="decimal"/>
      <w:lvlText w:val="%7."/>
      <w:lvlJc w:val="left"/>
      <w:pPr>
        <w:ind w:left="2808" w:hanging="360"/>
      </w:pPr>
      <w:rPr>
        <w:rFonts w:hint="default"/>
      </w:rPr>
    </w:lvl>
    <w:lvl w:ilvl="7" w:tentative="0">
      <w:start w:val="1"/>
      <w:numFmt w:val="lowerLetter"/>
      <w:lvlText w:val="%8."/>
      <w:lvlJc w:val="left"/>
      <w:pPr>
        <w:ind w:left="3168" w:hanging="360"/>
      </w:pPr>
      <w:rPr>
        <w:rFonts w:hint="default"/>
      </w:rPr>
    </w:lvl>
    <w:lvl w:ilvl="8" w:tentative="0">
      <w:start w:val="1"/>
      <w:numFmt w:val="lowerRoman"/>
      <w:lvlText w:val="%9."/>
      <w:lvlJc w:val="left"/>
      <w:pPr>
        <w:ind w:left="3528" w:hanging="360"/>
      </w:pPr>
      <w:rPr>
        <w:rFonts w:hint="default"/>
      </w:rPr>
    </w:lvl>
  </w:abstractNum>
  <w:abstractNum w:abstractNumId="6">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7">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8B663FC"/>
    <w:multiLevelType w:val="multilevel"/>
    <w:tmpl w:val="68B663FC"/>
    <w:lvl w:ilvl="0" w:tentative="0">
      <w:start w:val="1"/>
      <w:numFmt w:val="bullet"/>
      <w:pStyle w:val="1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9">
    <w:nsid w:val="74CC7506"/>
    <w:multiLevelType w:val="multilevel"/>
    <w:tmpl w:val="74CC7506"/>
    <w:lvl w:ilvl="0" w:tentative="0">
      <w:start w:val="1"/>
      <w:numFmt w:val="decimal"/>
      <w:pStyle w:val="166"/>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78862F6"/>
    <w:multiLevelType w:val="singleLevel"/>
    <w:tmpl w:val="778862F6"/>
    <w:lvl w:ilvl="0" w:tentative="0">
      <w:start w:val="1"/>
      <w:numFmt w:val="decimal"/>
      <w:suff w:val="space"/>
      <w:lvlText w:val="[%1]"/>
      <w:lvlJc w:val="left"/>
    </w:lvl>
  </w:abstractNum>
  <w:abstractNum w:abstractNumId="12">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E8D4CD3"/>
    <w:multiLevelType w:val="multilevel"/>
    <w:tmpl w:val="7E8D4C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4"/>
  </w:num>
  <w:num w:numId="4">
    <w:abstractNumId w:val="8"/>
  </w:num>
  <w:num w:numId="5">
    <w:abstractNumId w:val="10"/>
  </w:num>
  <w:num w:numId="6">
    <w:abstractNumId w:val="6"/>
  </w:num>
  <w:num w:numId="7">
    <w:abstractNumId w:val="9"/>
  </w:num>
  <w:num w:numId="8">
    <w:abstractNumId w:val="5"/>
  </w:num>
  <w:num w:numId="9">
    <w:abstractNumId w:val="12"/>
  </w:num>
  <w:num w:numId="10">
    <w:abstractNumId w:val="7"/>
  </w:num>
  <w:num w:numId="11">
    <w:abstractNumId w:val="3"/>
  </w:num>
  <w:num w:numId="12">
    <w:abstractNumId w:val="0"/>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3E51953"/>
    <w:rsid w:val="041A1201"/>
    <w:rsid w:val="048B65DB"/>
    <w:rsid w:val="05E70D01"/>
    <w:rsid w:val="06790EE8"/>
    <w:rsid w:val="081E4CC5"/>
    <w:rsid w:val="08EF2AC4"/>
    <w:rsid w:val="0A03162D"/>
    <w:rsid w:val="0BA713E7"/>
    <w:rsid w:val="0E2BE4CE"/>
    <w:rsid w:val="10E327E0"/>
    <w:rsid w:val="132D6A30"/>
    <w:rsid w:val="138328B3"/>
    <w:rsid w:val="164F7028"/>
    <w:rsid w:val="17845313"/>
    <w:rsid w:val="180A51BF"/>
    <w:rsid w:val="1949272F"/>
    <w:rsid w:val="1D300464"/>
    <w:rsid w:val="1D366DAB"/>
    <w:rsid w:val="24E66A82"/>
    <w:rsid w:val="26210AA2"/>
    <w:rsid w:val="29682EFC"/>
    <w:rsid w:val="2D216DF1"/>
    <w:rsid w:val="2E0B42FD"/>
    <w:rsid w:val="300B6E23"/>
    <w:rsid w:val="33E73517"/>
    <w:rsid w:val="361A6360"/>
    <w:rsid w:val="3E710FD7"/>
    <w:rsid w:val="3EF4219B"/>
    <w:rsid w:val="40597A9B"/>
    <w:rsid w:val="40A67BAB"/>
    <w:rsid w:val="42560B89"/>
    <w:rsid w:val="44F478DF"/>
    <w:rsid w:val="476305AE"/>
    <w:rsid w:val="479F1017"/>
    <w:rsid w:val="49BB7B88"/>
    <w:rsid w:val="49F62572"/>
    <w:rsid w:val="5119295C"/>
    <w:rsid w:val="52BB0165"/>
    <w:rsid w:val="57171175"/>
    <w:rsid w:val="58F76A8B"/>
    <w:rsid w:val="624501CC"/>
    <w:rsid w:val="64424AFB"/>
    <w:rsid w:val="650B3714"/>
    <w:rsid w:val="676D37E9"/>
    <w:rsid w:val="68580BCC"/>
    <w:rsid w:val="70A3154F"/>
    <w:rsid w:val="70CB6C95"/>
    <w:rsid w:val="75406AFC"/>
    <w:rsid w:val="769A009D"/>
    <w:rsid w:val="76B615EA"/>
    <w:rsid w:val="78DA098C"/>
    <w:rsid w:val="7B7D2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7"/>
    <w:qFormat/>
    <w:uiPriority w:val="0"/>
  </w:style>
  <w:style w:type="paragraph" w:styleId="31">
    <w:name w:val="Body Text 3"/>
    <w:basedOn w:val="1"/>
    <w:qFormat/>
    <w:uiPriority w:val="0"/>
    <w:rPr>
      <w:i/>
    </w:rPr>
  </w:style>
  <w:style w:type="paragraph" w:styleId="32">
    <w:name w:val="Body Text"/>
    <w:basedOn w:val="1"/>
    <w:link w:val="141"/>
    <w:qFormat/>
    <w:uiPriority w:val="0"/>
    <w:pPr>
      <w:spacing w:after="120"/>
      <w:jc w:val="both"/>
    </w:pPr>
    <w:rPr>
      <w:rFonts w:ascii="Times" w:hAnsi="Times"/>
      <w:szCs w:val="24"/>
    </w:rPr>
  </w:style>
  <w:style w:type="paragraph" w:styleId="33">
    <w:name w:val="Plain Text"/>
    <w:basedOn w:val="1"/>
    <w:link w:val="160"/>
    <w:qFormat/>
    <w:uiPriority w:val="0"/>
    <w:pPr>
      <w:overflowPunct/>
      <w:autoSpaceDE/>
      <w:autoSpaceDN/>
      <w:adjustRightInd/>
      <w:textAlignment w:val="auto"/>
    </w:pPr>
    <w:rPr>
      <w:rFonts w:ascii="Courier New" w:hAnsi="Courier New" w:eastAsia="Malgun Gothic"/>
      <w:lang w:val="nb-NO"/>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ody Text Indent 2"/>
    <w:basedOn w:val="1"/>
    <w:link w:val="170"/>
    <w:semiHidden/>
    <w:unhideWhenUsed/>
    <w:qFormat/>
    <w:uiPriority w:val="0"/>
    <w:pPr>
      <w:spacing w:after="120" w:line="480" w:lineRule="auto"/>
      <w:ind w:left="420" w:leftChars="200"/>
    </w:pPr>
  </w:style>
  <w:style w:type="paragraph" w:styleId="37">
    <w:name w:val="Balloon Text"/>
    <w:basedOn w:val="1"/>
    <w:link w:val="163"/>
    <w:qFormat/>
    <w:uiPriority w:val="0"/>
    <w:rPr>
      <w:rFonts w:ascii="Tahoma" w:hAnsi="Tahoma" w:cs="Tahoma"/>
      <w:sz w:val="16"/>
      <w:szCs w:val="16"/>
    </w:rPr>
  </w:style>
  <w:style w:type="paragraph" w:styleId="38">
    <w:name w:val="footer"/>
    <w:basedOn w:val="39"/>
    <w:link w:val="127"/>
    <w:qFormat/>
    <w:uiPriority w:val="0"/>
    <w:pPr>
      <w:jc w:val="center"/>
    </w:pPr>
    <w:rPr>
      <w:i/>
    </w:rPr>
  </w:style>
  <w:style w:type="paragraph" w:styleId="39">
    <w:name w:val="header"/>
    <w:link w:val="137"/>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overflowPunct/>
      <w:autoSpaceDE/>
      <w:autoSpaceDN/>
      <w:adjustRightInd/>
      <w:spacing w:before="360" w:after="240"/>
      <w:textAlignment w:val="auto"/>
    </w:pPr>
    <w:rPr>
      <w:rFonts w:eastAsia="Malgun Gothic"/>
      <w:b/>
      <w:i/>
      <w:sz w:val="26"/>
      <w:lang w:val="en-GB"/>
    </w:rPr>
  </w:style>
  <w:style w:type="paragraph" w:styleId="41">
    <w:name w:val="Subtitle"/>
    <w:basedOn w:val="1"/>
    <w:next w:val="1"/>
    <w:link w:val="115"/>
    <w:qFormat/>
    <w:uiPriority w:val="0"/>
    <w:pPr>
      <w:spacing w:after="60"/>
      <w:jc w:val="center"/>
      <w:outlineLvl w:val="1"/>
    </w:pPr>
    <w:rPr>
      <w:rFonts w:ascii="Cambria" w:hAnsi="Cambria"/>
      <w:sz w:val="24"/>
      <w:szCs w:val="24"/>
    </w:rPr>
  </w:style>
  <w:style w:type="paragraph" w:styleId="42">
    <w:name w:val="footnote text"/>
    <w:basedOn w:val="1"/>
    <w:link w:val="169"/>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Body Text 2"/>
    <w:basedOn w:val="1"/>
    <w:qFormat/>
    <w:uiPriority w:val="0"/>
    <w:pPr>
      <w:tabs>
        <w:tab w:val="left" w:pos="1985"/>
      </w:tabs>
      <w:spacing w:after="0"/>
      <w:jc w:val="both"/>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38"/>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unhideWhenUsed/>
    <w:qFormat/>
    <w:uiPriority w:val="0"/>
    <w:rPr>
      <w:color w:val="954F72" w:themeColor="followedHyperlink"/>
      <w:u w:val="single"/>
      <w14:textFill>
        <w14:solidFill>
          <w14:schemeClr w14:val="folHlink"/>
        </w14:solidFill>
      </w14:textFill>
    </w:rPr>
  </w:style>
  <w:style w:type="character" w:styleId="56">
    <w:name w:val="Hyperlink"/>
    <w:qFormat/>
    <w:uiPriority w:val="99"/>
    <w:rPr>
      <w:color w:val="0000FF"/>
      <w:u w:val="single"/>
    </w:rPr>
  </w:style>
  <w:style w:type="character" w:styleId="57">
    <w:name w:val="annotation reference"/>
    <w:qFormat/>
    <w:uiPriority w:val="0"/>
    <w:rPr>
      <w:sz w:val="16"/>
      <w:szCs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link w:val="139"/>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link w:val="148"/>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link w:val="147"/>
    <w:qFormat/>
    <w:uiPriority w:val="0"/>
    <w:rPr>
      <w:color w:val="FF0000"/>
    </w:rPr>
  </w:style>
  <w:style w:type="paragraph" w:customStyle="1" w:styleId="86">
    <w:name w:val="B1"/>
    <w:basedOn w:val="14"/>
    <w:link w:val="135"/>
    <w:qFormat/>
    <w:uiPriority w:val="0"/>
  </w:style>
  <w:style w:type="paragraph" w:customStyle="1" w:styleId="87">
    <w:name w:val="B2"/>
    <w:basedOn w:val="13"/>
    <w:link w:val="143"/>
    <w:qFormat/>
    <w:uiPriority w:val="0"/>
  </w:style>
  <w:style w:type="paragraph" w:customStyle="1" w:styleId="88">
    <w:name w:val="B3"/>
    <w:basedOn w:val="12"/>
    <w:link w:val="149"/>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jc w:val="both"/>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字符"/>
    <w:link w:val="2"/>
    <w:qFormat/>
    <w:uiPriority w:val="0"/>
    <w:rPr>
      <w:rFonts w:ascii="Arial" w:hAnsi="Arial"/>
      <w:sz w:val="36"/>
      <w:lang w:val="en-GB" w:eastAsia="en-US"/>
    </w:rPr>
  </w:style>
  <w:style w:type="character" w:customStyle="1" w:styleId="104">
    <w:name w:val="标题 2 字符"/>
    <w:link w:val="3"/>
    <w:qFormat/>
    <w:uiPriority w:val="0"/>
    <w:rPr>
      <w:rFonts w:ascii="Arial" w:hAnsi="Arial"/>
      <w:sz w:val="32"/>
      <w:lang w:val="en-GB" w:eastAsia="en-US"/>
    </w:rPr>
  </w:style>
  <w:style w:type="character" w:customStyle="1" w:styleId="105">
    <w:name w:val="标题 3 字符"/>
    <w:link w:val="4"/>
    <w:qFormat/>
    <w:uiPriority w:val="0"/>
    <w:rPr>
      <w:rFonts w:ascii="Arial" w:hAnsi="Arial"/>
      <w:sz w:val="28"/>
      <w:lang w:val="en-GB" w:eastAsia="en-US"/>
    </w:rPr>
  </w:style>
  <w:style w:type="character" w:customStyle="1" w:styleId="106">
    <w:name w:val="标题 4 字符"/>
    <w:link w:val="5"/>
    <w:qFormat/>
    <w:uiPriority w:val="0"/>
    <w:rPr>
      <w:rFonts w:ascii="Arial" w:hAnsi="Arial"/>
      <w:sz w:val="24"/>
      <w:lang w:val="en-GB" w:eastAsia="en-US"/>
    </w:rPr>
  </w:style>
  <w:style w:type="character" w:customStyle="1" w:styleId="107">
    <w:name w:val="标题 5 字符"/>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overflowPunct/>
      <w:autoSpaceDE/>
      <w:autoSpaceDN/>
      <w:adjustRightInd/>
      <w:spacing w:before="120"/>
      <w:ind w:left="720"/>
      <w:textAlignment w:val="auto"/>
    </w:pPr>
    <w:rPr>
      <w:rFonts w:eastAsia="Times New Roman"/>
      <w:szCs w:val="22"/>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副标题 字符"/>
    <w:link w:val="41"/>
    <w:qFormat/>
    <w:uiPriority w:val="0"/>
    <w:rPr>
      <w:rFonts w:ascii="Cambria" w:hAnsi="Cambria" w:eastAsia="Times New Roman" w:cs="Times New Roman"/>
      <w:sz w:val="24"/>
      <w:szCs w:val="24"/>
      <w:lang w:val="en-GB"/>
    </w:rPr>
  </w:style>
  <w:style w:type="paragraph" w:customStyle="1" w:styleId="116">
    <w:name w:val="Revision"/>
    <w:hidden/>
    <w:semiHidden/>
    <w:qFormat/>
    <w:uiPriority w:val="99"/>
    <w:rPr>
      <w:rFonts w:ascii="Times New Roman" w:hAnsi="Times New Roman" w:eastAsia="宋体" w:cs="Times New Roman"/>
      <w:lang w:val="en-GB" w:eastAsia="en-US" w:bidi="ar-SA"/>
    </w:rPr>
  </w:style>
  <w:style w:type="character" w:customStyle="1" w:styleId="117">
    <w:name w:val="批注文字 字符"/>
    <w:link w:val="30"/>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出段落 字符"/>
    <w:link w:val="113"/>
    <w:qFormat/>
    <w:locked/>
    <w:uiPriority w:val="34"/>
    <w:rPr>
      <w:rFonts w:ascii="Times New Roman" w:hAnsi="Times New Roman" w:eastAsia="Times New Roman"/>
      <w:szCs w:val="22"/>
      <w:lang w:eastAsia="en-US"/>
    </w:rPr>
  </w:style>
  <w:style w:type="paragraph" w:customStyle="1" w:styleId="125">
    <w:name w:val="References"/>
    <w:basedOn w:val="1"/>
    <w:qFormat/>
    <w:uiPriority w:val="0"/>
    <w:pPr>
      <w:numPr>
        <w:ilvl w:val="0"/>
        <w:numId w:val="3"/>
      </w:numPr>
      <w:overflowPunct/>
      <w:adjustRightInd/>
      <w:snapToGrid w:val="0"/>
      <w:spacing w:after="60"/>
      <w:jc w:val="both"/>
      <w:textAlignment w:val="auto"/>
    </w:pPr>
    <w:rPr>
      <w:szCs w:val="16"/>
    </w:rPr>
  </w:style>
  <w:style w:type="table" w:customStyle="1" w:styleId="126">
    <w:name w:val="网格表 5 深色 - 着色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27">
    <w:name w:val="页脚 字符"/>
    <w:basedOn w:val="53"/>
    <w:link w:val="38"/>
    <w:qFormat/>
    <w:uiPriority w:val="0"/>
    <w:rPr>
      <w:rFonts w:ascii="Arial" w:hAnsi="Arial"/>
      <w:b/>
      <w:i/>
      <w:sz w:val="18"/>
      <w:lang w:eastAsia="en-US"/>
    </w:rPr>
  </w:style>
  <w:style w:type="character" w:customStyle="1" w:styleId="128">
    <w:name w:val="题注 字符"/>
    <w:link w:val="28"/>
    <w:qFormat/>
    <w:locked/>
    <w:uiPriority w:val="0"/>
    <w:rPr>
      <w:rFonts w:ascii="Times New Roman" w:hAnsi="Times New Roman"/>
      <w:b/>
      <w:bCs/>
      <w:lang w:eastAsia="en-US"/>
    </w:rPr>
  </w:style>
  <w:style w:type="table" w:customStyle="1" w:styleId="129">
    <w:name w:val="网格型浅色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网格表 5 深色 - 着色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31">
    <w:name w:val="网格表 5 深色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32">
    <w:name w:val="网格表 4 - 着色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33">
    <w:name w:val="Unresolved Mention1"/>
    <w:basedOn w:val="53"/>
    <w:semiHidden/>
    <w:unhideWhenUsed/>
    <w:qFormat/>
    <w:uiPriority w:val="99"/>
    <w:rPr>
      <w:color w:val="808080"/>
      <w:shd w:val="clear" w:color="auto" w:fill="E6E6E6"/>
    </w:rPr>
  </w:style>
  <w:style w:type="table" w:customStyle="1" w:styleId="134">
    <w:name w:val="网格表 4 - 着色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5">
    <w:name w:val="B1 (文字)"/>
    <w:link w:val="86"/>
    <w:qFormat/>
    <w:locked/>
    <w:uiPriority w:val="99"/>
    <w:rPr>
      <w:rFonts w:ascii="Times New Roman" w:hAnsi="Times New Roman"/>
      <w:lang w:eastAsia="en-US"/>
    </w:rPr>
  </w:style>
  <w:style w:type="paragraph" w:customStyle="1" w:styleId="13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7">
    <w:name w:val="页眉 字符"/>
    <w:basedOn w:val="53"/>
    <w:link w:val="39"/>
    <w:qFormat/>
    <w:locked/>
    <w:uiPriority w:val="0"/>
    <w:rPr>
      <w:rFonts w:ascii="Arial" w:hAnsi="Arial"/>
      <w:b/>
      <w:sz w:val="18"/>
      <w:lang w:eastAsia="en-US"/>
    </w:rPr>
  </w:style>
  <w:style w:type="character" w:customStyle="1" w:styleId="138">
    <w:name w:val="批注主题 字符"/>
    <w:basedOn w:val="117"/>
    <w:link w:val="50"/>
    <w:qFormat/>
    <w:uiPriority w:val="0"/>
    <w:rPr>
      <w:rFonts w:ascii="Times New Roman" w:hAnsi="Times New Roman"/>
      <w:b/>
      <w:bCs/>
      <w:lang w:val="en-GB"/>
    </w:rPr>
  </w:style>
  <w:style w:type="character" w:customStyle="1" w:styleId="139">
    <w:name w:val="TAH Car"/>
    <w:link w:val="62"/>
    <w:qFormat/>
    <w:uiPriority w:val="0"/>
    <w:rPr>
      <w:rFonts w:ascii="Arial" w:hAnsi="Arial"/>
      <w:b/>
      <w:sz w:val="18"/>
      <w:lang w:eastAsia="en-US"/>
    </w:rPr>
  </w:style>
  <w:style w:type="character" w:customStyle="1" w:styleId="140">
    <w:name w:val="TAH Char"/>
    <w:qFormat/>
    <w:uiPriority w:val="0"/>
    <w:rPr>
      <w:rFonts w:ascii="Arial" w:hAnsi="Arial" w:eastAsia="宋体"/>
      <w:b/>
      <w:sz w:val="18"/>
      <w:lang w:val="en-GB" w:eastAsia="en-US" w:bidi="ar-SA"/>
    </w:rPr>
  </w:style>
  <w:style w:type="character" w:customStyle="1" w:styleId="141">
    <w:name w:val="正文文本 字符"/>
    <w:basedOn w:val="53"/>
    <w:link w:val="32"/>
    <w:qFormat/>
    <w:uiPriority w:val="0"/>
    <w:rPr>
      <w:rFonts w:ascii="Times" w:hAnsi="Times"/>
      <w:szCs w:val="24"/>
      <w:lang w:eastAsia="en-US"/>
    </w:rPr>
  </w:style>
  <w:style w:type="paragraph" w:customStyle="1" w:styleId="142">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character" w:customStyle="1" w:styleId="143">
    <w:name w:val="B2 Char"/>
    <w:link w:val="87"/>
    <w:qFormat/>
    <w:uiPriority w:val="0"/>
    <w:rPr>
      <w:rFonts w:ascii="Times New Roman" w:hAnsi="Times New Roman"/>
      <w:lang w:eastAsia="en-US"/>
    </w:rPr>
  </w:style>
  <w:style w:type="paragraph" w:customStyle="1" w:styleId="144">
    <w:name w:val="RAN1 bullet3"/>
    <w:basedOn w:val="1"/>
    <w:qFormat/>
    <w:uiPriority w:val="0"/>
    <w:pPr>
      <w:numPr>
        <w:ilvl w:val="2"/>
        <w:numId w:val="5"/>
      </w:numPr>
      <w:tabs>
        <w:tab w:val="left" w:pos="1440"/>
      </w:tabs>
      <w:overflowPunct/>
      <w:autoSpaceDE/>
      <w:autoSpaceDN/>
      <w:adjustRightInd/>
      <w:spacing w:after="0"/>
      <w:textAlignment w:val="auto"/>
    </w:pPr>
    <w:rPr>
      <w:rFonts w:ascii="Times" w:hAnsi="Times" w:eastAsia="Batang"/>
    </w:rPr>
  </w:style>
  <w:style w:type="character" w:customStyle="1" w:styleId="145">
    <w:name w:val="B1 Zchn"/>
    <w:qFormat/>
    <w:uiPriority w:val="0"/>
    <w:rPr>
      <w:lang w:eastAsia="en-US"/>
    </w:rPr>
  </w:style>
  <w:style w:type="character" w:customStyle="1" w:styleId="146">
    <w:name w:val="B1 Char1"/>
    <w:qFormat/>
    <w:uiPriority w:val="0"/>
    <w:rPr>
      <w:rFonts w:eastAsia="Times New Roman"/>
      <w:lang w:eastAsia="ja-JP"/>
    </w:rPr>
  </w:style>
  <w:style w:type="character" w:customStyle="1" w:styleId="147">
    <w:name w:val="Editor's Note Char"/>
    <w:link w:val="85"/>
    <w:qFormat/>
    <w:uiPriority w:val="0"/>
    <w:rPr>
      <w:rFonts w:ascii="Times New Roman" w:hAnsi="Times New Roman"/>
      <w:color w:val="FF0000"/>
      <w:lang w:eastAsia="en-US"/>
    </w:rPr>
  </w:style>
  <w:style w:type="character" w:customStyle="1" w:styleId="148">
    <w:name w:val="TF Char"/>
    <w:link w:val="65"/>
    <w:qFormat/>
    <w:uiPriority w:val="0"/>
    <w:rPr>
      <w:rFonts w:ascii="Arial" w:hAnsi="Arial"/>
      <w:b/>
      <w:lang w:eastAsia="en-US"/>
    </w:rPr>
  </w:style>
  <w:style w:type="character" w:customStyle="1" w:styleId="149">
    <w:name w:val="B3 Char2"/>
    <w:link w:val="88"/>
    <w:qFormat/>
    <w:uiPriority w:val="0"/>
    <w:rPr>
      <w:rFonts w:ascii="Times New Roman" w:hAnsi="Times New Roman"/>
      <w:lang w:eastAsia="en-US"/>
    </w:rPr>
  </w:style>
  <w:style w:type="paragraph" w:customStyle="1" w:styleId="150">
    <w:name w:val="Text"/>
    <w:basedOn w:val="1"/>
    <w:link w:val="151"/>
    <w:qFormat/>
    <w:uiPriority w:val="0"/>
    <w:pPr>
      <w:overflowPunct/>
      <w:autoSpaceDE/>
      <w:autoSpaceDN/>
      <w:adjustRightInd/>
      <w:spacing w:after="0"/>
      <w:textAlignment w:val="auto"/>
    </w:pPr>
    <w:rPr>
      <w:rFonts w:ascii="Times" w:hAnsi="Times" w:eastAsia="Batang"/>
      <w:szCs w:val="24"/>
      <w:lang w:val="en-GB"/>
    </w:rPr>
  </w:style>
  <w:style w:type="character" w:customStyle="1" w:styleId="151">
    <w:name w:val="Text Char"/>
    <w:link w:val="150"/>
    <w:qFormat/>
    <w:uiPriority w:val="0"/>
    <w:rPr>
      <w:rFonts w:ascii="Times" w:hAnsi="Times" w:eastAsia="Batang"/>
      <w:szCs w:val="24"/>
      <w:lang w:val="en-GB" w:eastAsia="en-US"/>
    </w:rPr>
  </w:style>
  <w:style w:type="paragraph" w:customStyle="1" w:styleId="152">
    <w:name w:val="text intend 1"/>
    <w:basedOn w:val="1"/>
    <w:qFormat/>
    <w:uiPriority w:val="0"/>
    <w:pPr>
      <w:numPr>
        <w:ilvl w:val="0"/>
        <w:numId w:val="6"/>
      </w:numPr>
      <w:overflowPunct/>
      <w:autoSpaceDE/>
      <w:autoSpaceDN/>
      <w:adjustRightInd/>
      <w:spacing w:after="120"/>
      <w:jc w:val="both"/>
      <w:textAlignment w:val="auto"/>
    </w:pPr>
    <w:rPr>
      <w:rFonts w:eastAsia="MS Mincho"/>
      <w:sz w:val="24"/>
    </w:rPr>
  </w:style>
  <w:style w:type="paragraph" w:customStyle="1" w:styleId="153">
    <w:name w:val="INDENT1"/>
    <w:basedOn w:val="1"/>
    <w:qFormat/>
    <w:uiPriority w:val="0"/>
    <w:pPr>
      <w:overflowPunct/>
      <w:autoSpaceDE/>
      <w:autoSpaceDN/>
      <w:adjustRightInd/>
      <w:ind w:left="851"/>
      <w:textAlignment w:val="auto"/>
    </w:pPr>
    <w:rPr>
      <w:rFonts w:eastAsia="Malgun Gothic"/>
      <w:lang w:val="en-GB"/>
    </w:rPr>
  </w:style>
  <w:style w:type="paragraph" w:customStyle="1" w:styleId="154">
    <w:name w:val="INDENT2"/>
    <w:basedOn w:val="1"/>
    <w:qFormat/>
    <w:uiPriority w:val="0"/>
    <w:pPr>
      <w:overflowPunct/>
      <w:autoSpaceDE/>
      <w:autoSpaceDN/>
      <w:adjustRightInd/>
      <w:ind w:left="1135" w:hanging="284"/>
      <w:textAlignment w:val="auto"/>
    </w:pPr>
    <w:rPr>
      <w:rFonts w:eastAsia="Malgun Gothic"/>
      <w:lang w:val="en-GB"/>
    </w:rPr>
  </w:style>
  <w:style w:type="paragraph" w:customStyle="1" w:styleId="155">
    <w:name w:val="INDENT3"/>
    <w:basedOn w:val="1"/>
    <w:qFormat/>
    <w:uiPriority w:val="0"/>
    <w:pPr>
      <w:overflowPunct/>
      <w:autoSpaceDE/>
      <w:autoSpaceDN/>
      <w:adjustRightInd/>
      <w:ind w:left="1701" w:hanging="567"/>
      <w:textAlignment w:val="auto"/>
    </w:pPr>
    <w:rPr>
      <w:rFonts w:eastAsia="Malgun Gothic"/>
      <w:lang w:val="en-GB"/>
    </w:rPr>
  </w:style>
  <w:style w:type="paragraph" w:customStyle="1" w:styleId="156">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157">
    <w:name w:val="Rec_CCITT_#"/>
    <w:basedOn w:val="1"/>
    <w:qFormat/>
    <w:uiPriority w:val="0"/>
    <w:pPr>
      <w:keepNext/>
      <w:keepLines/>
      <w:overflowPunct/>
      <w:autoSpaceDE/>
      <w:autoSpaceDN/>
      <w:adjustRightInd/>
      <w:textAlignment w:val="auto"/>
    </w:pPr>
    <w:rPr>
      <w:rFonts w:eastAsia="Malgun Gothic"/>
      <w:b/>
      <w:lang w:val="en-GB"/>
    </w:rPr>
  </w:style>
  <w:style w:type="paragraph" w:customStyle="1" w:styleId="158">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159">
    <w:name w:val="Couv Rec Title"/>
    <w:basedOn w:val="1"/>
    <w:qFormat/>
    <w:uiPriority w:val="0"/>
    <w:pPr>
      <w:keepNext/>
      <w:keepLines/>
      <w:overflowPunct/>
      <w:autoSpaceDE/>
      <w:autoSpaceDN/>
      <w:adjustRightInd/>
      <w:spacing w:before="240"/>
      <w:ind w:left="1418"/>
      <w:textAlignment w:val="auto"/>
    </w:pPr>
    <w:rPr>
      <w:rFonts w:ascii="Arial" w:hAnsi="Arial" w:eastAsia="Malgun Gothic"/>
      <w:b/>
      <w:sz w:val="36"/>
    </w:rPr>
  </w:style>
  <w:style w:type="character" w:customStyle="1" w:styleId="160">
    <w:name w:val="纯文本 字符"/>
    <w:basedOn w:val="53"/>
    <w:link w:val="33"/>
    <w:qFormat/>
    <w:uiPriority w:val="0"/>
    <w:rPr>
      <w:rFonts w:ascii="Courier New" w:hAnsi="Courier New" w:eastAsia="Malgun Gothic"/>
      <w:lang w:val="nb-NO" w:eastAsia="en-US"/>
    </w:rPr>
  </w:style>
  <w:style w:type="paragraph" w:customStyle="1" w:styleId="161">
    <w:name w:val="TAJ"/>
    <w:basedOn w:val="66"/>
    <w:qFormat/>
    <w:uiPriority w:val="0"/>
    <w:pPr>
      <w:overflowPunct/>
      <w:autoSpaceDE/>
      <w:autoSpaceDN/>
      <w:adjustRightInd/>
      <w:textAlignment w:val="auto"/>
    </w:pPr>
    <w:rPr>
      <w:rFonts w:eastAsia="Malgun Gothic"/>
      <w:lang w:val="en-GB"/>
    </w:rPr>
  </w:style>
  <w:style w:type="paragraph" w:customStyle="1" w:styleId="162">
    <w:name w:val="Guidance"/>
    <w:basedOn w:val="1"/>
    <w:qFormat/>
    <w:uiPriority w:val="0"/>
    <w:pPr>
      <w:overflowPunct/>
      <w:autoSpaceDE/>
      <w:autoSpaceDN/>
      <w:adjustRightInd/>
      <w:textAlignment w:val="auto"/>
    </w:pPr>
    <w:rPr>
      <w:rFonts w:eastAsia="Malgun Gothic"/>
      <w:i/>
      <w:color w:val="0000FF"/>
      <w:lang w:val="en-GB"/>
    </w:rPr>
  </w:style>
  <w:style w:type="character" w:customStyle="1" w:styleId="163">
    <w:name w:val="批注框文本 字符"/>
    <w:link w:val="37"/>
    <w:qFormat/>
    <w:uiPriority w:val="0"/>
    <w:rPr>
      <w:rFonts w:ascii="Tahoma" w:hAnsi="Tahoma" w:cs="Tahoma"/>
      <w:sz w:val="16"/>
      <w:szCs w:val="16"/>
      <w:lang w:eastAsia="en-US"/>
    </w:rPr>
  </w:style>
  <w:style w:type="paragraph" w:customStyle="1" w:styleId="164">
    <w:name w:val="Comments"/>
    <w:basedOn w:val="1"/>
    <w:link w:val="165"/>
    <w:qFormat/>
    <w:uiPriority w:val="0"/>
    <w:pPr>
      <w:overflowPunct/>
      <w:autoSpaceDE/>
      <w:autoSpaceDN/>
      <w:adjustRightInd/>
      <w:spacing w:before="40" w:after="0"/>
      <w:textAlignment w:val="auto"/>
    </w:pPr>
    <w:rPr>
      <w:rFonts w:ascii="Arial" w:hAnsi="Arial" w:eastAsia="MS Mincho"/>
      <w:i/>
      <w:sz w:val="18"/>
      <w:szCs w:val="24"/>
      <w:lang w:val="en-GB" w:eastAsia="en-GB"/>
    </w:rPr>
  </w:style>
  <w:style w:type="character" w:customStyle="1" w:styleId="165">
    <w:name w:val="Comments Char"/>
    <w:link w:val="164"/>
    <w:qFormat/>
    <w:uiPriority w:val="0"/>
    <w:rPr>
      <w:rFonts w:ascii="Arial" w:hAnsi="Arial" w:eastAsia="MS Mincho"/>
      <w:i/>
      <w:sz w:val="18"/>
      <w:szCs w:val="24"/>
      <w:lang w:val="en-GB" w:eastAsia="en-GB"/>
    </w:rPr>
  </w:style>
  <w:style w:type="paragraph" w:customStyle="1" w:styleId="166">
    <w:name w:val="reference"/>
    <w:basedOn w:val="1"/>
    <w:qFormat/>
    <w:uiPriority w:val="0"/>
    <w:pPr>
      <w:widowControl w:val="0"/>
      <w:numPr>
        <w:ilvl w:val="0"/>
        <w:numId w:val="7"/>
      </w:numPr>
      <w:overflowPunct/>
      <w:spacing w:before="60" w:after="60" w:line="288" w:lineRule="auto"/>
      <w:jc w:val="both"/>
      <w:textAlignment w:val="auto"/>
    </w:pPr>
    <w:rPr>
      <w:rFonts w:eastAsia="Times New Roman"/>
      <w:sz w:val="22"/>
      <w:lang w:val="en-GB" w:eastAsia="ko-KR"/>
    </w:rPr>
  </w:style>
  <w:style w:type="paragraph" w:customStyle="1" w:styleId="167">
    <w:name w:val="3GPP Agreements"/>
    <w:basedOn w:val="1"/>
    <w:link w:val="168"/>
    <w:qFormat/>
    <w:uiPriority w:val="0"/>
    <w:pPr>
      <w:numPr>
        <w:ilvl w:val="0"/>
        <w:numId w:val="8"/>
      </w:numPr>
      <w:spacing w:before="60" w:after="60"/>
      <w:jc w:val="both"/>
    </w:pPr>
    <w:rPr>
      <w:sz w:val="22"/>
      <w:lang w:eastAsia="zh-CN"/>
    </w:rPr>
  </w:style>
  <w:style w:type="character" w:customStyle="1" w:styleId="168">
    <w:name w:val="3GPP Agreements Char"/>
    <w:link w:val="167"/>
    <w:qFormat/>
    <w:uiPriority w:val="0"/>
    <w:rPr>
      <w:rFonts w:ascii="Times New Roman" w:hAnsi="Times New Roman"/>
      <w:sz w:val="22"/>
    </w:rPr>
  </w:style>
  <w:style w:type="character" w:customStyle="1" w:styleId="169">
    <w:name w:val="脚注文本 字符"/>
    <w:link w:val="42"/>
    <w:semiHidden/>
    <w:qFormat/>
    <w:uiPriority w:val="0"/>
    <w:rPr>
      <w:rFonts w:ascii="Times New Roman" w:hAnsi="Times New Roman"/>
      <w:sz w:val="16"/>
      <w:lang w:eastAsia="en-US"/>
    </w:rPr>
  </w:style>
  <w:style w:type="character" w:customStyle="1" w:styleId="170">
    <w:name w:val="正文文本缩进 2 字符"/>
    <w:basedOn w:val="53"/>
    <w:link w:val="36"/>
    <w:semiHidden/>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80E46-DE1C-4AE7-82E4-32E4F7E8D908}">
  <ds:schemaRefs/>
</ds:datastoreItem>
</file>

<file path=customXml/itemProps3.xml><?xml version="1.0" encoding="utf-8"?>
<ds:datastoreItem xmlns:ds="http://schemas.openxmlformats.org/officeDocument/2006/customXml" ds:itemID="{8B85540C-FE5C-4354-BE5A-E0652EDA2CF6}">
  <ds:schemaRefs/>
</ds:datastoreItem>
</file>

<file path=customXml/itemProps4.xml><?xml version="1.0" encoding="utf-8"?>
<ds:datastoreItem xmlns:ds="http://schemas.openxmlformats.org/officeDocument/2006/customXml" ds:itemID="{E582DF6C-9871-4337-BBCF-3465CC8819F6}">
  <ds:schemaRefs/>
</ds:datastoreItem>
</file>

<file path=customXml/itemProps5.xml><?xml version="1.0" encoding="utf-8"?>
<ds:datastoreItem xmlns:ds="http://schemas.openxmlformats.org/officeDocument/2006/customXml" ds:itemID="{6F45A92A-9E75-4A75-BF61-66929B64B2AA}">
  <ds:schemaRefs/>
</ds:datastoreItem>
</file>

<file path=customXml/itemProps6.xml><?xml version="1.0" encoding="utf-8"?>
<ds:datastoreItem xmlns:ds="http://schemas.openxmlformats.org/officeDocument/2006/customXml" ds:itemID="{087A3EDA-4F7D-4DAE-B91C-C7325A9311B1}">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4</Pages>
  <Words>1532</Words>
  <Characters>7253</Characters>
  <Lines>98</Lines>
  <Paragraphs>27</Paragraphs>
  <TotalTime>1</TotalTime>
  <ScaleCrop>false</ScaleCrop>
  <LinksUpToDate>false</LinksUpToDate>
  <CharactersWithSpaces>8710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2020-11-28T00:59:00Z</dcterms:created>
  <dc:creator>CMCC</dc:creator>
  <cp:lastModifiedBy>CMCC-hulijie</cp:lastModifiedBy>
  <cp:lastPrinted>2017-03-25T00:57:00Z</cp:lastPrinted>
  <dcterms:modified xsi:type="dcterms:W3CDTF">2022-12-02T10:02:46Z</dcterms:modified>
  <dc:title>3GPP TSG-RAN #98e</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2052-11.8.2.10912</vt:lpwstr>
  </property>
  <property fmtid="{D5CDD505-2E9C-101B-9397-08002B2CF9AE}" pid="23" name="ICV">
    <vt:lpwstr>255EF004A4E9441AB140554C1528702F</vt:lpwstr>
  </property>
</Properties>
</file>