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50B74665"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7220E0" w:rsidRPr="007220E0">
        <w:rPr>
          <w:rFonts w:ascii="Arial" w:hAnsi="Arial"/>
          <w:b/>
          <w:sz w:val="24"/>
          <w:szCs w:val="24"/>
        </w:rPr>
        <w:t>R1-221076</w:t>
      </w:r>
      <w:r w:rsidR="00B71977">
        <w:rPr>
          <w:rFonts w:ascii="Arial" w:hAnsi="Arial"/>
          <w:b/>
          <w:sz w:val="24"/>
          <w:szCs w:val="24"/>
        </w:rPr>
        <w:t>7</w:t>
      </w:r>
    </w:p>
    <w:p w14:paraId="6FA070B8" w14:textId="54CED477" w:rsidR="00DA15BD" w:rsidRPr="005F7DE3" w:rsidRDefault="007E60E4" w:rsidP="00DA15BD">
      <w:pPr>
        <w:pStyle w:val="CRCoverPage"/>
        <w:outlineLvl w:val="0"/>
        <w:rPr>
          <w:b/>
          <w:bCs/>
          <w:noProof/>
          <w:sz w:val="24"/>
        </w:rPr>
      </w:pPr>
      <w:r w:rsidRPr="007E60E4">
        <w:rPr>
          <w:rFonts w:cs="Arial"/>
          <w:b/>
          <w:bCs/>
          <w:sz w:val="24"/>
          <w:szCs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21464D7"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B91C924" w:rsidR="00DA15BD" w:rsidRPr="00410371" w:rsidRDefault="00DA15BD" w:rsidP="007E0066">
            <w:pPr>
              <w:pStyle w:val="CRCoverPage"/>
              <w:spacing w:after="0"/>
              <w:jc w:val="right"/>
              <w:rPr>
                <w:b/>
                <w:noProof/>
                <w:sz w:val="28"/>
              </w:rPr>
            </w:pPr>
            <w:r w:rsidRPr="005F7DE3">
              <w:rPr>
                <w:b/>
                <w:noProof/>
                <w:sz w:val="28"/>
              </w:rPr>
              <w:t>38.21</w:t>
            </w:r>
            <w:r w:rsidR="007E0066">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73DC0D9" w:rsidR="00DA15BD" w:rsidRPr="001923D5" w:rsidRDefault="00B71977" w:rsidP="00D73FDB">
            <w:pPr>
              <w:pStyle w:val="CRCoverPage"/>
              <w:spacing w:after="0"/>
              <w:jc w:val="center"/>
              <w:rPr>
                <w:b/>
                <w:bCs/>
                <w:noProof/>
                <w:sz w:val="28"/>
                <w:szCs w:val="28"/>
              </w:rPr>
            </w:pPr>
            <w:r>
              <w:rPr>
                <w:b/>
                <w:bCs/>
                <w:noProof/>
                <w:sz w:val="28"/>
                <w:szCs w:val="28"/>
              </w:rPr>
              <w:t>0367</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26E9C94" w:rsidR="00DA15BD" w:rsidRDefault="007E60E4" w:rsidP="007E60E4">
            <w:pPr>
              <w:pStyle w:val="CRCoverPage"/>
              <w:spacing w:after="0"/>
              <w:ind w:left="100"/>
              <w:rPr>
                <w:noProof/>
              </w:rPr>
            </w:pPr>
            <w:r>
              <w:rPr>
                <w:lang w:eastAsia="ko-KR"/>
              </w:rPr>
              <w:t xml:space="preserve">Correction </w:t>
            </w:r>
            <w:r w:rsidR="007E0066">
              <w:rPr>
                <w:lang w:eastAsia="ko-KR"/>
              </w:rPr>
              <w:t>on DL PDSCH validity for multi-PDSCH scheduling via single DCI mTRP in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071C0FB0" w:rsidR="00DA15BD" w:rsidRDefault="0026392D" w:rsidP="007E0066">
            <w:pPr>
              <w:pStyle w:val="CRCoverPage"/>
              <w:spacing w:after="0"/>
              <w:ind w:left="100"/>
              <w:rPr>
                <w:noProof/>
              </w:rPr>
            </w:pPr>
            <w:r>
              <w:rPr>
                <w:noProof/>
              </w:rPr>
              <w:t>Moderator (</w:t>
            </w:r>
            <w:r w:rsidR="00201A75">
              <w:rPr>
                <w:noProof/>
              </w:rPr>
              <w:t>LG Electronics</w:t>
            </w:r>
            <w:r>
              <w:rPr>
                <w:noProof/>
              </w:rPr>
              <w:t xml:space="preserve">), </w:t>
            </w:r>
            <w:r w:rsidR="007E0066">
              <w:rPr>
                <w:noProof/>
              </w:rPr>
              <w:t>NTT DOCOMO</w:t>
            </w:r>
            <w:r w:rsidR="00B71977">
              <w:rPr>
                <w:noProof/>
              </w:rPr>
              <w:t>, Fujitsu</w:t>
            </w:r>
            <w:bookmarkStart w:id="10" w:name="_GoBack"/>
            <w:bookmarkEnd w:id="10"/>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C91C2" w14:textId="77777777" w:rsidR="007E60E4" w:rsidRDefault="007E0066" w:rsidP="008C7E90">
            <w:pPr>
              <w:pStyle w:val="CRCoverPage"/>
              <w:spacing w:after="0"/>
              <w:ind w:left="100"/>
              <w:rPr>
                <w:lang w:val="en-US" w:eastAsia="ko-KR"/>
              </w:rPr>
            </w:pPr>
            <w:r>
              <w:rPr>
                <w:lang w:val="en-US" w:eastAsia="ko-KR"/>
              </w:rPr>
              <w:t>RAN1 agreement below is not captured in current specification.</w:t>
            </w:r>
          </w:p>
          <w:p w14:paraId="29265870" w14:textId="77777777" w:rsidR="007E0066" w:rsidRDefault="007E0066" w:rsidP="008C7E90">
            <w:pPr>
              <w:pStyle w:val="CRCoverPage"/>
              <w:spacing w:after="0"/>
              <w:ind w:left="100"/>
              <w:rPr>
                <w:lang w:val="en-US" w:eastAsia="ko-KR"/>
              </w:rPr>
            </w:pPr>
          </w:p>
          <w:p w14:paraId="20D6D463" w14:textId="77777777" w:rsidR="007E0066" w:rsidRPr="007E0066" w:rsidRDefault="007E0066" w:rsidP="007E0066">
            <w:pPr>
              <w:spacing w:after="0"/>
              <w:rPr>
                <w:rFonts w:ascii="Times" w:eastAsia="바탕" w:hAnsi="Times"/>
                <w:b/>
                <w:iCs/>
                <w:szCs w:val="24"/>
                <w:lang w:eastAsia="zh-CN"/>
              </w:rPr>
            </w:pPr>
            <w:r w:rsidRPr="007E0066">
              <w:rPr>
                <w:rFonts w:ascii="Times" w:eastAsia="바탕" w:hAnsi="Times"/>
                <w:b/>
                <w:iCs/>
                <w:szCs w:val="24"/>
                <w:highlight w:val="green"/>
                <w:lang w:eastAsia="zh-CN"/>
              </w:rPr>
              <w:t>Agreement</w:t>
            </w:r>
            <w:r w:rsidRPr="007E0066">
              <w:rPr>
                <w:rFonts w:ascii="Times" w:eastAsia="바탕" w:hAnsi="Times"/>
                <w:b/>
                <w:iCs/>
                <w:szCs w:val="24"/>
                <w:lang w:eastAsia="zh-CN"/>
              </w:rPr>
              <w:t xml:space="preserve"> (RAN1#108-e)</w:t>
            </w:r>
          </w:p>
          <w:p w14:paraId="6C9EAC75" w14:textId="77777777" w:rsidR="007E0066" w:rsidRPr="007E0066" w:rsidRDefault="007E0066" w:rsidP="007E0066">
            <w:pPr>
              <w:spacing w:after="0"/>
              <w:rPr>
                <w:rFonts w:ascii="Times" w:eastAsia="바탕" w:hAnsi="Times"/>
                <w:bCs/>
                <w:iCs/>
                <w:szCs w:val="24"/>
              </w:rPr>
            </w:pPr>
            <w:r w:rsidRPr="007E0066">
              <w:rPr>
                <w:rFonts w:ascii="Times" w:eastAsia="바탕" w:hAnsi="Times"/>
                <w:bCs/>
                <w:iCs/>
                <w:szCs w:val="24"/>
              </w:rPr>
              <w:t xml:space="preserve">For multi-PDSCH scheduling via a single DCI with ‘tdmSchemeA’ </w:t>
            </w:r>
            <w:r w:rsidRPr="007E0066">
              <w:rPr>
                <w:rFonts w:eastAsia="Times New Roman"/>
                <w:szCs w:val="24"/>
              </w:rPr>
              <w:t>for single DCI based multi-TRP mechanism</w:t>
            </w:r>
            <w:r w:rsidRPr="007E0066">
              <w:rPr>
                <w:rFonts w:ascii="Times" w:eastAsia="바탕" w:hAnsi="Times"/>
                <w:bCs/>
                <w:iCs/>
                <w:szCs w:val="24"/>
              </w:rPr>
              <w:t>,</w:t>
            </w:r>
          </w:p>
          <w:p w14:paraId="1E4B042F" w14:textId="77777777" w:rsidR="007E0066" w:rsidRPr="007E0066" w:rsidRDefault="007E0066" w:rsidP="007E0066">
            <w:pPr>
              <w:numPr>
                <w:ilvl w:val="0"/>
                <w:numId w:val="28"/>
              </w:numPr>
              <w:spacing w:after="0" w:line="252" w:lineRule="auto"/>
              <w:contextualSpacing/>
              <w:jc w:val="both"/>
              <w:rPr>
                <w:rFonts w:eastAsia="굴림"/>
                <w:lang w:val="en-US" w:eastAsia="zh-CN"/>
              </w:rPr>
            </w:pPr>
            <w:r w:rsidRPr="007E0066">
              <w:rPr>
                <w:rFonts w:ascii="Times" w:eastAsia="바탕" w:hAnsi="Times"/>
                <w:szCs w:val="24"/>
                <w:lang w:eastAsia="ko-KR"/>
              </w:rPr>
              <w:t>If at least one of the repetitions of the PDSCH collides with semi-static UL symbols, the corresponding PDSCH (i.e., both repetitions) is considered as invalid.</w:t>
            </w:r>
          </w:p>
          <w:p w14:paraId="3EEC4655" w14:textId="77777777" w:rsidR="007E0066" w:rsidRPr="007E0066" w:rsidRDefault="007E0066" w:rsidP="007E0066">
            <w:pPr>
              <w:numPr>
                <w:ilvl w:val="1"/>
                <w:numId w:val="28"/>
              </w:numPr>
              <w:spacing w:after="0"/>
              <w:rPr>
                <w:lang w:val="en-US" w:eastAsia="zh-CN"/>
              </w:rPr>
            </w:pPr>
            <w:r w:rsidRPr="007E0066">
              <w:rPr>
                <w:lang w:val="en-US" w:eastAsia="zh-CN"/>
              </w:rPr>
              <w:t>Note: No specification impact on Type-1 HARQ-ACK codebook construction is expected, as a consequence of this agreement.</w:t>
            </w:r>
          </w:p>
          <w:p w14:paraId="0952FAC2" w14:textId="77777777" w:rsidR="007E0066" w:rsidRPr="007E0066" w:rsidRDefault="007E0066" w:rsidP="007E0066">
            <w:pPr>
              <w:numPr>
                <w:ilvl w:val="1"/>
                <w:numId w:val="28"/>
              </w:numPr>
              <w:spacing w:after="0"/>
              <w:rPr>
                <w:lang w:val="en-US" w:eastAsia="zh-CN"/>
              </w:rPr>
            </w:pPr>
            <w:r w:rsidRPr="007E0066">
              <w:rPr>
                <w:lang w:val="en-US" w:eastAsia="zh-CN"/>
              </w:rPr>
              <w:t>Note: This is not applied for the case when the multi-PDSCH DCI schedules only a single PDSCH.</w:t>
            </w:r>
          </w:p>
          <w:p w14:paraId="6F0D0F66" w14:textId="7620DF1F" w:rsidR="007E0066" w:rsidRDefault="007E0066"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110B616"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644BEDEC" w:rsidR="007E60E4" w:rsidRPr="0026392D" w:rsidRDefault="007E0066" w:rsidP="0026392D">
            <w:pPr>
              <w:pStyle w:val="CRCoverPage"/>
              <w:spacing w:after="0"/>
              <w:ind w:left="100"/>
              <w:rPr>
                <w:rFonts w:eastAsia="바탕"/>
                <w:iCs/>
                <w:sz w:val="22"/>
                <w:szCs w:val="22"/>
                <w:lang w:eastAsia="ko-KR"/>
              </w:rPr>
            </w:pPr>
            <w:r>
              <w:rPr>
                <w:lang w:eastAsia="ja-JP"/>
              </w:rPr>
              <w:t>Clarify that for multi-PDSCH scheduling via single DCI mTRP with ‘tdmSchemeA’, a PDSCH is invalid if any PDSCH occasion of the PDSCH overlaps with UL symbol.</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4B547E0D" w:rsidR="00DA15BD" w:rsidRDefault="007E0066" w:rsidP="008C7E90">
            <w:pPr>
              <w:pStyle w:val="CRCoverPage"/>
              <w:spacing w:after="0"/>
              <w:ind w:left="100"/>
              <w:rPr>
                <w:noProof/>
              </w:rPr>
            </w:pPr>
            <w:r>
              <w:t>Incomplete support for NR in FR2-2</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53B4468" w:rsidR="00167A0B" w:rsidRDefault="007E0066" w:rsidP="0026392D">
            <w:pPr>
              <w:pStyle w:val="CRCoverPage"/>
              <w:spacing w:after="0"/>
              <w:ind w:left="100"/>
              <w:rPr>
                <w:noProof/>
              </w:rPr>
            </w:pPr>
            <w:r>
              <w:rPr>
                <w:noProof/>
              </w:rPr>
              <w:t>5</w:t>
            </w:r>
            <w:r w:rsidR="00D1325D">
              <w:rPr>
                <w:noProof/>
              </w:rPr>
              <w:t>.1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3C9A5B58" w14:textId="77777777" w:rsidR="007E0066" w:rsidRDefault="007E0066" w:rsidP="007E0066">
      <w:pPr>
        <w:keepNext/>
        <w:keepLines/>
        <w:spacing w:before="120"/>
        <w:ind w:left="1701" w:hanging="1701"/>
        <w:outlineLvl w:val="4"/>
        <w:rPr>
          <w:rFonts w:ascii="Arial" w:hAnsi="Arial"/>
          <w:sz w:val="22"/>
          <w:lang w:eastAsia="zh-CN"/>
        </w:rPr>
      </w:pPr>
      <w:r>
        <w:rPr>
          <w:rFonts w:ascii="Arial" w:hAnsi="Arial"/>
          <w:sz w:val="22"/>
          <w:lang w:eastAsia="zh-CN"/>
        </w:rPr>
        <w:lastRenderedPageBreak/>
        <w:t>5.1</w:t>
      </w:r>
      <w:r>
        <w:rPr>
          <w:rFonts w:ascii="Arial" w:hAnsi="Arial"/>
          <w:sz w:val="22"/>
          <w:lang w:eastAsia="zh-CN"/>
        </w:rPr>
        <w:tab/>
        <w:t>UE procedure for receiving the physical downlink shared channel</w:t>
      </w:r>
    </w:p>
    <w:p w14:paraId="08AF0BB3" w14:textId="77777777" w:rsidR="007E0066" w:rsidRDefault="007E0066" w:rsidP="007E0066"/>
    <w:p w14:paraId="3E608581" w14:textId="77777777" w:rsidR="007E0066" w:rsidRPr="0048482F" w:rsidRDefault="007E0066" w:rsidP="007E0066">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21"/>
    <w:p w14:paraId="17EE778A" w14:textId="77777777" w:rsidR="007E0066" w:rsidRPr="0048482F" w:rsidRDefault="007E0066" w:rsidP="007E0066">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맑은 고딕"/>
          <w:i/>
          <w:lang w:eastAsia="ko-KR"/>
        </w:rPr>
        <w:t>nrofHARQ-ProcessesForPDSCH</w:t>
      </w:r>
      <w:r>
        <w:rPr>
          <w:rFonts w:eastAsia="맑은 고딕"/>
          <w:lang w:eastAsia="ko-KR"/>
        </w:rPr>
        <w:t xml:space="preserve"> is provided, or</w:t>
      </w:r>
      <w:r>
        <w:rPr>
          <w:rFonts w:eastAsia="맑은 고딕" w:hint="eastAsia"/>
          <w:lang w:eastAsia="ko-KR"/>
        </w:rPr>
        <w:t xml:space="preserve"> </w:t>
      </w:r>
      <w:r>
        <w:rPr>
          <w:rFonts w:eastAsia="맑은 고딕"/>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ins w:id="22" w:author="Seonwook Kim2" w:date="2022-10-18T13:49:00Z">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ins>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9CA2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5pt" o:ole="">
            <v:imagedata r:id="rId12" o:title=""/>
          </v:shape>
          <o:OLEObject Type="Embed" ProgID="Equation.DSMT4" ShapeID="_x0000_i1025" DrawAspect="Content" ObjectID="_1727713826" r:id="rId13"/>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=6</w:t>
      </w:r>
      <w:r w:rsidRPr="00703FBE">
        <w:t>.</w:t>
      </w:r>
    </w:p>
    <w:p w14:paraId="326C9C29" w14:textId="77777777" w:rsidR="007E0066" w:rsidRDefault="007E0066" w:rsidP="007E0066">
      <w:pPr>
        <w:jc w:val="center"/>
        <w:rPr>
          <w:color w:val="000000"/>
        </w:rPr>
      </w:pPr>
      <w:r>
        <w:rPr>
          <w:b/>
          <w:color w:val="FF0000"/>
          <w:sz w:val="24"/>
        </w:rPr>
        <w:t>&lt;Unchanged parts omitted&gt;</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DF84D" w14:textId="77777777" w:rsidR="00EE0DA3" w:rsidRDefault="00EE0DA3">
      <w:r>
        <w:separator/>
      </w:r>
    </w:p>
    <w:p w14:paraId="731BA086" w14:textId="77777777" w:rsidR="00EE0DA3" w:rsidRDefault="00EE0DA3"/>
  </w:endnote>
  <w:endnote w:type="continuationSeparator" w:id="0">
    <w:p w14:paraId="03CAE190" w14:textId="77777777" w:rsidR="00EE0DA3" w:rsidRDefault="00EE0DA3">
      <w:r>
        <w:continuationSeparator/>
      </w:r>
    </w:p>
    <w:p w14:paraId="193BF3C8" w14:textId="77777777" w:rsidR="00EE0DA3" w:rsidRDefault="00EE0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6ACE5" w14:textId="77777777" w:rsidR="00EE0DA3" w:rsidRDefault="00EE0DA3">
      <w:r>
        <w:separator/>
      </w:r>
    </w:p>
    <w:p w14:paraId="15D3A709" w14:textId="77777777" w:rsidR="00EE0DA3" w:rsidRDefault="00EE0DA3"/>
  </w:footnote>
  <w:footnote w:type="continuationSeparator" w:id="0">
    <w:p w14:paraId="024B9A29" w14:textId="77777777" w:rsidR="00EE0DA3" w:rsidRDefault="00EE0DA3">
      <w:r>
        <w:continuationSeparator/>
      </w:r>
    </w:p>
    <w:p w14:paraId="2965BED5" w14:textId="77777777" w:rsidR="00EE0DA3" w:rsidRDefault="00EE0DA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19"/>
  </w:num>
  <w:num w:numId="4">
    <w:abstractNumId w:val="16"/>
  </w:num>
  <w:num w:numId="5">
    <w:abstractNumId w:val="4"/>
  </w:num>
  <w:num w:numId="6">
    <w:abstractNumId w:val="24"/>
  </w:num>
  <w:num w:numId="7">
    <w:abstractNumId w:val="12"/>
  </w:num>
  <w:num w:numId="8">
    <w:abstractNumId w:val="22"/>
  </w:num>
  <w:num w:numId="9">
    <w:abstractNumId w:val="17"/>
  </w:num>
  <w:num w:numId="10">
    <w:abstractNumId w:val="6"/>
  </w:num>
  <w:num w:numId="11">
    <w:abstractNumId w:val="1"/>
  </w:num>
  <w:num w:numId="12">
    <w:abstractNumId w:val="3"/>
  </w:num>
  <w:num w:numId="13">
    <w:abstractNumId w:val="23"/>
  </w:num>
  <w:num w:numId="14">
    <w:abstractNumId w:val="0"/>
  </w:num>
  <w:num w:numId="15">
    <w:abstractNumId w:val="20"/>
  </w:num>
  <w:num w:numId="16">
    <w:abstractNumId w:val="21"/>
  </w:num>
  <w:num w:numId="17">
    <w:abstractNumId w:val="26"/>
  </w:num>
  <w:num w:numId="18">
    <w:abstractNumId w:val="7"/>
  </w:num>
  <w:num w:numId="19">
    <w:abstractNumId w:val="15"/>
  </w:num>
  <w:num w:numId="20">
    <w:abstractNumId w:val="11"/>
  </w:num>
  <w:num w:numId="21">
    <w:abstractNumId w:val="8"/>
  </w:num>
  <w:num w:numId="22">
    <w:abstractNumId w:val="5"/>
  </w:num>
  <w:num w:numId="23">
    <w:abstractNumId w:val="13"/>
  </w:num>
  <w:num w:numId="24">
    <w:abstractNumId w:val="2"/>
  </w:num>
  <w:num w:numId="25">
    <w:abstractNumId w:val="25"/>
  </w:num>
  <w:num w:numId="26">
    <w:abstractNumId w:val="9"/>
  </w:num>
  <w:num w:numId="27">
    <w:abstractNumId w:val="14"/>
  </w:num>
  <w:num w:numId="28">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9B2"/>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0E0"/>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066"/>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93"/>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1977"/>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DA3"/>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12120-9E38-4ED5-957B-4A4122DB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1203</Words>
  <Characters>6858</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8045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21</cp:revision>
  <dcterms:created xsi:type="dcterms:W3CDTF">2022-08-12T07:38:00Z</dcterms:created>
  <dcterms:modified xsi:type="dcterms:W3CDTF">2022-10-19T10:44:00Z</dcterms:modified>
</cp:coreProperties>
</file>