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#97</w:t>
      </w:r>
      <w:r>
        <w:rPr>
          <w:b/>
          <w:i/>
          <w:sz w:val="28"/>
        </w:rPr>
        <w:tab/>
      </w:r>
      <w:r>
        <w:rPr>
          <w:b/>
          <w:i/>
          <w:sz w:val="28"/>
        </w:rPr>
        <w:t>R5-226882</w:t>
      </w:r>
    </w:p>
    <w:p>
      <w:pPr>
        <w:pStyle w:val="82"/>
        <w:outlineLvl w:val="0"/>
        <w:rPr>
          <w:b/>
          <w:sz w:val="24"/>
        </w:rPr>
      </w:pPr>
      <w:r>
        <w:rPr>
          <w:b/>
          <w:sz w:val="24"/>
        </w:rPr>
        <w:t>Toulouse,</w:t>
      </w:r>
      <w:r>
        <w:fldChar w:fldCharType="begin"/>
      </w:r>
      <w:r>
        <w:instrText xml:space="preserve"> DOCPROPERTY  Country  \* MERGEFORMAT </w:instrText>
      </w:r>
      <w: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14th Nov 2022</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18th Nov 2022</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4</w:t>
            </w:r>
            <w:r>
              <w:rPr>
                <w:b/>
                <w:sz w:val="28"/>
              </w:rPr>
              <w:t>.</w:t>
            </w:r>
            <w:r>
              <w:rPr>
                <w:rFonts w:hint="eastAsia"/>
                <w:b/>
                <w:sz w:val="28"/>
                <w:lang w:val="en-US" w:eastAsia="zh-CN"/>
              </w:rPr>
              <w:t>229</w:t>
            </w:r>
            <w:r>
              <w:rPr>
                <w:b/>
                <w:sz w:val="28"/>
              </w:rPr>
              <w:t>-</w:t>
            </w:r>
            <w:r>
              <w:rPr>
                <w:rFonts w:hint="eastAsia"/>
                <w:b/>
                <w:sz w:val="28"/>
                <w:lang w:val="en-US" w:eastAsia="zh-CN"/>
              </w:rPr>
              <w:t>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b/>
                <w:sz w:val="28"/>
                <w:lang w:val="en-US" w:eastAsia="zh-CN"/>
              </w:rPr>
              <w:t>1511</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16.</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t xml:space="preserve">Update of test case </w:t>
            </w:r>
            <w:r>
              <w:rPr>
                <w:rFonts w:hint="eastAsia"/>
                <w:lang w:val="en-US" w:eastAsia="zh-CN"/>
              </w:rPr>
              <w:t>15.30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 xml:space="preserve">Starpoint, </w:t>
            </w:r>
            <w:bookmarkStart w:id="55" w:name="_GoBack"/>
            <w:bookmarkEnd w:id="55"/>
            <w:r>
              <w:rPr>
                <w:rFonts w:hint="eastAsia"/>
                <w:lang w:val="en-US" w:eastAsia="zh-CN"/>
              </w:rPr>
              <w:t>TDIA</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TEI15_Test, 5GS_NR_LTE-UEConTest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2022-11-04</w:t>
            </w:r>
            <w:r>
              <w:fldChar w:fldCharType="end"/>
            </w:r>
          </w:p>
        </w:tc>
      </w:tr>
      <w:t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lang w:val="en-US" w:eastAsia="zh-CN"/>
              </w:rPr>
              <w:t>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rPr>
                <w:rFonts w:hint="eastAsia" w:eastAsiaTheme="minorEastAsia"/>
                <w:lang w:val="en-US" w:eastAsia="zh-CN"/>
              </w:rPr>
            </w:pPr>
            <w:r>
              <w:rPr>
                <w:rFonts w:hint="eastAsia" w:cs="Arial"/>
                <w:lang w:val="en-US" w:eastAsia="zh-CN"/>
              </w:rPr>
              <w:t>TS</w:t>
            </w:r>
            <w:r>
              <w:rPr>
                <w:rFonts w:cs="Arial"/>
                <w:lang w:val="en-US" w:eastAsia="ja-JP"/>
              </w:rPr>
              <w:t>34.229</w:t>
            </w:r>
            <w:r>
              <w:rPr>
                <w:rFonts w:hint="eastAsia" w:cs="Arial"/>
                <w:lang w:val="en-US" w:eastAsia="zh-CN"/>
              </w:rPr>
              <w:t xml:space="preserve">-1 </w:t>
            </w:r>
            <w:r>
              <w:t>A.2.1</w:t>
            </w:r>
            <w:r>
              <w:rPr>
                <w:rFonts w:cs="Arial"/>
                <w:lang w:val="en-US" w:eastAsia="ja-JP"/>
              </w:rPr>
              <w:t xml:space="preserve"> explicitly clarifies for condition A4 (INVITE creating a dialog) of the INVITE for MO Call Setup (A.2.1) that "additional medias can be added in any order"</w:t>
            </w:r>
            <w:r>
              <w:rPr>
                <w:rFonts w:hint="eastAsia"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
              <w:rPr>
                <w:rFonts w:hint="default"/>
                <w:lang w:val="en-US"/>
              </w:rPr>
            </w:pPr>
            <w:r>
              <w:rPr>
                <w:rFonts w:hint="eastAsia" w:cs="Arial"/>
                <w:lang w:val="en-US" w:eastAsia="zh-CN"/>
              </w:rPr>
              <w:t xml:space="preserve">Add </w:t>
            </w:r>
            <w:r>
              <w:rPr>
                <w:rFonts w:cs="Arial"/>
                <w:lang w:val="en-US" w:eastAsia="ja-JP"/>
              </w:rPr>
              <w:t xml:space="preserve">the same clarification </w:t>
            </w:r>
            <w:r>
              <w:rPr>
                <w:rFonts w:hint="eastAsia" w:cs="Arial"/>
                <w:lang w:val="en-US" w:eastAsia="zh-CN"/>
              </w:rPr>
              <w:t>in</w:t>
            </w:r>
            <w:r>
              <w:rPr>
                <w:rFonts w:cs="Arial"/>
                <w:lang w:val="en-US" w:eastAsia="ja-JP"/>
              </w:rPr>
              <w:t xml:space="preserve"> </w:t>
            </w:r>
            <w:r>
              <w:rPr>
                <w:lang w:eastAsia="en-US"/>
              </w:rPr>
              <w:t>Specific Message Contents</w:t>
            </w:r>
            <w:r>
              <w:rPr>
                <w:rFonts w:hint="eastAsia"/>
                <w:lang w:val="en-US" w:eastAsia="zh-CN"/>
              </w:rPr>
              <w:t xml:space="preserve"> for </w:t>
            </w:r>
            <w:r>
              <w:rPr>
                <w:snapToGrid w:val="0"/>
                <w:lang w:eastAsia="en-US"/>
              </w:rPr>
              <w:t>INVITE (Step 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pPr>
            <w:r>
              <w:rPr>
                <w:lang w:eastAsia="zh-CN"/>
              </w:rPr>
              <w:t>Conformant UE may fail the test.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rPr>
                <w:rFonts w:hint="default" w:eastAsiaTheme="minorEastAsia"/>
                <w:lang w:val="en-US" w:eastAsia="zh-CN"/>
              </w:rPr>
            </w:pPr>
            <w:r>
              <w:rPr>
                <w:rFonts w:hint="eastAsia"/>
                <w:lang w:val="en-US" w:eastAsia="zh-CN"/>
              </w:rPr>
              <w:t>15.30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
        <w:ind w:left="0" w:firstLine="0"/>
      </w:pPr>
      <w:r>
        <w:rPr>
          <w:b/>
          <w:color w:val="00B0F0"/>
        </w:rPr>
        <w:t>&lt;Start of modified section 1&gt;</w:t>
      </w:r>
    </w:p>
    <w:p>
      <w:pPr>
        <w:pStyle w:val="3"/>
        <w:rPr>
          <w:lang w:eastAsia="en-US"/>
        </w:rPr>
      </w:pPr>
      <w:bookmarkStart w:id="1" w:name="_Toc68192951"/>
      <w:bookmarkStart w:id="2" w:name="_Toc35972178"/>
      <w:bookmarkStart w:id="3" w:name="_Toc51774467"/>
      <w:bookmarkStart w:id="4" w:name="_Toc51834890"/>
      <w:bookmarkStart w:id="5" w:name="_Toc90571968"/>
      <w:bookmarkStart w:id="6" w:name="_Toc21077626"/>
      <w:bookmarkStart w:id="7" w:name="_Toc75421926"/>
      <w:bookmarkStart w:id="8" w:name="_Toc52219743"/>
      <w:bookmarkStart w:id="9" w:name="_Toc58359812"/>
      <w:r>
        <w:rPr>
          <w:lang w:eastAsia="en-US"/>
        </w:rPr>
        <w:t>15.30</w:t>
      </w:r>
      <w:r>
        <w:rPr>
          <w:lang w:eastAsia="en-US"/>
        </w:rPr>
        <w:tab/>
      </w:r>
      <w:r>
        <w:rPr>
          <w:lang w:eastAsia="en-US"/>
        </w:rPr>
        <w:t>User initiated USSI</w:t>
      </w:r>
      <w:bookmarkEnd w:id="1"/>
      <w:bookmarkEnd w:id="2"/>
      <w:bookmarkEnd w:id="3"/>
      <w:bookmarkEnd w:id="4"/>
      <w:bookmarkEnd w:id="5"/>
      <w:bookmarkEnd w:id="6"/>
      <w:bookmarkEnd w:id="7"/>
      <w:bookmarkEnd w:id="8"/>
      <w:bookmarkEnd w:id="9"/>
    </w:p>
    <w:p>
      <w:pPr>
        <w:pStyle w:val="4"/>
        <w:rPr>
          <w:snapToGrid w:val="0"/>
          <w:lang w:eastAsia="en-US"/>
        </w:rPr>
      </w:pPr>
      <w:bookmarkStart w:id="10" w:name="_Toc58359813"/>
      <w:bookmarkStart w:id="11" w:name="_Toc51774468"/>
      <w:bookmarkStart w:id="12" w:name="_Toc51834891"/>
      <w:bookmarkStart w:id="13" w:name="_Toc21077627"/>
      <w:bookmarkStart w:id="14" w:name="_Toc75421927"/>
      <w:bookmarkStart w:id="15" w:name="_Toc68192952"/>
      <w:bookmarkStart w:id="16" w:name="_Toc52219744"/>
      <w:bookmarkStart w:id="17" w:name="_Toc35972179"/>
      <w:bookmarkStart w:id="18" w:name="_Toc90571969"/>
      <w:r>
        <w:rPr>
          <w:lang w:eastAsia="en-US"/>
        </w:rPr>
        <w:t>15.30.1</w:t>
      </w:r>
      <w:r>
        <w:rPr>
          <w:lang w:eastAsia="en-US"/>
        </w:rPr>
        <w:tab/>
      </w:r>
      <w:r>
        <w:rPr>
          <w:lang w:eastAsia="en-US"/>
        </w:rPr>
        <w:t>Definition</w:t>
      </w:r>
      <w:bookmarkEnd w:id="10"/>
      <w:bookmarkEnd w:id="11"/>
      <w:bookmarkEnd w:id="12"/>
      <w:bookmarkEnd w:id="13"/>
      <w:bookmarkEnd w:id="14"/>
      <w:bookmarkEnd w:id="15"/>
      <w:bookmarkEnd w:id="16"/>
      <w:bookmarkEnd w:id="17"/>
      <w:bookmarkEnd w:id="18"/>
    </w:p>
    <w:p>
      <w:pPr>
        <w:overflowPunct/>
        <w:autoSpaceDE/>
        <w:autoSpaceDN/>
        <w:adjustRightInd/>
        <w:textAlignment w:val="auto"/>
        <w:rPr>
          <w:lang w:eastAsia="en-US"/>
        </w:rPr>
      </w:pPr>
      <w:r>
        <w:rPr>
          <w:snapToGrid w:val="0"/>
          <w:lang w:eastAsia="en-US"/>
        </w:rPr>
        <w:t>Test to verify that the UE correctly performs user initiated USSI. This process is described in 3GPP T</w:t>
      </w:r>
      <w:r>
        <w:rPr>
          <w:lang w:eastAsia="en-US"/>
        </w:rPr>
        <w:t xml:space="preserve">S 24.390 [152], clauses 4.5. </w:t>
      </w:r>
    </w:p>
    <w:p>
      <w:pPr>
        <w:pStyle w:val="4"/>
        <w:rPr>
          <w:lang w:eastAsia="en-US"/>
        </w:rPr>
      </w:pPr>
      <w:bookmarkStart w:id="19" w:name="_Toc58359814"/>
      <w:bookmarkStart w:id="20" w:name="_Toc68192953"/>
      <w:bookmarkStart w:id="21" w:name="_Toc51774469"/>
      <w:bookmarkStart w:id="22" w:name="_Toc51834892"/>
      <w:bookmarkStart w:id="23" w:name="_Toc52219745"/>
      <w:bookmarkStart w:id="24" w:name="_Toc75421928"/>
      <w:bookmarkStart w:id="25" w:name="_Toc90571970"/>
      <w:bookmarkStart w:id="26" w:name="_Toc21077628"/>
      <w:bookmarkStart w:id="27" w:name="_Toc35972180"/>
      <w:r>
        <w:rPr>
          <w:lang w:eastAsia="en-US"/>
        </w:rPr>
        <w:t>15.30.2</w:t>
      </w:r>
      <w:r>
        <w:rPr>
          <w:lang w:eastAsia="en-US"/>
        </w:rPr>
        <w:tab/>
      </w:r>
      <w:r>
        <w:rPr>
          <w:lang w:eastAsia="en-US"/>
        </w:rPr>
        <w:t>Conformance requirement</w:t>
      </w:r>
      <w:bookmarkEnd w:id="19"/>
      <w:bookmarkEnd w:id="20"/>
      <w:bookmarkEnd w:id="21"/>
      <w:bookmarkEnd w:id="22"/>
      <w:bookmarkEnd w:id="23"/>
      <w:bookmarkEnd w:id="24"/>
      <w:bookmarkEnd w:id="25"/>
      <w:bookmarkEnd w:id="26"/>
      <w:bookmarkEnd w:id="27"/>
    </w:p>
    <w:p>
      <w:pPr>
        <w:overflowPunct/>
        <w:autoSpaceDE/>
        <w:autoSpaceDN/>
        <w:adjustRightInd/>
        <w:textAlignment w:val="auto"/>
        <w:rPr>
          <w:lang w:eastAsia="en-US"/>
        </w:rPr>
      </w:pPr>
      <w:r>
        <w:rPr>
          <w:lang w:eastAsia="en-US"/>
        </w:rPr>
        <w:t xml:space="preserve">[TS 24.390, clause 4.5.1]: </w:t>
      </w:r>
    </w:p>
    <w:p>
      <w:pPr>
        <w:overflowPunct/>
        <w:autoSpaceDE/>
        <w:autoSpaceDN/>
        <w:adjustRightInd/>
        <w:textAlignment w:val="auto"/>
        <w:rPr>
          <w:lang w:eastAsia="zh-CN"/>
        </w:rPr>
      </w:pPr>
      <w:r>
        <w:rPr>
          <w:lang w:eastAsia="en-US"/>
        </w:rPr>
        <w:t xml:space="preserve">In the IM CN subsystem USSD messages can be transported in SIP INFO requests, SIP INVITE requests and SIP BYE requests, using a </w:t>
      </w:r>
      <w:r>
        <w:rPr>
          <w:lang w:eastAsia="zh-CN"/>
        </w:rPr>
        <w:t>application/</w:t>
      </w:r>
      <w:r>
        <w:rPr>
          <w:lang w:eastAsia="en-US"/>
        </w:rPr>
        <w:t>vnd.3gpp.ussd+xml MIME</w:t>
      </w:r>
      <w:r>
        <w:rPr>
          <w:lang w:eastAsia="zh-CN"/>
        </w:rPr>
        <w:t xml:space="preserve"> body.</w:t>
      </w:r>
    </w:p>
    <w:p>
      <w:pPr>
        <w:overflowPunct/>
        <w:autoSpaceDE/>
        <w:autoSpaceDN/>
        <w:adjustRightInd/>
        <w:textAlignment w:val="auto"/>
        <w:rPr>
          <w:lang w:eastAsia="en-US"/>
        </w:rPr>
      </w:pPr>
      <w:r>
        <w:rPr>
          <w:lang w:eastAsia="en-US"/>
        </w:rPr>
        <w:t>Figure 4.1, figure 4.2, figure 4.3 and figure 4.4 give an overview of the supported USSD operations:</w:t>
      </w:r>
    </w:p>
    <w:p>
      <w:pPr>
        <w:keepNext/>
        <w:keepLines/>
        <w:tabs>
          <w:tab w:val="left" w:pos="8352"/>
        </w:tabs>
        <w:overflowPunct/>
        <w:autoSpaceDE/>
        <w:autoSpaceDN/>
        <w:adjustRightInd/>
        <w:spacing w:after="0"/>
        <w:jc w:val="center"/>
        <w:textAlignment w:val="auto"/>
        <w:rPr>
          <w:lang w:eastAsia="en-US"/>
        </w:rPr>
      </w:pPr>
      <w:r>
        <w:rPr>
          <w:lang w:eastAsia="en-US"/>
        </w:rPr>
        <w:t>UE</w:t>
      </w:r>
      <w:r>
        <w:rPr>
          <w:lang w:eastAsia="en-US"/>
        </w:rPr>
        <w:tab/>
      </w:r>
      <w:r>
        <w:rPr>
          <w:lang w:eastAsia="en-US"/>
        </w:rPr>
        <w:t>USSI AS</w:t>
      </w:r>
    </w:p>
    <w:p>
      <w:pPr>
        <w:keepNext/>
        <w:keepLines/>
        <w:tabs>
          <w:tab w:val="left" w:pos="720"/>
          <w:tab w:val="right" w:leader="hyphen" w:pos="9360"/>
        </w:tabs>
        <w:overflowPunct/>
        <w:autoSpaceDE/>
        <w:autoSpaceDN/>
        <w:adjustRightInd/>
        <w:spacing w:after="0"/>
        <w:jc w:val="center"/>
        <w:textAlignment w:val="auto"/>
        <w:rPr>
          <w:lang w:eastAsia="en-US"/>
        </w:rPr>
      </w:pPr>
      <w:r>
        <w:rPr>
          <w:lang w:eastAsia="en-US"/>
        </w:rPr>
        <w:t>INVITE</w:t>
      </w:r>
    </w:p>
    <w:p>
      <w:pPr>
        <w:keepNext/>
        <w:keepLines/>
        <w:overflowPunct/>
        <w:autoSpaceDE/>
        <w:autoSpaceDN/>
        <w:adjustRightInd/>
        <w:spacing w:after="0"/>
        <w:jc w:val="center"/>
        <w:textAlignment w:val="auto"/>
        <w:rPr>
          <w:lang w:eastAsia="en-US"/>
        </w:rPr>
      </w:pPr>
      <w:r>
        <w:rPr>
          <w:lang w:eastAsia="en-US"/>
        </w:rPr>
        <w:t>------------------------------------------------------------------------------------------------------------------------&gt;</w:t>
      </w:r>
    </w:p>
    <w:p>
      <w:pPr>
        <w:keepNext/>
        <w:keepLines/>
        <w:tabs>
          <w:tab w:val="left" w:pos="720"/>
          <w:tab w:val="left" w:pos="1440"/>
          <w:tab w:val="left" w:pos="2160"/>
        </w:tabs>
        <w:overflowPunct/>
        <w:autoSpaceDE/>
        <w:autoSpaceDN/>
        <w:adjustRightInd/>
        <w:spacing w:after="0"/>
        <w:jc w:val="center"/>
        <w:textAlignment w:val="auto"/>
        <w:rPr>
          <w:lang w:eastAsia="en-US"/>
        </w:rPr>
      </w:pPr>
      <w:r>
        <w:rPr>
          <w:lang w:eastAsia="en-US"/>
        </w:rPr>
        <w:t xml:space="preserve"> language, ussd-String</w:t>
      </w:r>
    </w:p>
    <w:p>
      <w:pPr>
        <w:keepNext/>
        <w:keepLines/>
        <w:tabs>
          <w:tab w:val="left" w:pos="720"/>
          <w:tab w:val="right" w:leader="hyphen" w:pos="9360"/>
        </w:tabs>
        <w:overflowPunct/>
        <w:autoSpaceDE/>
        <w:autoSpaceDN/>
        <w:adjustRightInd/>
        <w:spacing w:after="0"/>
        <w:jc w:val="center"/>
        <w:textAlignment w:val="auto"/>
        <w:rPr>
          <w:lang w:eastAsia="en-US"/>
        </w:rPr>
      </w:pPr>
    </w:p>
    <w:p>
      <w:pPr>
        <w:keepNext/>
        <w:keepLines/>
        <w:tabs>
          <w:tab w:val="left" w:pos="720"/>
          <w:tab w:val="right" w:leader="hyphen" w:pos="9360"/>
        </w:tabs>
        <w:overflowPunct/>
        <w:autoSpaceDE/>
        <w:autoSpaceDN/>
        <w:adjustRightInd/>
        <w:spacing w:after="0"/>
        <w:jc w:val="center"/>
        <w:textAlignment w:val="auto"/>
        <w:rPr>
          <w:lang w:eastAsia="en-US"/>
        </w:rPr>
      </w:pPr>
      <w:r>
        <w:rPr>
          <w:lang w:eastAsia="en-US"/>
        </w:rPr>
        <w:t>BYE</w:t>
      </w:r>
    </w:p>
    <w:p>
      <w:pPr>
        <w:keepNext/>
        <w:keepLines/>
        <w:overflowPunct/>
        <w:autoSpaceDE/>
        <w:autoSpaceDN/>
        <w:adjustRightInd/>
        <w:spacing w:after="0"/>
        <w:jc w:val="center"/>
        <w:textAlignment w:val="auto"/>
        <w:rPr>
          <w:lang w:eastAsia="en-US"/>
        </w:rPr>
      </w:pPr>
      <w:r>
        <w:rPr>
          <w:lang w:eastAsia="en-US"/>
        </w:rPr>
        <w:t>&lt;------------------------------------------------------------------------------------------------------------------------</w:t>
      </w:r>
    </w:p>
    <w:p>
      <w:pPr>
        <w:keepNext/>
        <w:keepLines/>
        <w:tabs>
          <w:tab w:val="left" w:pos="720"/>
          <w:tab w:val="left" w:pos="1440"/>
          <w:tab w:val="left" w:pos="2160"/>
        </w:tabs>
        <w:overflowPunct/>
        <w:autoSpaceDE/>
        <w:autoSpaceDN/>
        <w:adjustRightInd/>
        <w:spacing w:after="0"/>
        <w:jc w:val="center"/>
        <w:textAlignment w:val="auto"/>
        <w:rPr>
          <w:lang w:eastAsia="en-US"/>
        </w:rPr>
      </w:pPr>
      <w:r>
        <w:rPr>
          <w:lang w:eastAsia="en-US"/>
        </w:rPr>
        <w:t>language, ussd-String</w:t>
      </w:r>
    </w:p>
    <w:p>
      <w:pPr>
        <w:keepNext/>
        <w:keepLines/>
        <w:tabs>
          <w:tab w:val="left" w:pos="720"/>
          <w:tab w:val="right" w:leader="hyphen" w:pos="9360"/>
        </w:tabs>
        <w:overflowPunct/>
        <w:autoSpaceDE/>
        <w:autoSpaceDN/>
        <w:adjustRightInd/>
        <w:spacing w:after="0"/>
        <w:jc w:val="center"/>
        <w:textAlignment w:val="auto"/>
        <w:rPr>
          <w:lang w:eastAsia="en-US"/>
        </w:rPr>
      </w:pPr>
    </w:p>
    <w:p>
      <w:pPr>
        <w:keepNext/>
        <w:keepLines/>
        <w:tabs>
          <w:tab w:val="left" w:pos="720"/>
          <w:tab w:val="right" w:leader="hyphen" w:pos="9360"/>
        </w:tabs>
        <w:overflowPunct/>
        <w:autoSpaceDE/>
        <w:autoSpaceDN/>
        <w:adjustRightInd/>
        <w:spacing w:after="0"/>
        <w:jc w:val="center"/>
        <w:textAlignment w:val="auto"/>
        <w:rPr>
          <w:lang w:eastAsia="en-US"/>
        </w:rPr>
      </w:pPr>
      <w:r>
        <w:rPr>
          <w:lang w:eastAsia="en-US"/>
        </w:rPr>
        <w:t>BYE</w:t>
      </w:r>
    </w:p>
    <w:p>
      <w:pPr>
        <w:keepNext/>
        <w:keepLines/>
        <w:overflowPunct/>
        <w:autoSpaceDE/>
        <w:autoSpaceDN/>
        <w:adjustRightInd/>
        <w:spacing w:after="0"/>
        <w:jc w:val="center"/>
        <w:textAlignment w:val="auto"/>
        <w:rPr>
          <w:lang w:eastAsia="en-US"/>
        </w:rPr>
      </w:pPr>
      <w:r>
        <w:rPr>
          <w:lang w:eastAsia="en-US"/>
        </w:rPr>
        <w:t>&lt;-  -  -  -  -  -  -  -  -  -  -  -  -  -  -  -  -  -  -  -  -  -  -  -  -  -  -  -  -  -  -  -  -  -  -  -  -  -  -  -  -  -  -  -  -  -  -  -</w:t>
      </w:r>
    </w:p>
    <w:p>
      <w:pPr>
        <w:keepNext/>
        <w:keepLines/>
        <w:tabs>
          <w:tab w:val="left" w:pos="720"/>
          <w:tab w:val="left" w:pos="1440"/>
          <w:tab w:val="left" w:pos="2160"/>
        </w:tabs>
        <w:overflowPunct/>
        <w:autoSpaceDE/>
        <w:autoSpaceDN/>
        <w:adjustRightInd/>
        <w:spacing w:after="0"/>
        <w:jc w:val="center"/>
        <w:textAlignment w:val="auto"/>
        <w:rPr>
          <w:lang w:eastAsia="en-US"/>
        </w:rPr>
      </w:pPr>
      <w:r>
        <w:rPr>
          <w:lang w:eastAsia="en-US"/>
        </w:rPr>
        <w:t>Error</w:t>
      </w:r>
    </w:p>
    <w:p>
      <w:pPr>
        <w:keepNext/>
        <w:keepLines/>
        <w:tabs>
          <w:tab w:val="left" w:pos="720"/>
          <w:tab w:val="right" w:leader="hyphen" w:pos="9360"/>
        </w:tabs>
        <w:overflowPunct/>
        <w:autoSpaceDE/>
        <w:autoSpaceDN/>
        <w:adjustRightInd/>
        <w:spacing w:after="0"/>
        <w:jc w:val="center"/>
        <w:textAlignment w:val="auto"/>
        <w:rPr>
          <w:lang w:eastAsia="en-US"/>
        </w:rPr>
      </w:pPr>
    </w:p>
    <w:p>
      <w:pPr>
        <w:keepNext/>
        <w:keepLines/>
        <w:tabs>
          <w:tab w:val="left" w:pos="720"/>
          <w:tab w:val="right" w:leader="hyphen" w:pos="9360"/>
        </w:tabs>
        <w:overflowPunct/>
        <w:autoSpaceDE/>
        <w:autoSpaceDN/>
        <w:adjustRightInd/>
        <w:spacing w:after="0"/>
        <w:jc w:val="center"/>
        <w:textAlignment w:val="auto"/>
        <w:rPr>
          <w:lang w:eastAsia="en-US"/>
        </w:rPr>
      </w:pPr>
    </w:p>
    <w:p>
      <w:pPr>
        <w:keepNext/>
        <w:keepLines/>
        <w:tabs>
          <w:tab w:val="left" w:pos="720"/>
        </w:tabs>
        <w:overflowPunct/>
        <w:autoSpaceDE/>
        <w:autoSpaceDN/>
        <w:adjustRightInd/>
        <w:spacing w:after="0"/>
        <w:jc w:val="center"/>
        <w:textAlignment w:val="auto"/>
        <w:rPr>
          <w:lang w:eastAsia="en-US"/>
        </w:rPr>
      </w:pPr>
    </w:p>
    <w:p>
      <w:pPr>
        <w:pStyle w:val="55"/>
        <w:rPr>
          <w:lang w:eastAsia="en-US"/>
        </w:rPr>
      </w:pPr>
      <w:r>
        <w:rPr>
          <w:lang w:eastAsia="en-US"/>
        </w:rPr>
        <w:t>Figure 4.1: UE initiated USSD operation, network does not request further information</w:t>
      </w:r>
    </w:p>
    <w:p>
      <w:pPr>
        <w:overflowPunct/>
        <w:autoSpaceDE/>
        <w:autoSpaceDN/>
        <w:adjustRightInd/>
        <w:textAlignment w:val="auto"/>
        <w:rPr>
          <w:lang w:eastAsia="en-US"/>
        </w:rPr>
      </w:pPr>
    </w:p>
    <w:p>
      <w:pPr>
        <w:overflowPunct/>
        <w:autoSpaceDE/>
        <w:autoSpaceDN/>
        <w:adjustRightInd/>
        <w:textAlignment w:val="auto"/>
        <w:rPr>
          <w:lang w:eastAsia="en-US"/>
        </w:rPr>
      </w:pPr>
      <w:r>
        <w:rPr>
          <w:lang w:eastAsia="en-US"/>
        </w:rPr>
        <w:t xml:space="preserve">[TS 24.390, clause 4.5.2]: </w:t>
      </w:r>
    </w:p>
    <w:p>
      <w:pPr>
        <w:overflowPunct/>
        <w:autoSpaceDE/>
        <w:autoSpaceDN/>
        <w:adjustRightInd/>
        <w:textAlignment w:val="auto"/>
        <w:rPr>
          <w:lang w:eastAsia="en-US"/>
        </w:rPr>
      </w:pPr>
      <w:r>
        <w:rPr>
          <w:lang w:eastAsia="en-US"/>
        </w:rPr>
        <w:t xml:space="preserve">When a UE sends an initial INVITE request, in order to establish a USSD session, it </w:t>
      </w:r>
      <w:r>
        <w:rPr>
          <w:lang w:eastAsia="zh-CN"/>
        </w:rPr>
        <w:t>shall</w:t>
      </w:r>
      <w:r>
        <w:rPr>
          <w:lang w:eastAsia="en-US"/>
        </w:rPr>
        <w:t xml:space="preserve"> include an SDP offer with one media description, according to subclause 6.1.2 of 3GPP TS 24.229 [</w:t>
      </w:r>
      <w:r>
        <w:rPr>
          <w:lang w:eastAsia="zh-CN"/>
        </w:rPr>
        <w:t>6</w:t>
      </w:r>
      <w:r>
        <w:rPr>
          <w:lang w:eastAsia="en-US"/>
        </w:rPr>
        <w:t xml:space="preserve">]. The UE </w:t>
      </w:r>
      <w:r>
        <w:rPr>
          <w:lang w:eastAsia="zh-CN"/>
        </w:rPr>
        <w:t>shall</w:t>
      </w:r>
      <w:r>
        <w:rPr>
          <w:lang w:eastAsia="en-US"/>
        </w:rPr>
        <w:t xml:space="preserve"> add a zero port number value to the media descriptions of the SDP offer, in order to inform network entities that media resources are not requested for the session.</w:t>
      </w:r>
    </w:p>
    <w:p>
      <w:pPr>
        <w:overflowPunct/>
        <w:autoSpaceDE/>
        <w:autoSpaceDN/>
        <w:adjustRightInd/>
        <w:textAlignment w:val="auto"/>
        <w:rPr>
          <w:lang w:eastAsia="en-US"/>
        </w:rPr>
      </w:pPr>
      <w:r>
        <w:rPr>
          <w:lang w:eastAsia="en-US"/>
        </w:rPr>
        <w:t>A pre-existing network initiated USSD session cannot be used to carry a user initiated USSD session.</w:t>
      </w:r>
    </w:p>
    <w:p>
      <w:pPr>
        <w:overflowPunct/>
        <w:autoSpaceDE/>
        <w:autoSpaceDN/>
        <w:adjustRightInd/>
        <w:textAlignment w:val="auto"/>
        <w:rPr>
          <w:rFonts w:eastAsia="DengXian"/>
          <w:lang w:eastAsia="zh-CN"/>
        </w:rPr>
      </w:pPr>
      <w:r>
        <w:rPr>
          <w:lang w:eastAsia="en-US"/>
        </w:rPr>
        <w:t>When the USS</w:t>
      </w:r>
      <w:r>
        <w:rPr>
          <w:lang w:eastAsia="zh-CN"/>
        </w:rPr>
        <w:t>I</w:t>
      </w:r>
      <w:r>
        <w:rPr>
          <w:lang w:eastAsia="en-US"/>
        </w:rPr>
        <w:t xml:space="preserve"> AS sends an SDP answer, it </w:t>
      </w:r>
      <w:r>
        <w:rPr>
          <w:lang w:eastAsia="zh-CN"/>
        </w:rPr>
        <w:t>shall</w:t>
      </w:r>
      <w:r>
        <w:rPr>
          <w:lang w:eastAsia="en-US"/>
        </w:rPr>
        <w:t xml:space="preserve"> also add a zero port number value to any media description received in the associated SDP offer.</w:t>
      </w:r>
    </w:p>
    <w:p>
      <w:pPr>
        <w:overflowPunct/>
        <w:autoSpaceDE/>
        <w:autoSpaceDN/>
        <w:adjustRightInd/>
        <w:textAlignment w:val="auto"/>
        <w:rPr>
          <w:lang w:eastAsia="en-US"/>
        </w:rPr>
      </w:pPr>
      <w:r>
        <w:rPr>
          <w:lang w:eastAsia="en-US"/>
        </w:rPr>
        <w:t xml:space="preserve">[TS 24.390, clause 4.5.3]: </w:t>
      </w:r>
    </w:p>
    <w:p>
      <w:pPr>
        <w:overflowPunct/>
        <w:autoSpaceDE/>
        <w:autoSpaceDN/>
        <w:adjustRightInd/>
        <w:textAlignment w:val="auto"/>
        <w:rPr>
          <w:lang w:eastAsia="en-US"/>
        </w:rPr>
      </w:pPr>
      <w:r>
        <w:rPr>
          <w:lang w:eastAsia="en-US"/>
        </w:rPr>
        <w:t>If:</w:t>
      </w:r>
    </w:p>
    <w:p>
      <w:pPr>
        <w:pStyle w:val="76"/>
        <w:rPr>
          <w:lang w:eastAsia="en-US"/>
        </w:rPr>
      </w:pPr>
      <w:r>
        <w:rPr>
          <w:lang w:eastAsia="en-US"/>
        </w:rPr>
        <w:t>1)</w:t>
      </w:r>
      <w:r>
        <w:rPr>
          <w:lang w:eastAsia="en-US"/>
        </w:rPr>
        <w:tab/>
      </w:r>
      <w:r>
        <w:rPr>
          <w:lang w:eastAsia="en-US"/>
        </w:rPr>
        <w:t>the domain selection for originating voice calls specified in 3GPP TS 23.221 [y] determines that the UE uses the IMS to originate voice calls; and</w:t>
      </w:r>
    </w:p>
    <w:p>
      <w:pPr>
        <w:pStyle w:val="76"/>
        <w:rPr>
          <w:lang w:eastAsia="en-US"/>
        </w:rPr>
      </w:pPr>
      <w:r>
        <w:rPr>
          <w:lang w:eastAsia="en-US"/>
        </w:rPr>
        <w:t>2)</w:t>
      </w:r>
      <w:r>
        <w:rPr>
          <w:lang w:eastAsia="en-US"/>
        </w:rPr>
        <w:tab/>
      </w:r>
      <w:r>
        <w:rPr>
          <w:lang w:eastAsia="en-US"/>
        </w:rPr>
        <w:t xml:space="preserve">the UE is not configured </w:t>
      </w:r>
      <w:r>
        <w:rPr>
          <w:lang w:eastAsia="ko-KR"/>
        </w:rPr>
        <w:t xml:space="preserve">with </w:t>
      </w:r>
      <w:r>
        <w:rPr>
          <w:lang w:eastAsia="en-US"/>
        </w:rPr>
        <w:t xml:space="preserve">HPLMN operator preference for invocation of originating USSD requests </w:t>
      </w:r>
      <w:r>
        <w:rPr>
          <w:lang w:eastAsia="ko-KR"/>
        </w:rPr>
        <w:t xml:space="preserve">using CS domain (e.g. see </w:t>
      </w:r>
      <w:r>
        <w:rPr>
          <w:lang w:eastAsia="en-US"/>
        </w:rPr>
        <w:t>3GPP TS 24.391 </w:t>
      </w:r>
      <w:r>
        <w:rPr>
          <w:lang w:eastAsia="ko-KR"/>
        </w:rPr>
        <w:t>[13])</w:t>
      </w:r>
      <w:r>
        <w:rPr>
          <w:lang w:eastAsia="en-US"/>
        </w:rPr>
        <w:t>;</w:t>
      </w:r>
    </w:p>
    <w:p>
      <w:pPr>
        <w:overflowPunct/>
        <w:autoSpaceDE/>
        <w:autoSpaceDN/>
        <w:adjustRightInd/>
        <w:textAlignment w:val="auto"/>
        <w:rPr>
          <w:rFonts w:eastAsia="DengXian"/>
          <w:lang w:eastAsia="zh-CN"/>
        </w:rPr>
      </w:pPr>
      <w:r>
        <w:rPr>
          <w:lang w:eastAsia="en-US"/>
        </w:rPr>
        <w:t>or if the UE does not support the CS domain, then the UE can invoke the procedures in subclause 4.5.</w:t>
      </w:r>
      <w:r>
        <w:rPr>
          <w:lang w:eastAsia="zh-CN"/>
        </w:rPr>
        <w:t xml:space="preserve">4, otherwise the UE shall not invoke the procedures in </w:t>
      </w:r>
      <w:r>
        <w:rPr>
          <w:lang w:eastAsia="en-US"/>
        </w:rPr>
        <w:t>subclause 4.5.</w:t>
      </w:r>
      <w:r>
        <w:rPr>
          <w:lang w:eastAsia="zh-CN"/>
        </w:rPr>
        <w:t>4</w:t>
      </w:r>
      <w:r>
        <w:rPr>
          <w:lang w:eastAsia="en-US"/>
        </w:rPr>
        <w:t>.</w:t>
      </w:r>
    </w:p>
    <w:p>
      <w:pPr>
        <w:overflowPunct/>
        <w:autoSpaceDE/>
        <w:autoSpaceDN/>
        <w:adjustRightInd/>
        <w:textAlignment w:val="auto"/>
        <w:rPr>
          <w:lang w:eastAsia="en-US"/>
        </w:rPr>
      </w:pPr>
      <w:r>
        <w:rPr>
          <w:lang w:eastAsia="en-US"/>
        </w:rPr>
        <w:t xml:space="preserve">[TS 24.390, clause 4.5.4.1]: </w:t>
      </w:r>
    </w:p>
    <w:p>
      <w:pPr>
        <w:pStyle w:val="57"/>
        <w:rPr>
          <w:lang w:eastAsia="zh-CN"/>
        </w:rPr>
      </w:pPr>
      <w:r>
        <w:rPr>
          <w:lang w:eastAsia="en-US"/>
        </w:rPr>
        <w:t>NOTE 1:</w:t>
      </w:r>
      <w:r>
        <w:rPr>
          <w:lang w:eastAsia="en-US"/>
        </w:rPr>
        <w:tab/>
      </w:r>
      <w:r>
        <w:rPr>
          <w:lang w:eastAsia="en-US"/>
        </w:rPr>
        <w:t>The Content-Language SIP header field is not used to determine the language of the USSD string. Only the &lt;language&gt; XML element is used.</w:t>
      </w:r>
    </w:p>
    <w:p>
      <w:pPr>
        <w:overflowPunct/>
        <w:autoSpaceDE/>
        <w:autoSpaceDN/>
        <w:adjustRightInd/>
        <w:textAlignment w:val="auto"/>
        <w:rPr>
          <w:lang w:eastAsia="en-US"/>
        </w:rPr>
      </w:pPr>
      <w:r>
        <w:rPr>
          <w:lang w:eastAsia="en-US"/>
        </w:rPr>
        <w:t>In order to send the initial USSD message, the UE shall send an initial INVITE request, according to 3GPP TS 24.229 [</w:t>
      </w:r>
      <w:r>
        <w:rPr>
          <w:lang w:eastAsia="zh-CN"/>
        </w:rPr>
        <w:t>6</w:t>
      </w:r>
      <w:r>
        <w:rPr>
          <w:lang w:eastAsia="en-US"/>
        </w:rPr>
        <w:t>]. The UE shall populate the request as follows:</w:t>
      </w:r>
    </w:p>
    <w:p>
      <w:pPr>
        <w:pStyle w:val="76"/>
        <w:rPr>
          <w:lang w:eastAsia="en-US"/>
        </w:rPr>
      </w:pPr>
      <w:r>
        <w:rPr>
          <w:lang w:eastAsia="en-US"/>
        </w:rPr>
        <w:t>1)</w:t>
      </w:r>
      <w:r>
        <w:rPr>
          <w:lang w:eastAsia="en-US"/>
        </w:rPr>
        <w:tab/>
      </w:r>
      <w:r>
        <w:rPr>
          <w:lang w:eastAsia="en-US"/>
        </w:rPr>
        <w:t xml:space="preserve">Request-URI set to a SIP URI with user part including </w:t>
      </w:r>
      <w:r>
        <w:rPr>
          <w:lang w:eastAsia="zh-CN"/>
        </w:rPr>
        <w:t>the USSD string</w:t>
      </w:r>
      <w:r>
        <w:rPr>
          <w:lang w:eastAsia="en-US"/>
        </w:rPr>
        <w:t xml:space="preserve"> </w:t>
      </w:r>
      <w:r>
        <w:rPr>
          <w:lang w:eastAsia="zh-CN"/>
        </w:rPr>
        <w:t xml:space="preserve">and  a "phone-context" parameter set to the home network domain name used in REGISTER request according to TS 24.229 [6], a host part set to the home netwok domain name used in REGISTER request as defined in TS 24.229 [6] </w:t>
      </w:r>
      <w:r>
        <w:rPr>
          <w:lang w:eastAsia="en-US"/>
        </w:rPr>
        <w:t xml:space="preserve">a "user" </w:t>
      </w:r>
      <w:r>
        <w:rPr>
          <w:lang w:eastAsia="zh-CN"/>
        </w:rPr>
        <w:t xml:space="preserve">URI </w:t>
      </w:r>
      <w:r>
        <w:rPr>
          <w:lang w:eastAsia="en-US"/>
        </w:rPr>
        <w:t>parameter set to value "dialstring"</w:t>
      </w:r>
      <w:r>
        <w:rPr>
          <w:lang w:eastAsia="zh-CN"/>
        </w:rPr>
        <w:t xml:space="preserve"> as specified in RFC 4967 [7]</w:t>
      </w:r>
      <w:r>
        <w:rPr>
          <w:lang w:eastAsia="en-US"/>
        </w:rPr>
        <w:t>;</w:t>
      </w:r>
    </w:p>
    <w:p>
      <w:pPr>
        <w:pStyle w:val="76"/>
        <w:rPr>
          <w:lang w:eastAsia="en-US"/>
        </w:rPr>
      </w:pPr>
      <w:r>
        <w:rPr>
          <w:lang w:eastAsia="en-US"/>
        </w:rPr>
        <w:t>2)</w:t>
      </w:r>
      <w:r>
        <w:rPr>
          <w:lang w:eastAsia="en-US"/>
        </w:rPr>
        <w:tab/>
      </w:r>
      <w:r>
        <w:rPr>
          <w:lang w:eastAsia="en-US"/>
        </w:rPr>
        <w:t>Recv-Info header field containing the g.3gpp.ussd info-package name;</w:t>
      </w:r>
    </w:p>
    <w:p>
      <w:pPr>
        <w:pStyle w:val="76"/>
        <w:rPr>
          <w:lang w:eastAsia="en-US"/>
        </w:rPr>
      </w:pPr>
      <w:r>
        <w:rPr>
          <w:lang w:eastAsia="en-US"/>
        </w:rPr>
        <w:t>3)</w:t>
      </w:r>
      <w:r>
        <w:rPr>
          <w:lang w:eastAsia="en-US"/>
        </w:rPr>
        <w:tab/>
      </w:r>
      <w:r>
        <w:rPr>
          <w:lang w:eastAsia="en-US"/>
        </w:rPr>
        <w:t>Accept header field containing the application/vnd.3gpp.ussd+xml, application/sdp and multipart/mixed MIME types;</w:t>
      </w:r>
    </w:p>
    <w:p>
      <w:pPr>
        <w:pStyle w:val="76"/>
        <w:rPr>
          <w:lang w:eastAsia="en-US"/>
        </w:rPr>
      </w:pPr>
      <w:r>
        <w:rPr>
          <w:lang w:eastAsia="en-US"/>
        </w:rPr>
        <w:t>4)</w:t>
      </w:r>
      <w:r>
        <w:rPr>
          <w:lang w:eastAsia="en-US"/>
        </w:rPr>
        <w:tab/>
      </w:r>
      <w:r>
        <w:rPr>
          <w:lang w:eastAsia="en-US"/>
        </w:rPr>
        <w:t>the Content-Type header, which shall contain "multipart/mixed";</w:t>
      </w:r>
    </w:p>
    <w:p>
      <w:pPr>
        <w:pStyle w:val="76"/>
        <w:rPr>
          <w:lang w:eastAsia="en-US"/>
        </w:rPr>
      </w:pPr>
      <w:r>
        <w:rPr>
          <w:lang w:eastAsia="en-US"/>
        </w:rPr>
        <w:t>5)</w:t>
      </w:r>
      <w:r>
        <w:rPr>
          <w:lang w:eastAsia="en-US"/>
        </w:rPr>
        <w:tab/>
      </w:r>
      <w:r>
        <w:rPr>
          <w:lang w:eastAsia="en-US"/>
        </w:rPr>
        <w:t>SDP offer as described in subclause 4.5.2; and</w:t>
      </w:r>
    </w:p>
    <w:p>
      <w:pPr>
        <w:pStyle w:val="76"/>
        <w:rPr>
          <w:lang w:eastAsia="en-US"/>
        </w:rPr>
      </w:pPr>
      <w:r>
        <w:rPr>
          <w:lang w:eastAsia="en-US"/>
        </w:rPr>
        <w:t>6)</w:t>
      </w:r>
      <w:r>
        <w:rPr>
          <w:lang w:eastAsia="en-US"/>
        </w:rPr>
        <w:tab/>
      </w:r>
      <w:r>
        <w:rPr>
          <w:lang w:eastAsia="en-US"/>
        </w:rPr>
        <w:t>application/vnd.3gpp.ussd+xml MIME body as described in subclause</w:t>
      </w:r>
      <w:r>
        <w:rPr>
          <w:lang w:eastAsia="zh-CN"/>
        </w:rPr>
        <w:t> </w:t>
      </w:r>
      <w:r>
        <w:rPr>
          <w:lang w:eastAsia="en-US"/>
        </w:rPr>
        <w:t>5.</w:t>
      </w:r>
      <w:r>
        <w:rPr>
          <w:lang w:eastAsia="zh-CN"/>
        </w:rPr>
        <w:t>1.3</w:t>
      </w:r>
      <w:r>
        <w:rPr>
          <w:lang w:eastAsia="en-US"/>
        </w:rPr>
        <w:t xml:space="preserve"> with a Content-Disposition header field set to "render" and with "handling" header field parameter set to "optional". The XML document shall contain a single &lt;ussd-string&gt; element and may contain a &lt;language&gt; element.</w:t>
      </w:r>
    </w:p>
    <w:p>
      <w:pPr>
        <w:overflowPunct/>
        <w:autoSpaceDE/>
        <w:autoSpaceDN/>
        <w:adjustRightInd/>
        <w:textAlignment w:val="auto"/>
        <w:rPr>
          <w:lang w:eastAsia="ja-JP"/>
        </w:rPr>
      </w:pPr>
      <w:r>
        <w:rPr>
          <w:lang w:eastAsia="ja-JP"/>
        </w:rPr>
        <w:t>…</w:t>
      </w:r>
    </w:p>
    <w:p>
      <w:pPr>
        <w:overflowPunct/>
        <w:autoSpaceDE/>
        <w:autoSpaceDN/>
        <w:adjustRightInd/>
        <w:textAlignment w:val="auto"/>
        <w:rPr>
          <w:lang w:eastAsia="en-US"/>
        </w:rPr>
      </w:pPr>
      <w:r>
        <w:rPr>
          <w:lang w:eastAsia="en-US"/>
        </w:rPr>
        <w:t>When receiving a BYE request containing application/vnd.3gpp.ussd+xml MIME body, the UE shall, in addition to the procedures specified in 3GPP TS 24.229 [</w:t>
      </w:r>
      <w:r>
        <w:rPr>
          <w:lang w:eastAsia="zh-CN"/>
        </w:rPr>
        <w:t>6</w:t>
      </w:r>
      <w:r>
        <w:rPr>
          <w:lang w:eastAsia="en-US"/>
        </w:rPr>
        <w:t>], handle the application/vnd.3gpp.ussd+xml MIME body.</w:t>
      </w:r>
    </w:p>
    <w:p>
      <w:pPr>
        <w:pStyle w:val="57"/>
        <w:rPr>
          <w:lang w:eastAsia="zh-CN"/>
        </w:rPr>
      </w:pPr>
      <w:r>
        <w:rPr>
          <w:lang w:eastAsia="en-US"/>
        </w:rPr>
        <w:t>NOTE 2:</w:t>
      </w:r>
      <w:r>
        <w:rPr>
          <w:lang w:eastAsia="en-US"/>
        </w:rPr>
        <w:tab/>
      </w:r>
      <w:r>
        <w:rPr>
          <w:lang w:eastAsia="en-US"/>
        </w:rPr>
        <w:t>According to 3GPP TS 24.229 [6], the UE can receive a BYE request without the application/vnd.3gpp.ussd+xml MIME body and in this case the dialog is terminated immediately.</w:t>
      </w:r>
    </w:p>
    <w:p>
      <w:pPr>
        <w:overflowPunct/>
        <w:autoSpaceDE/>
        <w:autoSpaceDN/>
        <w:adjustRightInd/>
        <w:textAlignment w:val="auto"/>
        <w:rPr>
          <w:lang w:eastAsia="en-US"/>
        </w:rPr>
      </w:pPr>
      <w:r>
        <w:rPr>
          <w:lang w:eastAsia="en-US"/>
        </w:rPr>
        <w:t>When receiving a 404 (Not Found) response to INVITE request, the UE shall determine that an attempt to deliver the USSD request using IMS fails due to missing network support.</w:t>
      </w:r>
    </w:p>
    <w:p>
      <w:pPr>
        <w:pStyle w:val="57"/>
        <w:rPr>
          <w:lang w:eastAsia="en-US"/>
        </w:rPr>
      </w:pPr>
      <w:r>
        <w:rPr>
          <w:lang w:eastAsia="en-US"/>
        </w:rPr>
        <w:t>NOTE 3:</w:t>
      </w:r>
      <w:r>
        <w:rPr>
          <w:lang w:eastAsia="en-US"/>
        </w:rPr>
        <w:tab/>
      </w:r>
      <w:r>
        <w:rPr>
          <w:lang w:eastAsia="en-US"/>
        </w:rPr>
        <w:t>3GPP TS 23.221 [14] gives requirements related to failure of the USSD request using IMS due to missing network support.</w:t>
      </w:r>
    </w:p>
    <w:p>
      <w:pPr>
        <w:overflowPunct/>
        <w:autoSpaceDE/>
        <w:autoSpaceDN/>
        <w:adjustRightInd/>
        <w:textAlignment w:val="auto"/>
        <w:rPr>
          <w:lang w:eastAsia="en-US"/>
        </w:rPr>
      </w:pPr>
      <w:r>
        <w:rPr>
          <w:lang w:eastAsia="en-US"/>
        </w:rPr>
        <w:t xml:space="preserve">[TS 24.390, clause 4.5.4.2]: </w:t>
      </w:r>
    </w:p>
    <w:p>
      <w:pPr>
        <w:overflowPunct/>
        <w:autoSpaceDE/>
        <w:autoSpaceDN/>
        <w:adjustRightInd/>
        <w:textAlignment w:val="auto"/>
        <w:rPr>
          <w:lang w:eastAsia="en-US"/>
        </w:rPr>
      </w:pPr>
      <w:r>
        <w:rPr>
          <w:lang w:eastAsia="en-US"/>
        </w:rPr>
        <w:t>In addition to the procedures specified in this subclause, the USSI AS shall support the procedures specified in 3GPP TS 24.229 [6] for an AS.</w:t>
      </w:r>
    </w:p>
    <w:p>
      <w:pPr>
        <w:pStyle w:val="57"/>
        <w:rPr>
          <w:lang w:eastAsia="en-US"/>
        </w:rPr>
      </w:pPr>
      <w:r>
        <w:rPr>
          <w:lang w:eastAsia="en-US"/>
        </w:rPr>
        <w:t>NOTE 1:</w:t>
      </w:r>
      <w:r>
        <w:rPr>
          <w:lang w:eastAsia="en-US"/>
        </w:rPr>
        <w:tab/>
      </w:r>
      <w:r>
        <w:rPr>
          <w:lang w:eastAsia="en-US"/>
        </w:rPr>
        <w:t>The Content-Language SIP header field is not used to determine the language of the USSD string. Only the &lt;language&gt; XML element is used.</w:t>
      </w:r>
    </w:p>
    <w:p>
      <w:pPr>
        <w:overflowPunct/>
        <w:autoSpaceDE/>
        <w:autoSpaceDN/>
        <w:adjustRightInd/>
        <w:textAlignment w:val="auto"/>
        <w:rPr>
          <w:lang w:eastAsia="en-US"/>
        </w:rPr>
      </w:pPr>
      <w:r>
        <w:rPr>
          <w:lang w:eastAsia="en-US"/>
        </w:rPr>
        <w:t xml:space="preserve">Upon receiving an initial INVITE request with Request-URI containing the SIP URI including </w:t>
      </w:r>
      <w:r>
        <w:rPr>
          <w:lang w:eastAsia="zh-CN"/>
        </w:rPr>
        <w:t>the USSD string</w:t>
      </w:r>
      <w:r>
        <w:rPr>
          <w:lang w:eastAsia="en-US"/>
        </w:rPr>
        <w:t xml:space="preserve"> </w:t>
      </w:r>
      <w:r>
        <w:rPr>
          <w:lang w:eastAsia="zh-CN"/>
        </w:rPr>
        <w:t xml:space="preserve">and </w:t>
      </w:r>
      <w:r>
        <w:rPr>
          <w:lang w:eastAsia="en-US"/>
        </w:rPr>
        <w:t xml:space="preserve">a "user" </w:t>
      </w:r>
      <w:r>
        <w:rPr>
          <w:lang w:eastAsia="zh-CN"/>
        </w:rPr>
        <w:t xml:space="preserve">URI </w:t>
      </w:r>
      <w:r>
        <w:rPr>
          <w:lang w:eastAsia="en-US"/>
        </w:rPr>
        <w:t>parameter set to value "dialstring"</w:t>
      </w:r>
      <w:r>
        <w:rPr>
          <w:lang w:eastAsia="zh-CN"/>
        </w:rPr>
        <w:t xml:space="preserve"> as specified in RFC 4967 [7]</w:t>
      </w:r>
      <w:r>
        <w:rPr>
          <w:lang w:eastAsia="en-US"/>
        </w:rPr>
        <w:t>, if the application/vnd.3gpp.ussd+xml MIME body contained in the request is accepted by the USSI AS, the USSI AS shall:</w:t>
      </w:r>
    </w:p>
    <w:p>
      <w:pPr>
        <w:overflowPunct/>
        <w:autoSpaceDE/>
        <w:autoSpaceDN/>
        <w:adjustRightInd/>
        <w:textAlignment w:val="auto"/>
        <w:rPr>
          <w:lang w:eastAsia="ja-JP"/>
        </w:rPr>
      </w:pPr>
      <w:r>
        <w:rPr>
          <w:lang w:eastAsia="ja-JP"/>
        </w:rPr>
        <w:t>…</w:t>
      </w:r>
    </w:p>
    <w:p>
      <w:pPr>
        <w:pStyle w:val="76"/>
        <w:rPr>
          <w:lang w:eastAsia="en-US"/>
        </w:rPr>
      </w:pPr>
      <w:r>
        <w:rPr>
          <w:lang w:eastAsia="en-US"/>
        </w:rPr>
        <w:t>2)</w:t>
      </w:r>
      <w:r>
        <w:rPr>
          <w:lang w:eastAsia="en-US"/>
        </w:rPr>
        <w:tab/>
      </w:r>
      <w:r>
        <w:rPr>
          <w:lang w:eastAsia="en-US"/>
        </w:rPr>
        <w:t>send 200 (OK) response to the request following the procedures specified for AS acting as a terminating UA in 3GPP TS 24.229 [6]. The USSI AS shall populate the 200 (OK) response to the request as follows:</w:t>
      </w:r>
    </w:p>
    <w:p>
      <w:pPr>
        <w:pStyle w:val="77"/>
        <w:rPr>
          <w:lang w:eastAsia="en-US"/>
        </w:rPr>
      </w:pPr>
      <w:r>
        <w:rPr>
          <w:lang w:eastAsia="en-US"/>
        </w:rPr>
        <w:t>a)</w:t>
      </w:r>
      <w:r>
        <w:rPr>
          <w:lang w:eastAsia="en-US"/>
        </w:rPr>
        <w:tab/>
      </w:r>
      <w:r>
        <w:rPr>
          <w:lang w:eastAsia="en-US"/>
        </w:rPr>
        <w:t>Recv-Info header field containing the g.3gpp.ussd info-package name;</w:t>
      </w:r>
    </w:p>
    <w:p>
      <w:pPr>
        <w:pStyle w:val="77"/>
        <w:rPr>
          <w:lang w:eastAsia="en-US"/>
        </w:rPr>
      </w:pPr>
      <w:r>
        <w:rPr>
          <w:lang w:eastAsia="en-US"/>
        </w:rPr>
        <w:t>b)</w:t>
      </w:r>
      <w:r>
        <w:rPr>
          <w:lang w:eastAsia="en-US"/>
        </w:rPr>
        <w:tab/>
      </w:r>
      <w:r>
        <w:rPr>
          <w:lang w:eastAsia="en-US"/>
        </w:rPr>
        <w:t>Accept header field containing the application/vnd.3gpp.ussd+xml, application/sdp and multipart/mixed MIME types; and</w:t>
      </w:r>
    </w:p>
    <w:p>
      <w:pPr>
        <w:pStyle w:val="77"/>
        <w:rPr>
          <w:lang w:eastAsia="en-US"/>
        </w:rPr>
      </w:pPr>
      <w:r>
        <w:rPr>
          <w:lang w:eastAsia="en-US"/>
        </w:rPr>
        <w:t>c)</w:t>
      </w:r>
      <w:r>
        <w:rPr>
          <w:lang w:eastAsia="en-US"/>
        </w:rPr>
        <w:tab/>
      </w:r>
      <w:r>
        <w:rPr>
          <w:lang w:eastAsia="en-US"/>
        </w:rPr>
        <w:t>SDP answer as described in subclause 4.5.2.</w:t>
      </w:r>
    </w:p>
    <w:p>
      <w:pPr>
        <w:overflowPunct/>
        <w:autoSpaceDE/>
        <w:autoSpaceDN/>
        <w:adjustRightInd/>
        <w:textAlignment w:val="auto"/>
        <w:rPr>
          <w:lang w:eastAsia="en-US"/>
        </w:rPr>
      </w:pPr>
      <w:r>
        <w:rPr>
          <w:lang w:eastAsia="en-US"/>
        </w:rPr>
        <w:t>Upon receiving an ACK request associated with the INVITE request, the USSI AS shall:</w:t>
      </w:r>
    </w:p>
    <w:p>
      <w:pPr>
        <w:overflowPunct/>
        <w:autoSpaceDE/>
        <w:autoSpaceDN/>
        <w:adjustRightInd/>
        <w:textAlignment w:val="auto"/>
        <w:rPr>
          <w:lang w:eastAsia="en-US"/>
        </w:rPr>
      </w:pPr>
      <w:r>
        <w:rPr>
          <w:lang w:eastAsia="en-US"/>
        </w:rPr>
        <w:t>…</w:t>
      </w:r>
    </w:p>
    <w:p>
      <w:pPr>
        <w:pStyle w:val="76"/>
        <w:rPr>
          <w:lang w:eastAsia="en-US"/>
        </w:rPr>
      </w:pPr>
      <w:r>
        <w:rPr>
          <w:lang w:eastAsia="en-US"/>
        </w:rPr>
        <w:t>2)</w:t>
      </w:r>
      <w:r>
        <w:rPr>
          <w:lang w:eastAsia="en-US"/>
        </w:rPr>
        <w:tab/>
      </w:r>
      <w:r>
        <w:rPr>
          <w:lang w:eastAsia="en-US"/>
        </w:rPr>
        <w:t>if the network successfully performed the USSD information and does not need any further information, send a BYE request in order to terminate the dialog. The USSI AS shall populate the BYE request with application/vnd.3gpp.ussd+xml MIME body, as described in subclause 5.1.3 including a &lt;ussd-string&gt; element and a &lt;language&gt; element; and</w:t>
      </w:r>
    </w:p>
    <w:p>
      <w:pPr>
        <w:pStyle w:val="76"/>
        <w:rPr>
          <w:lang w:eastAsia="en-US"/>
        </w:rPr>
      </w:pPr>
      <w:r>
        <w:rPr>
          <w:lang w:eastAsia="en-US"/>
        </w:rPr>
        <w:t>3)</w:t>
      </w:r>
      <w:r>
        <w:rPr>
          <w:lang w:eastAsia="en-US"/>
        </w:rPr>
        <w:tab/>
      </w:r>
      <w:r>
        <w:rPr>
          <w:lang w:eastAsia="en-US"/>
        </w:rPr>
        <w:t>if the network informs the UE that the network is unable to process the USSD request or the network informs the UE that the network rejects the USSD request, send a BYE request in order to terminate the dialog. The USSI AS shall populate the BYE request with application/vnd.3gpp.ussd+xml MIME body, as described in subclause 5.1.3, including, a &lt;error-code&gt; element.</w:t>
      </w:r>
    </w:p>
    <w:p>
      <w:pPr>
        <w:pStyle w:val="8"/>
        <w:rPr>
          <w:snapToGrid w:val="0"/>
          <w:lang w:eastAsia="en-US"/>
        </w:rPr>
      </w:pPr>
      <w:r>
        <w:rPr>
          <w:snapToGrid w:val="0"/>
          <w:lang w:eastAsia="en-US"/>
        </w:rPr>
        <w:t>Reference(s)</w:t>
      </w:r>
    </w:p>
    <w:p>
      <w:pPr>
        <w:overflowPunct/>
        <w:autoSpaceDE/>
        <w:autoSpaceDN/>
        <w:adjustRightInd/>
        <w:textAlignment w:val="auto"/>
        <w:rPr>
          <w:snapToGrid w:val="0"/>
          <w:lang w:eastAsia="en-US"/>
        </w:rPr>
      </w:pPr>
      <w:r>
        <w:rPr>
          <w:snapToGrid w:val="0"/>
          <w:lang w:eastAsia="en-US"/>
        </w:rPr>
        <w:t>3GPP T</w:t>
      </w:r>
      <w:r>
        <w:rPr>
          <w:lang w:eastAsia="en-US"/>
        </w:rPr>
        <w:t>S 24.390 [152], clauses 4.5.1, 4.5.2, 4.5.3, 4.5.4.1 and 4.5.4.2.</w:t>
      </w:r>
    </w:p>
    <w:p>
      <w:pPr>
        <w:pStyle w:val="4"/>
        <w:rPr>
          <w:snapToGrid w:val="0"/>
          <w:lang w:eastAsia="en-US"/>
        </w:rPr>
      </w:pPr>
      <w:bookmarkStart w:id="28" w:name="_Toc75421929"/>
      <w:bookmarkStart w:id="29" w:name="_Toc58359815"/>
      <w:bookmarkStart w:id="30" w:name="_Toc52219746"/>
      <w:bookmarkStart w:id="31" w:name="_Toc68192954"/>
      <w:bookmarkStart w:id="32" w:name="_Toc35972181"/>
      <w:bookmarkStart w:id="33" w:name="_Toc51774470"/>
      <w:bookmarkStart w:id="34" w:name="_Toc51834893"/>
      <w:bookmarkStart w:id="35" w:name="_Toc21077629"/>
      <w:bookmarkStart w:id="36" w:name="_Toc90571971"/>
      <w:r>
        <w:rPr>
          <w:lang w:eastAsia="en-US"/>
        </w:rPr>
        <w:t>15.30.3</w:t>
      </w:r>
      <w:r>
        <w:rPr>
          <w:lang w:eastAsia="en-US"/>
        </w:rPr>
        <w:tab/>
      </w:r>
      <w:r>
        <w:rPr>
          <w:snapToGrid w:val="0"/>
          <w:lang w:eastAsia="en-US"/>
        </w:rPr>
        <w:t>Test purpose</w:t>
      </w:r>
      <w:bookmarkEnd w:id="28"/>
      <w:bookmarkEnd w:id="29"/>
      <w:bookmarkEnd w:id="30"/>
      <w:bookmarkEnd w:id="31"/>
      <w:bookmarkEnd w:id="32"/>
      <w:bookmarkEnd w:id="33"/>
      <w:bookmarkEnd w:id="34"/>
      <w:bookmarkEnd w:id="35"/>
      <w:bookmarkEnd w:id="36"/>
    </w:p>
    <w:p>
      <w:pPr>
        <w:pStyle w:val="76"/>
        <w:rPr>
          <w:snapToGrid w:val="0"/>
          <w:lang w:eastAsia="en-US"/>
        </w:rPr>
      </w:pPr>
      <w:r>
        <w:rPr>
          <w:snapToGrid w:val="0"/>
          <w:lang w:eastAsia="en-US"/>
        </w:rPr>
        <w:t>1)</w:t>
      </w:r>
      <w:r>
        <w:rPr>
          <w:snapToGrid w:val="0"/>
          <w:lang w:eastAsia="en-US"/>
        </w:rPr>
        <w:tab/>
      </w:r>
      <w:r>
        <w:rPr>
          <w:snapToGrid w:val="0"/>
          <w:lang w:eastAsia="en-US"/>
        </w:rPr>
        <w:t xml:space="preserve">To verify that when originating user initiated USSI the UE performs correct exchange of SIP protocol signalling messages </w:t>
      </w:r>
      <w:r>
        <w:rPr>
          <w:lang w:eastAsia="en-US"/>
        </w:rPr>
        <w:t xml:space="preserve">for setting up the session; </w:t>
      </w:r>
      <w:r>
        <w:rPr>
          <w:snapToGrid w:val="0"/>
          <w:lang w:eastAsia="en-US"/>
        </w:rPr>
        <w:t>and</w:t>
      </w:r>
    </w:p>
    <w:p>
      <w:pPr>
        <w:pStyle w:val="76"/>
        <w:rPr>
          <w:lang w:eastAsia="en-US"/>
        </w:rPr>
      </w:pPr>
      <w:r>
        <w:rPr>
          <w:snapToGrid w:val="0"/>
          <w:lang w:eastAsia="en-US"/>
        </w:rPr>
        <w:t>2)</w:t>
      </w:r>
      <w:r>
        <w:rPr>
          <w:snapToGrid w:val="0"/>
          <w:lang w:eastAsia="en-US"/>
        </w:rPr>
        <w:tab/>
      </w:r>
      <w:r>
        <w:rPr>
          <w:snapToGrid w:val="0"/>
          <w:lang w:eastAsia="en-US"/>
        </w:rPr>
        <w:t>To verify that when originating user initiated USSI the UE performs the correct exchange of SDP messages</w:t>
      </w:r>
      <w:r>
        <w:rPr>
          <w:lang w:eastAsia="en-US"/>
        </w:rPr>
        <w:t>.</w:t>
      </w:r>
    </w:p>
    <w:p>
      <w:pPr>
        <w:pStyle w:val="4"/>
        <w:rPr>
          <w:lang w:eastAsia="en-US"/>
        </w:rPr>
      </w:pPr>
      <w:bookmarkStart w:id="37" w:name="_Toc35972182"/>
      <w:bookmarkStart w:id="38" w:name="_Toc58359816"/>
      <w:bookmarkStart w:id="39" w:name="_Toc52219747"/>
      <w:bookmarkStart w:id="40" w:name="_Toc21077630"/>
      <w:bookmarkStart w:id="41" w:name="_Toc75421930"/>
      <w:bookmarkStart w:id="42" w:name="_Toc68192955"/>
      <w:bookmarkStart w:id="43" w:name="_Toc51834894"/>
      <w:bookmarkStart w:id="44" w:name="_Toc90571972"/>
      <w:bookmarkStart w:id="45" w:name="_Toc51774471"/>
      <w:r>
        <w:rPr>
          <w:lang w:eastAsia="en-US"/>
        </w:rPr>
        <w:t>15.30.4</w:t>
      </w:r>
      <w:r>
        <w:rPr>
          <w:lang w:eastAsia="en-US"/>
        </w:rPr>
        <w:tab/>
      </w:r>
      <w:r>
        <w:rPr>
          <w:snapToGrid w:val="0"/>
          <w:lang w:eastAsia="en-US"/>
        </w:rPr>
        <w:t>Method of test</w:t>
      </w:r>
      <w:bookmarkEnd w:id="37"/>
      <w:bookmarkEnd w:id="38"/>
      <w:bookmarkEnd w:id="39"/>
      <w:bookmarkEnd w:id="40"/>
      <w:bookmarkEnd w:id="41"/>
      <w:bookmarkEnd w:id="42"/>
      <w:bookmarkEnd w:id="43"/>
      <w:bookmarkEnd w:id="44"/>
      <w:bookmarkEnd w:id="45"/>
    </w:p>
    <w:p>
      <w:pPr>
        <w:keepNext/>
        <w:keepLines/>
        <w:overflowPunct/>
        <w:autoSpaceDE/>
        <w:autoSpaceDN/>
        <w:adjustRightInd/>
        <w:spacing w:before="120"/>
        <w:ind w:left="1985" w:hanging="1985"/>
        <w:textAlignment w:val="auto"/>
        <w:rPr>
          <w:rFonts w:ascii="Arial" w:hAnsi="Arial"/>
          <w:snapToGrid w:val="0"/>
          <w:lang w:eastAsia="en-US"/>
        </w:rPr>
      </w:pPr>
      <w:r>
        <w:rPr>
          <w:rFonts w:ascii="Arial" w:hAnsi="Arial"/>
          <w:snapToGrid w:val="0"/>
          <w:lang w:eastAsia="en-US"/>
        </w:rPr>
        <w:t>Initial conditions</w:t>
      </w:r>
    </w:p>
    <w:p>
      <w:pPr>
        <w:overflowPunct/>
        <w:autoSpaceDE/>
        <w:autoSpaceDN/>
        <w:adjustRightInd/>
        <w:textAlignment w:val="auto"/>
        <w:rPr>
          <w:snapToGrid w:val="0"/>
          <w:lang w:eastAsia="en-US"/>
        </w:rPr>
      </w:pPr>
      <w:r>
        <w:rPr>
          <w:snapToGrid w:val="0"/>
          <w:lang w:eastAsia="en-US"/>
        </w:rPr>
        <w:t>UE contains either SIM application (GIBA), ISIM and USIM applications or only USIM application on UICC. UE has discovered P-CSCF and registered to IMS services, by executing the generic test procedure in Annex C.2 or C.2a (GIBA only) up to the last step.</w:t>
      </w:r>
    </w:p>
    <w:p>
      <w:pPr>
        <w:overflowPunct/>
        <w:autoSpaceDE/>
        <w:autoSpaceDN/>
        <w:adjustRightInd/>
        <w:textAlignment w:val="auto"/>
        <w:rPr>
          <w:snapToGrid w:val="0"/>
          <w:lang w:eastAsia="en-US"/>
        </w:rPr>
      </w:pPr>
      <w:r>
        <w:rPr>
          <w:snapToGrid w:val="0"/>
          <w:lang w:eastAsia="en-US"/>
        </w:rPr>
        <w:t>SS is configured with the shared secret key of IMS AKA algorithm, related to the IMS private user identity (IMPI) configured on the UICC card equipped into the UE. SS has performed AKAv1-MD5 authentication with the UE and accepted the registration (IMS security).</w:t>
      </w:r>
    </w:p>
    <w:p>
      <w:pPr>
        <w:keepNext/>
        <w:keepLines/>
        <w:overflowPunct/>
        <w:autoSpaceDE/>
        <w:autoSpaceDN/>
        <w:adjustRightInd/>
        <w:spacing w:before="120"/>
        <w:ind w:left="1985" w:hanging="1985"/>
        <w:textAlignment w:val="auto"/>
        <w:rPr>
          <w:rFonts w:ascii="Arial" w:hAnsi="Arial"/>
          <w:snapToGrid w:val="0"/>
          <w:lang w:eastAsia="en-US"/>
        </w:rPr>
      </w:pPr>
      <w:r>
        <w:rPr>
          <w:rFonts w:ascii="Arial" w:hAnsi="Arial"/>
          <w:snapToGrid w:val="0"/>
          <w:lang w:eastAsia="en-US"/>
        </w:rPr>
        <w:t>Test procedure applicable for a UE with E-UTRA support (TS 34.229-2 [5] A.18/1)</w:t>
      </w:r>
    </w:p>
    <w:p>
      <w:pPr>
        <w:pStyle w:val="8"/>
        <w:rPr>
          <w:lang w:eastAsia="en-US"/>
        </w:rPr>
      </w:pPr>
      <w:r>
        <w:rPr>
          <w:lang w:eastAsia="en-US"/>
        </w:rPr>
        <w:t>Expected sequence</w:t>
      </w:r>
    </w:p>
    <w:p>
      <w:pPr>
        <w:pStyle w:val="57"/>
        <w:rPr>
          <w:lang w:eastAsia="en-US"/>
        </w:rPr>
      </w:pPr>
      <w:r>
        <w:rPr>
          <w:lang w:eastAsia="en-US"/>
        </w:rPr>
        <w:t>NOTE:</w:t>
      </w:r>
      <w:r>
        <w:rPr>
          <w:lang w:eastAsia="en-US"/>
        </w:rPr>
        <w:tab/>
      </w:r>
      <w:r>
        <w:rPr>
          <w:lang w:eastAsia="en-US"/>
        </w:rPr>
        <w:t>Only the IMS procedure relevant to the test purpose is described below.</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99" w:type="dxa"/>
        </w:tblCellMar>
      </w:tblPr>
      <w:tblGrid>
        <w:gridCol w:w="720"/>
        <w:gridCol w:w="630"/>
        <w:gridCol w:w="630"/>
        <w:gridCol w:w="3420"/>
        <w:gridCol w:w="4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left w:val="single" w:color="auto" w:sz="4" w:space="0"/>
              <w:bottom w:val="nil"/>
              <w:right w:val="single" w:color="auto" w:sz="4" w:space="0"/>
            </w:tcBorders>
          </w:tcPr>
          <w:p>
            <w:pPr>
              <w:pStyle w:val="52"/>
              <w:rPr>
                <w:lang w:eastAsia="en-US"/>
              </w:rPr>
            </w:pPr>
            <w:r>
              <w:rPr>
                <w:lang w:eastAsia="en-US"/>
              </w:rPr>
              <w:t>Step</w:t>
            </w:r>
          </w:p>
        </w:tc>
        <w:tc>
          <w:tcPr>
            <w:tcW w:w="1260" w:type="dxa"/>
            <w:gridSpan w:val="2"/>
            <w:tcBorders>
              <w:left w:val="single" w:color="auto" w:sz="4" w:space="0"/>
              <w:right w:val="single" w:color="auto" w:sz="4" w:space="0"/>
            </w:tcBorders>
          </w:tcPr>
          <w:p>
            <w:pPr>
              <w:pStyle w:val="52"/>
              <w:rPr>
                <w:lang w:eastAsia="en-US"/>
              </w:rPr>
            </w:pPr>
            <w:r>
              <w:rPr>
                <w:lang w:eastAsia="en-US"/>
              </w:rPr>
              <w:t>Direction</w:t>
            </w:r>
          </w:p>
        </w:tc>
        <w:tc>
          <w:tcPr>
            <w:tcW w:w="3420" w:type="dxa"/>
            <w:tcBorders>
              <w:top w:val="single" w:color="auto" w:sz="4" w:space="0"/>
              <w:left w:val="single" w:color="auto" w:sz="4" w:space="0"/>
              <w:bottom w:val="nil"/>
              <w:right w:val="single" w:color="auto" w:sz="4" w:space="0"/>
            </w:tcBorders>
          </w:tcPr>
          <w:p>
            <w:pPr>
              <w:pStyle w:val="52"/>
              <w:rPr>
                <w:lang w:eastAsia="en-US"/>
              </w:rPr>
            </w:pPr>
            <w:r>
              <w:rPr>
                <w:lang w:eastAsia="en-US"/>
              </w:rPr>
              <w:t>Message</w:t>
            </w:r>
          </w:p>
        </w:tc>
        <w:tc>
          <w:tcPr>
            <w:tcW w:w="4288" w:type="dxa"/>
            <w:tcBorders>
              <w:top w:val="single" w:color="auto" w:sz="4" w:space="0"/>
              <w:left w:val="single" w:color="auto" w:sz="4" w:space="0"/>
              <w:bottom w:val="nil"/>
              <w:right w:val="single" w:color="auto" w:sz="4" w:space="0"/>
            </w:tcBorders>
          </w:tcPr>
          <w:p>
            <w:pPr>
              <w:pStyle w:val="52"/>
              <w:rPr>
                <w:lang w:eastAsia="en-US"/>
              </w:rPr>
            </w:pPr>
            <w:r>
              <w:rPr>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nil"/>
              <w:left w:val="single" w:color="auto" w:sz="4" w:space="0"/>
              <w:bottom w:val="single" w:color="auto" w:sz="4" w:space="0"/>
              <w:right w:val="single" w:color="auto" w:sz="4" w:space="0"/>
            </w:tcBorders>
          </w:tcPr>
          <w:p>
            <w:pPr>
              <w:pStyle w:val="52"/>
              <w:rPr>
                <w:lang w:eastAsia="en-US"/>
              </w:rPr>
            </w:pPr>
          </w:p>
        </w:tc>
        <w:tc>
          <w:tcPr>
            <w:tcW w:w="630" w:type="dxa"/>
            <w:tcBorders>
              <w:left w:val="single" w:color="auto" w:sz="4" w:space="0"/>
            </w:tcBorders>
          </w:tcPr>
          <w:p>
            <w:pPr>
              <w:pStyle w:val="52"/>
              <w:rPr>
                <w:lang w:eastAsia="en-US"/>
              </w:rPr>
            </w:pPr>
            <w:r>
              <w:rPr>
                <w:lang w:eastAsia="en-US"/>
              </w:rPr>
              <w:t>UE</w:t>
            </w:r>
          </w:p>
        </w:tc>
        <w:tc>
          <w:tcPr>
            <w:tcW w:w="630" w:type="dxa"/>
            <w:tcBorders>
              <w:right w:val="single" w:color="auto" w:sz="4" w:space="0"/>
            </w:tcBorders>
          </w:tcPr>
          <w:p>
            <w:pPr>
              <w:pStyle w:val="52"/>
              <w:rPr>
                <w:lang w:eastAsia="en-US"/>
              </w:rPr>
            </w:pPr>
            <w:r>
              <w:rPr>
                <w:lang w:eastAsia="en-US"/>
              </w:rPr>
              <w:t>SS</w:t>
            </w:r>
          </w:p>
        </w:tc>
        <w:tc>
          <w:tcPr>
            <w:tcW w:w="3420" w:type="dxa"/>
            <w:tcBorders>
              <w:top w:val="nil"/>
              <w:left w:val="single" w:color="auto" w:sz="4" w:space="0"/>
              <w:bottom w:val="single" w:color="auto" w:sz="4" w:space="0"/>
              <w:right w:val="single" w:color="auto" w:sz="4" w:space="0"/>
            </w:tcBorders>
          </w:tcPr>
          <w:p>
            <w:pPr>
              <w:pStyle w:val="52"/>
              <w:rPr>
                <w:lang w:eastAsia="en-US"/>
              </w:rPr>
            </w:pPr>
          </w:p>
        </w:tc>
        <w:tc>
          <w:tcPr>
            <w:tcW w:w="4288" w:type="dxa"/>
            <w:tcBorders>
              <w:top w:val="nil"/>
              <w:left w:val="single" w:color="auto" w:sz="4" w:space="0"/>
              <w:bottom w:val="single" w:color="auto" w:sz="4" w:space="0"/>
              <w:right w:val="single" w:color="auto" w:sz="4" w:space="0"/>
            </w:tcBorders>
          </w:tcPr>
          <w:p>
            <w:pPr>
              <w:pStyle w:val="52"/>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bottom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1</w:t>
            </w:r>
          </w:p>
        </w:tc>
        <w:tc>
          <w:tcPr>
            <w:tcW w:w="1260" w:type="dxa"/>
            <w:gridSpan w:val="2"/>
          </w:tcPr>
          <w:p>
            <w:pPr>
              <w:keepNext/>
              <w:keepLines/>
              <w:overflowPunct/>
              <w:autoSpaceDE/>
              <w:autoSpaceDN/>
              <w:adjustRightInd/>
              <w:spacing w:after="0"/>
              <w:textAlignment w:val="auto"/>
              <w:rPr>
                <w:rFonts w:ascii="Arial" w:hAnsi="Arial"/>
                <w:sz w:val="18"/>
                <w:lang w:eastAsia="en-US"/>
              </w:rPr>
            </w:pPr>
          </w:p>
        </w:tc>
        <w:tc>
          <w:tcPr>
            <w:tcW w:w="3420"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Make the UE attempt an user initiated USSI with USSD string “*#60#”</w:t>
            </w:r>
          </w:p>
        </w:tc>
        <w:tc>
          <w:tcPr>
            <w:tcW w:w="4288"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The SS may use AT command “CUSD” to trigger the user initiated USSI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bottom w:val="single" w:color="auto" w:sz="4" w:space="0"/>
            </w:tcBorders>
          </w:tcPr>
          <w:p>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2</w:t>
            </w:r>
          </w:p>
        </w:tc>
        <w:tc>
          <w:tcPr>
            <w:tcW w:w="1260" w:type="dxa"/>
            <w:gridSpan w:val="2"/>
          </w:tcPr>
          <w:p>
            <w:pPr>
              <w:keepNext/>
              <w:keepLines/>
              <w:overflowPunct/>
              <w:autoSpaceDE/>
              <w:autoSpaceDN/>
              <w:adjustRightInd/>
              <w:spacing w:after="0"/>
              <w:jc w:val="center"/>
              <w:textAlignment w:val="auto"/>
              <w:rPr>
                <w:rFonts w:ascii="Arial" w:hAnsi="Arial"/>
                <w:sz w:val="18"/>
                <w:lang w:eastAsia="en-US"/>
              </w:rPr>
            </w:pPr>
            <w:r>
              <w:rPr>
                <w:rFonts w:ascii="Arial" w:hAnsi="Arial" w:eastAsia="MS Gothic"/>
                <w:sz w:val="18"/>
                <w:lang w:eastAsia="en-US"/>
              </w:rPr>
              <w:sym w:font="Wingdings" w:char="F0E0"/>
            </w:r>
          </w:p>
        </w:tc>
        <w:tc>
          <w:tcPr>
            <w:tcW w:w="3420"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eastAsia="MS Gothic"/>
                <w:sz w:val="18"/>
                <w:lang w:eastAsia="en-US"/>
              </w:rPr>
              <w:t>INVITE</w:t>
            </w:r>
          </w:p>
        </w:tc>
        <w:tc>
          <w:tcPr>
            <w:tcW w:w="4288"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eastAsia="MS Gothic"/>
                <w:sz w:val="18"/>
                <w:lang w:eastAsia="en-US"/>
              </w:rPr>
              <w:t>UE sends INVITE with the SDP offer.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bottom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3</w:t>
            </w:r>
          </w:p>
        </w:tc>
        <w:tc>
          <w:tcPr>
            <w:tcW w:w="1260" w:type="dxa"/>
            <w:gridSpan w:val="2"/>
          </w:tcPr>
          <w:p>
            <w:pPr>
              <w:keepNext/>
              <w:keepLines/>
              <w:overflowPunct/>
              <w:autoSpaceDE/>
              <w:autoSpaceDN/>
              <w:adjustRightInd/>
              <w:spacing w:after="0"/>
              <w:jc w:val="center"/>
              <w:textAlignment w:val="auto"/>
              <w:rPr>
                <w:rFonts w:ascii="Arial" w:hAnsi="Arial"/>
                <w:sz w:val="18"/>
                <w:lang w:eastAsia="en-US"/>
              </w:rPr>
            </w:pPr>
            <w:r>
              <w:rPr>
                <w:rFonts w:ascii="Arial" w:hAnsi="Arial" w:eastAsia="MS Gothic"/>
                <w:sz w:val="18"/>
                <w:lang w:eastAsia="en-US"/>
              </w:rPr>
              <w:sym w:font="Wingdings" w:char="F0DF"/>
            </w:r>
          </w:p>
        </w:tc>
        <w:tc>
          <w:tcPr>
            <w:tcW w:w="3420"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100 Trying</w:t>
            </w:r>
          </w:p>
        </w:tc>
        <w:tc>
          <w:tcPr>
            <w:tcW w:w="4288"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SS sends a 100 Trying provisional response.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bottom w:val="single" w:color="auto" w:sz="4" w:space="0"/>
            </w:tcBorders>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t>4</w:t>
            </w:r>
          </w:p>
        </w:tc>
        <w:tc>
          <w:tcPr>
            <w:tcW w:w="1260" w:type="dxa"/>
            <w:gridSpan w:val="2"/>
          </w:tcPr>
          <w:p>
            <w:pPr>
              <w:keepNext/>
              <w:keepLines/>
              <w:overflowPunct/>
              <w:autoSpaceDE/>
              <w:autoSpaceDN/>
              <w:adjustRightInd/>
              <w:spacing w:after="0"/>
              <w:jc w:val="center"/>
              <w:textAlignment w:val="auto"/>
              <w:rPr>
                <w:rFonts w:ascii="Arial" w:hAnsi="Arial" w:eastAsia="MS Gothic"/>
                <w:sz w:val="18"/>
                <w:lang w:eastAsia="en-US"/>
              </w:rPr>
            </w:pPr>
            <w:r>
              <w:rPr>
                <w:rFonts w:ascii="Arial" w:hAnsi="Arial" w:eastAsia="MS Gothic"/>
                <w:sz w:val="18"/>
                <w:lang w:eastAsia="en-US"/>
              </w:rPr>
              <w:sym w:font="Wingdings" w:char="F0DF"/>
            </w:r>
          </w:p>
        </w:tc>
        <w:tc>
          <w:tcPr>
            <w:tcW w:w="3420"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200 OK</w:t>
            </w:r>
          </w:p>
        </w:tc>
        <w:tc>
          <w:tcPr>
            <w:tcW w:w="4288"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SS sends a 200 OK.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bottom w:val="single" w:color="auto" w:sz="4" w:space="0"/>
            </w:tcBorders>
          </w:tcPr>
          <w:p>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5</w:t>
            </w:r>
          </w:p>
        </w:tc>
        <w:tc>
          <w:tcPr>
            <w:tcW w:w="1260" w:type="dxa"/>
            <w:gridSpan w:val="2"/>
          </w:tcPr>
          <w:p>
            <w:pPr>
              <w:keepNext/>
              <w:keepLines/>
              <w:overflowPunct/>
              <w:autoSpaceDE/>
              <w:autoSpaceDN/>
              <w:adjustRightInd/>
              <w:spacing w:after="0"/>
              <w:jc w:val="center"/>
              <w:textAlignment w:val="auto"/>
              <w:rPr>
                <w:rFonts w:ascii="Arial" w:hAnsi="Arial" w:eastAsia="MS Gothic"/>
                <w:sz w:val="18"/>
                <w:lang w:eastAsia="en-US"/>
              </w:rPr>
            </w:pPr>
            <w:r>
              <w:rPr>
                <w:rFonts w:ascii="Arial" w:hAnsi="Arial" w:eastAsia="MS Gothic"/>
                <w:sz w:val="18"/>
                <w:lang w:eastAsia="en-US"/>
              </w:rPr>
              <w:sym w:font="Wingdings" w:char="F0E0"/>
            </w:r>
          </w:p>
        </w:tc>
        <w:tc>
          <w:tcPr>
            <w:tcW w:w="3420"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ACK</w:t>
            </w:r>
          </w:p>
        </w:tc>
        <w:tc>
          <w:tcPr>
            <w:tcW w:w="4288"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 xml:space="preserve">UE acknowledges.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bottom w:val="single" w:color="auto" w:sz="4" w:space="0"/>
            </w:tcBorders>
          </w:tcPr>
          <w:p>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6</w:t>
            </w:r>
          </w:p>
        </w:tc>
        <w:tc>
          <w:tcPr>
            <w:tcW w:w="1260" w:type="dxa"/>
            <w:gridSpan w:val="2"/>
          </w:tcPr>
          <w:p>
            <w:pPr>
              <w:keepNext/>
              <w:keepLines/>
              <w:overflowPunct/>
              <w:autoSpaceDE/>
              <w:autoSpaceDN/>
              <w:adjustRightInd/>
              <w:spacing w:after="0"/>
              <w:jc w:val="center"/>
              <w:textAlignment w:val="auto"/>
              <w:rPr>
                <w:rFonts w:ascii="Arial" w:hAnsi="Arial"/>
                <w:sz w:val="18"/>
                <w:lang w:eastAsia="en-US"/>
              </w:rPr>
            </w:pPr>
            <w:r>
              <w:rPr>
                <w:rFonts w:ascii="Arial" w:hAnsi="Arial"/>
                <w:sz w:val="18"/>
                <w:lang w:eastAsia="en-US"/>
              </w:rPr>
              <w:sym w:font="Wingdings" w:char="F0DF"/>
            </w:r>
          </w:p>
        </w:tc>
        <w:tc>
          <w:tcPr>
            <w:tcW w:w="3420"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BYE</w:t>
            </w:r>
          </w:p>
        </w:tc>
        <w:tc>
          <w:tcPr>
            <w:tcW w:w="4288" w:type="dxa"/>
            <w:tcBorders>
              <w:top w:val="single" w:color="auto" w:sz="4" w:space="0"/>
              <w:bottom w:val="single" w:color="auto" w:sz="4" w:space="0"/>
            </w:tcBorders>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SS sends BYE to release the session.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99" w:type="dxa"/>
          </w:tblCellMar>
        </w:tblPrEx>
        <w:trPr>
          <w:cantSplit/>
          <w:jc w:val="center"/>
        </w:trPr>
        <w:tc>
          <w:tcPr>
            <w:tcW w:w="720" w:type="dxa"/>
            <w:tcBorders>
              <w:top w:val="single" w:color="auto" w:sz="4" w:space="0"/>
            </w:tcBorders>
          </w:tcPr>
          <w:p>
            <w:pPr>
              <w:keepNext/>
              <w:keepLines/>
              <w:overflowPunct/>
              <w:autoSpaceDE/>
              <w:autoSpaceDN/>
              <w:adjustRightInd/>
              <w:spacing w:after="0"/>
              <w:jc w:val="center"/>
              <w:textAlignment w:val="auto"/>
              <w:rPr>
                <w:rFonts w:ascii="Arial" w:hAnsi="Arial"/>
                <w:sz w:val="18"/>
                <w:lang w:eastAsia="ja-JP"/>
              </w:rPr>
            </w:pPr>
            <w:r>
              <w:rPr>
                <w:rFonts w:ascii="Arial" w:hAnsi="Arial"/>
                <w:sz w:val="18"/>
                <w:lang w:eastAsia="ja-JP"/>
              </w:rPr>
              <w:t>7</w:t>
            </w:r>
          </w:p>
        </w:tc>
        <w:tc>
          <w:tcPr>
            <w:tcW w:w="1260" w:type="dxa"/>
            <w:gridSpan w:val="2"/>
          </w:tcPr>
          <w:p>
            <w:pPr>
              <w:keepNext/>
              <w:keepLines/>
              <w:overflowPunct/>
              <w:autoSpaceDE/>
              <w:autoSpaceDN/>
              <w:adjustRightInd/>
              <w:spacing w:after="0"/>
              <w:jc w:val="center"/>
              <w:textAlignment w:val="auto"/>
              <w:rPr>
                <w:rFonts w:ascii="Arial" w:hAnsi="Arial" w:eastAsia="MS Gothic"/>
                <w:sz w:val="18"/>
                <w:lang w:eastAsia="en-US"/>
              </w:rPr>
            </w:pPr>
            <w:r>
              <w:rPr>
                <w:rFonts w:ascii="Arial" w:hAnsi="Arial" w:eastAsia="MS Gothic"/>
                <w:sz w:val="18"/>
                <w:lang w:eastAsia="en-US"/>
              </w:rPr>
              <w:sym w:font="Wingdings" w:char="F0E0"/>
            </w:r>
          </w:p>
        </w:tc>
        <w:tc>
          <w:tcPr>
            <w:tcW w:w="3420" w:type="dxa"/>
            <w:tcBorders>
              <w:top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200 OK</w:t>
            </w:r>
          </w:p>
        </w:tc>
        <w:tc>
          <w:tcPr>
            <w:tcW w:w="4288" w:type="dxa"/>
            <w:tcBorders>
              <w:top w:val="single" w:color="auto" w:sz="4" w:space="0"/>
            </w:tcBorders>
          </w:tcPr>
          <w:p>
            <w:pPr>
              <w:keepNext/>
              <w:keepLines/>
              <w:overflowPunct/>
              <w:autoSpaceDE/>
              <w:autoSpaceDN/>
              <w:adjustRightInd/>
              <w:spacing w:after="0"/>
              <w:textAlignment w:val="auto"/>
              <w:rPr>
                <w:rFonts w:ascii="Arial" w:hAnsi="Arial" w:eastAsia="MS Gothic"/>
                <w:sz w:val="18"/>
                <w:lang w:eastAsia="en-US"/>
              </w:rPr>
            </w:pPr>
            <w:r>
              <w:rPr>
                <w:rFonts w:ascii="Arial" w:hAnsi="Arial" w:eastAsia="MS Gothic"/>
                <w:sz w:val="18"/>
                <w:lang w:eastAsia="en-US"/>
              </w:rPr>
              <w:t>UE sends a 200 OK.</w:t>
            </w:r>
          </w:p>
        </w:tc>
      </w:tr>
    </w:tbl>
    <w:p>
      <w:pPr>
        <w:overflowPunct/>
        <w:autoSpaceDE/>
        <w:autoSpaceDN/>
        <w:adjustRightInd/>
        <w:textAlignment w:val="auto"/>
        <w:rPr>
          <w:lang w:eastAsia="en-US"/>
        </w:rPr>
      </w:pPr>
    </w:p>
    <w:p>
      <w:pPr>
        <w:pStyle w:val="8"/>
        <w:rPr>
          <w:lang w:eastAsia="en-US"/>
        </w:rPr>
      </w:pPr>
      <w:r>
        <w:rPr>
          <w:lang w:eastAsia="en-US"/>
        </w:rPr>
        <w:t>Specific Message Contents</w:t>
      </w:r>
    </w:p>
    <w:p>
      <w:pPr>
        <w:pStyle w:val="8"/>
        <w:rPr>
          <w:snapToGrid w:val="0"/>
          <w:lang w:eastAsia="en-US"/>
        </w:rPr>
      </w:pPr>
      <w:r>
        <w:rPr>
          <w:snapToGrid w:val="0"/>
          <w:lang w:eastAsia="en-US"/>
        </w:rPr>
        <w:t>INVITE (Step 2)</w:t>
      </w:r>
    </w:p>
    <w:p>
      <w:pPr>
        <w:overflowPunct/>
        <w:autoSpaceDE/>
        <w:autoSpaceDN/>
        <w:adjustRightInd/>
        <w:textAlignment w:val="auto"/>
        <w:rPr>
          <w:snapToGrid w:val="0"/>
          <w:lang w:eastAsia="en-US"/>
        </w:rPr>
      </w:pPr>
      <w:r>
        <w:rPr>
          <w:lang w:eastAsia="en-US"/>
        </w:rPr>
        <w:t>Use the default message “INVITE” in annex A.2.1 with condition A4 and the following exception.</w:t>
      </w:r>
    </w:p>
    <w:tbl>
      <w:tblPr>
        <w:tblStyle w:val="42"/>
        <w:tblW w:w="0" w:type="auto"/>
        <w:jc w:val="center"/>
        <w:tblLayout w:type="autofit"/>
        <w:tblCellMar>
          <w:top w:w="0" w:type="dxa"/>
          <w:left w:w="28" w:type="dxa"/>
          <w:bottom w:w="0" w:type="dxa"/>
          <w:right w:w="108" w:type="dxa"/>
        </w:tblCellMar>
      </w:tblPr>
      <w:tblGrid>
        <w:gridCol w:w="2472"/>
        <w:gridCol w:w="6883"/>
      </w:tblGrid>
      <w:tr>
        <w:tblPrEx>
          <w:tblCellMar>
            <w:top w:w="0" w:type="dxa"/>
            <w:left w:w="28" w:type="dxa"/>
            <w:bottom w:w="0" w:type="dxa"/>
            <w:right w:w="108" w:type="dxa"/>
          </w:tblCellMar>
        </w:tblPrEx>
        <w:trPr>
          <w:tblHeader/>
          <w:jc w:val="center"/>
        </w:trPr>
        <w:tc>
          <w:tcPr>
            <w:tcW w:w="247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Header/param</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en-US"/>
              </w:rPr>
            </w:pPr>
            <w:r>
              <w:rPr>
                <w:lang w:eastAsia="en-US"/>
              </w:rPr>
              <w:t>Value/remark</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b/>
                <w:sz w:val="18"/>
                <w:lang w:eastAsia="en-US"/>
              </w:rPr>
              <w:t>Request-Line</w:t>
            </w:r>
          </w:p>
        </w:tc>
        <w:tc>
          <w:tcPr>
            <w:tcW w:w="6883"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p>
        </w:tc>
      </w:tr>
      <w:tr>
        <w:tblPrEx>
          <w:tblCellMar>
            <w:top w:w="0" w:type="dxa"/>
            <w:left w:w="28" w:type="dxa"/>
            <w:bottom w:w="0" w:type="dxa"/>
            <w:right w:w="108" w:type="dxa"/>
          </w:tblCellMar>
        </w:tblPrEx>
        <w:trPr>
          <w:jc w:val="center"/>
        </w:trPr>
        <w:tc>
          <w:tcPr>
            <w:tcW w:w="2472"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sz w:val="18"/>
                <w:lang w:eastAsia="en-US"/>
              </w:rPr>
              <w:tab/>
            </w:r>
            <w:r>
              <w:rPr>
                <w:rFonts w:ascii="Arial" w:hAnsi="Arial"/>
                <w:sz w:val="18"/>
                <w:lang w:eastAsia="en-US"/>
              </w:rPr>
              <w:t>Request-URI</w:t>
            </w:r>
          </w:p>
        </w:tc>
        <w:tc>
          <w:tcPr>
            <w:tcW w:w="6883"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ja-JP"/>
              </w:rPr>
            </w:pPr>
            <w:r>
              <w:rPr>
                <w:rFonts w:ascii="Arial" w:hAnsi="Arial"/>
                <w:sz w:val="18"/>
                <w:lang w:eastAsia="ja-JP"/>
              </w:rPr>
              <w:t xml:space="preserve">Request-URI set to a SIP URI with user part including the percent-encoded USSD string as used at step 1 and a "phone-context" parameter set to the home network domain name used in REGISTER request, a host part set to the home netwok domain name used in REGISTER request and a "user" URI parameter set to value "dialstring" </w:t>
            </w:r>
          </w:p>
          <w:p>
            <w:pPr>
              <w:keepNext/>
              <w:keepLines/>
              <w:overflowPunct/>
              <w:autoSpaceDE/>
              <w:autoSpaceDN/>
              <w:adjustRightInd/>
              <w:spacing w:after="0"/>
              <w:textAlignment w:val="auto"/>
              <w:rPr>
                <w:rFonts w:ascii="Arial" w:hAnsi="Arial"/>
                <w:sz w:val="18"/>
                <w:lang w:eastAsia="ja-JP"/>
              </w:rPr>
            </w:pPr>
            <w:r>
              <w:rPr>
                <w:rFonts w:ascii="Arial" w:hAnsi="Arial"/>
                <w:sz w:val="18"/>
                <w:lang w:eastAsia="ja-JP"/>
              </w:rPr>
              <w:t>Note: In USSD string *#60#, * may or may not be percent-encoded.</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b/>
                <w:sz w:val="18"/>
                <w:lang w:eastAsia="en-US"/>
              </w:rPr>
              <w:t>To</w:t>
            </w:r>
          </w:p>
        </w:tc>
        <w:tc>
          <w:tcPr>
            <w:tcW w:w="6883"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p>
        </w:tc>
      </w:tr>
      <w:tr>
        <w:tblPrEx>
          <w:tblCellMar>
            <w:top w:w="0" w:type="dxa"/>
            <w:left w:w="28" w:type="dxa"/>
            <w:bottom w:w="0" w:type="dxa"/>
            <w:right w:w="108" w:type="dxa"/>
          </w:tblCellMar>
        </w:tblPrEx>
        <w:trPr>
          <w:jc w:val="center"/>
        </w:trPr>
        <w:tc>
          <w:tcPr>
            <w:tcW w:w="2472" w:type="dxa"/>
            <w:tcBorders>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ab/>
            </w:r>
            <w:r>
              <w:rPr>
                <w:rFonts w:ascii="Arial" w:hAnsi="Arial"/>
                <w:sz w:val="18"/>
                <w:lang w:eastAsia="en-US"/>
              </w:rPr>
              <w:t>addr-spec</w:t>
            </w:r>
          </w:p>
        </w:tc>
        <w:tc>
          <w:tcPr>
            <w:tcW w:w="6883" w:type="dxa"/>
            <w:tcBorders>
              <w:top w:val="nil"/>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same as Request URI</w:t>
            </w:r>
          </w:p>
        </w:tc>
      </w:tr>
      <w:tr>
        <w:tblPrEx>
          <w:tblCellMar>
            <w:top w:w="0" w:type="dxa"/>
            <w:left w:w="28" w:type="dxa"/>
            <w:bottom w:w="0" w:type="dxa"/>
            <w:right w:w="108" w:type="dxa"/>
          </w:tblCellMar>
        </w:tblPrEx>
        <w:trPr>
          <w:jc w:val="center"/>
        </w:trPr>
        <w:tc>
          <w:tcPr>
            <w:tcW w:w="2472"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ab/>
            </w:r>
            <w:r>
              <w:rPr>
                <w:rFonts w:ascii="Arial" w:hAnsi="Arial"/>
                <w:sz w:val="18"/>
                <w:lang w:eastAsia="en-US"/>
              </w:rPr>
              <w:t>tag</w:t>
            </w:r>
          </w:p>
        </w:tc>
        <w:tc>
          <w:tcPr>
            <w:tcW w:w="6883"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not present</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b/>
                <w:sz w:val="18"/>
                <w:lang w:eastAsia="en-US"/>
              </w:rPr>
              <w:t>Recv-Info</w:t>
            </w:r>
          </w:p>
        </w:tc>
        <w:tc>
          <w:tcPr>
            <w:tcW w:w="6883" w:type="dxa"/>
            <w:tcBorders>
              <w:top w:val="single" w:color="auto" w:sz="4" w:space="0"/>
              <w:left w:val="single" w:color="auto" w:sz="4" w:space="0"/>
              <w:bottom w:val="nil"/>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p>
        </w:tc>
      </w:tr>
      <w:tr>
        <w:tblPrEx>
          <w:tblCellMar>
            <w:top w:w="0" w:type="dxa"/>
            <w:left w:w="28" w:type="dxa"/>
            <w:bottom w:w="0" w:type="dxa"/>
            <w:right w:w="108" w:type="dxa"/>
          </w:tblCellMar>
        </w:tblPrEx>
        <w:trPr>
          <w:jc w:val="center"/>
        </w:trPr>
        <w:tc>
          <w:tcPr>
            <w:tcW w:w="2472"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ab/>
            </w:r>
            <w:r>
              <w:rPr>
                <w:rFonts w:ascii="Arial" w:hAnsi="Arial"/>
                <w:sz w:val="18"/>
                <w:lang w:eastAsia="en-US"/>
              </w:rPr>
              <w:t>Info-package-type</w:t>
            </w:r>
          </w:p>
        </w:tc>
        <w:tc>
          <w:tcPr>
            <w:tcW w:w="6883" w:type="dxa"/>
            <w:tcBorders>
              <w:top w:val="nil"/>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g.3gpp.ussd</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b/>
                <w:sz w:val="18"/>
                <w:lang w:eastAsia="en-US"/>
              </w:rPr>
              <w:t>Accept</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application/vnd.3gpp.ussd+xml, application/sdp, multipart/mixed</w:t>
            </w:r>
          </w:p>
          <w:p>
            <w:pPr>
              <w:keepNext/>
              <w:keepLines/>
              <w:overflowPunct/>
              <w:autoSpaceDE/>
              <w:autoSpaceDN/>
              <w:adjustRightInd/>
              <w:spacing w:after="0"/>
              <w:textAlignment w:val="auto"/>
              <w:rPr>
                <w:rFonts w:ascii="Arial" w:hAnsi="Arial"/>
                <w:i/>
                <w:sz w:val="18"/>
                <w:lang w:eastAsia="en-US"/>
              </w:rPr>
            </w:pPr>
            <w:ins w:id="0" w:author="Administrator" w:date="2022-11-04T13:47:15Z">
              <w:r>
                <w:rPr>
                  <w:rFonts w:ascii="Arial" w:hAnsi="Arial"/>
                  <w:sz w:val="18"/>
                  <w:highlight w:val="none"/>
                  <w:lang w:eastAsia="en-US"/>
                </w:rPr>
                <w:t>(additional medias can be added in any order)</w:t>
              </w:r>
            </w:ins>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b/>
                <w:sz w:val="18"/>
                <w:lang w:eastAsia="en-US"/>
              </w:rPr>
              <w:t>Content-Type</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sz w:val="18"/>
                <w:lang w:eastAsia="en-US"/>
              </w:rPr>
              <w:tab/>
            </w:r>
            <w:r>
              <w:rPr>
                <w:rFonts w:ascii="Arial" w:hAnsi="Arial"/>
                <w:sz w:val="18"/>
                <w:lang w:eastAsia="en-US"/>
              </w:rPr>
              <w:t>media-type</w:t>
            </w:r>
          </w:p>
        </w:tc>
        <w:tc>
          <w:tcPr>
            <w:tcW w:w="6883"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multipart/mixed;</w:t>
            </w:r>
            <w:r>
              <w:rPr>
                <w:rFonts w:ascii="Arial" w:hAnsi="Arial" w:cs="Arial"/>
                <w:i/>
                <w:color w:val="000000"/>
                <w:sz w:val="18"/>
                <w:szCs w:val="18"/>
                <w:lang w:eastAsia="en-US"/>
              </w:rPr>
              <w:t>boundary=</w:t>
            </w:r>
            <w:r>
              <w:rPr>
                <w:rFonts w:ascii="Arial" w:hAnsi="Arial" w:cs="Arial"/>
                <w:color w:val="000000"/>
                <w:sz w:val="18"/>
                <w:szCs w:val="18"/>
                <w:lang w:eastAsia="en-US"/>
              </w:rPr>
              <w:t>any value</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b/>
                <w:sz w:val="18"/>
                <w:lang w:eastAsia="en-US"/>
              </w:rPr>
              <w:t>Message-body</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napToGrid w:val="0"/>
                <w:sz w:val="18"/>
                <w:lang w:eastAsia="en-US"/>
              </w:rPr>
            </w:pPr>
            <w:r>
              <w:rPr>
                <w:rFonts w:ascii="Arial" w:hAnsi="Arial"/>
                <w:snapToGrid w:val="0"/>
                <w:sz w:val="18"/>
                <w:lang w:eastAsia="en-US"/>
              </w:rPr>
              <w:t>The following SDP types and values.</w:t>
            </w:r>
          </w:p>
          <w:p>
            <w:pPr>
              <w:keepNext/>
              <w:keepLines/>
              <w:overflowPunct/>
              <w:autoSpaceDE/>
              <w:autoSpaceDN/>
              <w:adjustRightInd/>
              <w:spacing w:after="0"/>
              <w:textAlignment w:val="auto"/>
              <w:rPr>
                <w:rFonts w:ascii="Arial" w:hAnsi="Arial"/>
                <w:snapToGrid w:val="0"/>
                <w:sz w:val="18"/>
                <w:lang w:eastAsia="en-US"/>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--boundary value (as provided in SIP hdr Content-Type)</w:t>
            </w:r>
          </w:p>
          <w:p>
            <w:pPr>
              <w:keepNext/>
              <w:keepLines/>
              <w:overflowPunct/>
              <w:autoSpaceDE/>
              <w:autoSpaceDN/>
              <w:adjustRightInd/>
              <w:spacing w:after="0"/>
              <w:textAlignment w:val="auto"/>
              <w:rPr>
                <w:rFonts w:ascii="Arial" w:hAnsi="Arial"/>
                <w:snapToGrid w:val="0"/>
                <w:sz w:val="18"/>
                <w:lang w:val="fr-FR" w:eastAsia="en-US"/>
              </w:rPr>
            </w:pPr>
            <w:r>
              <w:rPr>
                <w:rFonts w:ascii="Arial" w:hAnsi="Arial"/>
                <w:snapToGrid w:val="0"/>
                <w:sz w:val="18"/>
                <w:lang w:val="fr-FR" w:eastAsia="en-US"/>
              </w:rPr>
              <w:t>Content-Type: application/sdp</w:t>
            </w:r>
          </w:p>
          <w:p>
            <w:pPr>
              <w:keepNext/>
              <w:keepLines/>
              <w:overflowPunct/>
              <w:autoSpaceDE/>
              <w:autoSpaceDN/>
              <w:adjustRightInd/>
              <w:spacing w:after="0"/>
              <w:textAlignment w:val="auto"/>
              <w:rPr>
                <w:rFonts w:ascii="Arial" w:hAnsi="Arial"/>
                <w:snapToGrid w:val="0"/>
                <w:sz w:val="18"/>
                <w:lang w:val="fr-FR" w:eastAsia="en-US"/>
              </w:rPr>
            </w:pPr>
          </w:p>
          <w:p>
            <w:pPr>
              <w:keepNext/>
              <w:keepLines/>
              <w:overflowPunct/>
              <w:autoSpaceDE/>
              <w:autoSpaceDN/>
              <w:adjustRightInd/>
              <w:spacing w:after="0"/>
              <w:textAlignment w:val="auto"/>
              <w:rPr>
                <w:rFonts w:ascii="Arial" w:hAnsi="Arial" w:eastAsia="宋体"/>
                <w:snapToGrid w:val="0"/>
                <w:sz w:val="18"/>
                <w:szCs w:val="24"/>
                <w:lang w:val="fr-FR" w:eastAsia="zh-CN"/>
              </w:rPr>
            </w:pPr>
            <w:r>
              <w:rPr>
                <w:rFonts w:ascii="Arial" w:hAnsi="Arial" w:eastAsia="宋体"/>
                <w:snapToGrid w:val="0"/>
                <w:sz w:val="18"/>
                <w:szCs w:val="24"/>
                <w:lang w:val="fr-FR" w:eastAsia="zh-CN"/>
              </w:rPr>
              <w:t>Session description:</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v=0</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o=</w:t>
            </w:r>
            <w:r>
              <w:rPr>
                <w:rFonts w:ascii="Arial" w:hAnsi="Arial" w:eastAsia="宋体"/>
                <w:iCs/>
                <w:snapToGrid w:val="0"/>
                <w:sz w:val="18"/>
                <w:szCs w:val="24"/>
                <w:lang w:eastAsia="en-US"/>
              </w:rPr>
              <w:t>(username)</w:t>
            </w:r>
            <w:r>
              <w:rPr>
                <w:rFonts w:ascii="Arial" w:hAnsi="Arial"/>
                <w:i/>
                <w:iCs/>
                <w:snapToGrid w:val="0"/>
                <w:sz w:val="18"/>
                <w:lang w:eastAsia="en-US"/>
              </w:rPr>
              <w:t xml:space="preserve"> </w:t>
            </w:r>
            <w:r>
              <w:rPr>
                <w:rFonts w:ascii="Arial" w:hAnsi="Arial"/>
                <w:iCs/>
                <w:snapToGrid w:val="0"/>
                <w:sz w:val="18"/>
                <w:lang w:eastAsia="en-US"/>
              </w:rPr>
              <w:t xml:space="preserve">(sess-id) </w:t>
            </w:r>
            <w:r>
              <w:rPr>
                <w:rFonts w:ascii="Arial" w:hAnsi="Arial"/>
                <w:bCs/>
                <w:sz w:val="18"/>
                <w:lang w:eastAsia="en-US"/>
              </w:rPr>
              <w:t xml:space="preserve">(sess-version) </w:t>
            </w:r>
            <w:r>
              <w:rPr>
                <w:rFonts w:ascii="Arial" w:hAnsi="Arial"/>
                <w:i/>
                <w:iCs/>
                <w:snapToGrid w:val="0"/>
                <w:sz w:val="18"/>
                <w:lang w:eastAsia="en-US"/>
              </w:rPr>
              <w:t>IN</w:t>
            </w:r>
            <w:r>
              <w:rPr>
                <w:rFonts w:ascii="Arial" w:hAnsi="Arial"/>
                <w:snapToGrid w:val="0"/>
                <w:sz w:val="18"/>
                <w:lang w:eastAsia="en-US"/>
              </w:rPr>
              <w:t xml:space="preserve"> </w:t>
            </w:r>
            <w:r>
              <w:rPr>
                <w:rFonts w:ascii="Arial" w:hAnsi="Arial"/>
                <w:sz w:val="18"/>
                <w:lang w:eastAsia="en-US"/>
              </w:rPr>
              <w:t>(addrtype)</w:t>
            </w:r>
            <w:r>
              <w:rPr>
                <w:rFonts w:ascii="Arial" w:hAnsi="Arial"/>
                <w:snapToGrid w:val="0"/>
                <w:sz w:val="18"/>
                <w:lang w:eastAsia="en-US"/>
              </w:rPr>
              <w:t xml:space="preserve"> (unicast-address for UE)</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s=</w:t>
            </w:r>
            <w:r>
              <w:rPr>
                <w:rFonts w:ascii="Arial" w:hAnsi="Arial"/>
                <w:iCs/>
                <w:snapToGrid w:val="0"/>
                <w:sz w:val="18"/>
                <w:lang w:eastAsia="en-US"/>
              </w:rPr>
              <w:t>(session name)</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c=IN</w:t>
            </w:r>
            <w:r>
              <w:rPr>
                <w:rFonts w:ascii="Arial" w:hAnsi="Arial"/>
                <w:snapToGrid w:val="0"/>
                <w:sz w:val="18"/>
                <w:lang w:eastAsia="en-US"/>
              </w:rPr>
              <w:t xml:space="preserve"> </w:t>
            </w:r>
            <w:r>
              <w:rPr>
                <w:rFonts w:ascii="Arial" w:hAnsi="Arial"/>
                <w:sz w:val="18"/>
                <w:lang w:eastAsia="en-US"/>
              </w:rPr>
              <w:t>(addrtype)</w:t>
            </w:r>
            <w:r>
              <w:rPr>
                <w:rFonts w:ascii="Arial" w:hAnsi="Arial"/>
                <w:snapToGrid w:val="0"/>
                <w:sz w:val="18"/>
                <w:lang w:eastAsia="en-US"/>
              </w:rPr>
              <w:t xml:space="preserve"> (connection-address for UE) [Note 1]</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eastAsia="宋体"/>
                <w:i/>
                <w:sz w:val="18"/>
                <w:lang w:eastAsia="zh-CN"/>
              </w:rPr>
              <w:t>b=AS</w:t>
            </w:r>
            <w:r>
              <w:rPr>
                <w:rFonts w:ascii="Arial" w:hAnsi="Arial" w:eastAsia="宋体"/>
                <w:sz w:val="18"/>
                <w:lang w:eastAsia="zh-CN"/>
              </w:rPr>
              <w:t>: (bandwidth-value)</w:t>
            </w:r>
          </w:p>
          <w:p>
            <w:pPr>
              <w:keepNext/>
              <w:keepLines/>
              <w:overflowPunct/>
              <w:autoSpaceDE/>
              <w:autoSpaceDN/>
              <w:adjustRightInd/>
              <w:spacing w:after="0"/>
              <w:textAlignment w:val="auto"/>
              <w:rPr>
                <w:rFonts w:ascii="Arial" w:hAnsi="Arial"/>
                <w:snapToGrid w:val="0"/>
                <w:sz w:val="18"/>
                <w:lang w:eastAsia="en-US"/>
              </w:rPr>
            </w:pPr>
          </w:p>
          <w:p>
            <w:pPr>
              <w:keepNext/>
              <w:keepLines/>
              <w:overflowPunct/>
              <w:autoSpaceDE/>
              <w:autoSpaceDN/>
              <w:adjustRightInd/>
              <w:spacing w:after="0"/>
              <w:textAlignment w:val="auto"/>
              <w:rPr>
                <w:rFonts w:ascii="Arial" w:hAnsi="Arial"/>
                <w:snapToGrid w:val="0"/>
                <w:sz w:val="18"/>
                <w:lang w:eastAsia="en-US"/>
              </w:rPr>
            </w:pPr>
            <w:r>
              <w:rPr>
                <w:rFonts w:ascii="Arial" w:hAnsi="Arial"/>
                <w:snapToGrid w:val="0"/>
                <w:sz w:val="18"/>
                <w:lang w:eastAsia="en-US"/>
              </w:rPr>
              <w:t>Time description:</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t=</w:t>
            </w:r>
            <w:r>
              <w:rPr>
                <w:rFonts w:ascii="Arial" w:hAnsi="Arial"/>
                <w:bCs/>
                <w:sz w:val="18"/>
                <w:lang w:eastAsia="en-US"/>
              </w:rPr>
              <w:t xml:space="preserve"> (start-time) (stop-time)</w:t>
            </w:r>
          </w:p>
          <w:p>
            <w:pPr>
              <w:keepNext/>
              <w:keepLines/>
              <w:overflowPunct/>
              <w:autoSpaceDE/>
              <w:autoSpaceDN/>
              <w:adjustRightInd/>
              <w:spacing w:after="0"/>
              <w:textAlignment w:val="auto"/>
              <w:rPr>
                <w:rFonts w:ascii="Arial" w:hAnsi="Arial"/>
                <w:snapToGrid w:val="0"/>
                <w:sz w:val="18"/>
                <w:lang w:eastAsia="en-US"/>
              </w:rPr>
            </w:pPr>
          </w:p>
          <w:p>
            <w:pPr>
              <w:keepNext/>
              <w:keepLines/>
              <w:overflowPunct/>
              <w:autoSpaceDE/>
              <w:autoSpaceDN/>
              <w:adjustRightInd/>
              <w:spacing w:after="0"/>
              <w:textAlignment w:val="auto"/>
              <w:rPr>
                <w:rFonts w:ascii="Arial" w:hAnsi="Arial"/>
                <w:snapToGrid w:val="0"/>
                <w:sz w:val="18"/>
                <w:lang w:eastAsia="en-US"/>
              </w:rPr>
            </w:pPr>
            <w:r>
              <w:rPr>
                <w:rFonts w:ascii="Arial" w:hAnsi="Arial"/>
                <w:sz w:val="18"/>
                <w:lang w:eastAsia="en-US"/>
              </w:rPr>
              <w:t>Media description:</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m=</w:t>
            </w:r>
            <w:r>
              <w:rPr>
                <w:rFonts w:ascii="Arial" w:hAnsi="Arial"/>
                <w:iCs/>
                <w:snapToGrid w:val="0"/>
                <w:sz w:val="18"/>
                <w:lang w:eastAsia="en-US"/>
              </w:rPr>
              <w:t>(media)</w:t>
            </w:r>
            <w:r>
              <w:rPr>
                <w:rFonts w:ascii="Arial" w:hAnsi="Arial"/>
                <w:snapToGrid w:val="0"/>
                <w:sz w:val="18"/>
                <w:lang w:eastAsia="en-US"/>
              </w:rPr>
              <w:t xml:space="preserve"> 0 [Note2]</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c=IN</w:t>
            </w:r>
            <w:r>
              <w:rPr>
                <w:rFonts w:ascii="Arial" w:hAnsi="Arial"/>
                <w:snapToGrid w:val="0"/>
                <w:sz w:val="18"/>
                <w:lang w:eastAsia="en-US"/>
              </w:rPr>
              <w:t xml:space="preserve"> </w:t>
            </w:r>
            <w:r>
              <w:rPr>
                <w:rFonts w:ascii="Arial" w:hAnsi="Arial"/>
                <w:sz w:val="18"/>
                <w:lang w:eastAsia="en-US"/>
              </w:rPr>
              <w:t>(addrtype)</w:t>
            </w:r>
            <w:r>
              <w:rPr>
                <w:rFonts w:ascii="Arial" w:hAnsi="Arial"/>
                <w:snapToGrid w:val="0"/>
                <w:sz w:val="18"/>
                <w:lang w:eastAsia="en-US"/>
              </w:rPr>
              <w:t xml:space="preserve"> (connection-address for UE) [Note 1]</w:t>
            </w:r>
          </w:p>
          <w:p>
            <w:pPr>
              <w:keepNext/>
              <w:keepLines/>
              <w:numPr>
                <w:ilvl w:val="0"/>
                <w:numId w:val="1"/>
              </w:numPr>
              <w:overflowPunct/>
              <w:autoSpaceDE/>
              <w:autoSpaceDN/>
              <w:adjustRightInd/>
              <w:spacing w:after="0"/>
              <w:textAlignment w:val="auto"/>
              <w:rPr>
                <w:rFonts w:ascii="Arial" w:hAnsi="Arial"/>
                <w:snapToGrid w:val="0"/>
                <w:sz w:val="18"/>
                <w:lang w:eastAsia="en-US"/>
              </w:rPr>
            </w:pPr>
            <w:r>
              <w:rPr>
                <w:rFonts w:ascii="Arial" w:hAnsi="Arial"/>
                <w:i/>
                <w:iCs/>
                <w:snapToGrid w:val="0"/>
                <w:sz w:val="18"/>
                <w:lang w:eastAsia="en-US"/>
              </w:rPr>
              <w:t>b=AS:</w:t>
            </w:r>
            <w:r>
              <w:rPr>
                <w:rFonts w:ascii="Arial" w:hAnsi="Arial"/>
                <w:snapToGrid w:val="0"/>
                <w:sz w:val="18"/>
                <w:lang w:eastAsia="en-US"/>
              </w:rPr>
              <w:t xml:space="preserve"> (bandwidth-value)</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ind w:left="720"/>
              <w:textAlignment w:val="auto"/>
              <w:rPr>
                <w:rFonts w:ascii="Arial" w:hAnsi="Arial" w:cs="Arial"/>
                <w:i/>
                <w:color w:val="000000"/>
                <w:sz w:val="18"/>
                <w:szCs w:val="18"/>
                <w:lang w:eastAsia="en-US"/>
              </w:rPr>
            </w:pP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--boundary value (as provided in SIP hdr Content-Type)</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i/>
                <w:color w:val="000000"/>
                <w:sz w:val="18"/>
                <w:szCs w:val="18"/>
                <w:lang w:eastAsia="en-US"/>
              </w:rPr>
            </w:pPr>
            <w:r>
              <w:rPr>
                <w:rFonts w:ascii="Arial" w:hAnsi="Arial" w:cs="Arial"/>
                <w:i/>
                <w:color w:val="000000"/>
                <w:sz w:val="18"/>
                <w:szCs w:val="18"/>
                <w:lang w:eastAsia="en-US"/>
              </w:rPr>
              <w:t>Content-Type: application/vnd.3gpp.ussd+xml</w:t>
            </w:r>
          </w:p>
          <w:p>
            <w:pPr>
              <w:keepNext/>
              <w:keepLines/>
              <w:overflowPunct/>
              <w:autoSpaceDE/>
              <w:autoSpaceDN/>
              <w:adjustRightInd/>
              <w:spacing w:after="0"/>
              <w:textAlignment w:val="auto"/>
              <w:rPr>
                <w:rFonts w:ascii="Arial" w:hAnsi="Arial" w:cs="Arial"/>
                <w:i/>
                <w:sz w:val="18"/>
                <w:szCs w:val="18"/>
                <w:lang w:eastAsia="en-US"/>
              </w:rPr>
            </w:pPr>
            <w:r>
              <w:rPr>
                <w:rFonts w:ascii="Arial" w:hAnsi="Arial" w:cs="Arial"/>
                <w:i/>
                <w:sz w:val="18"/>
                <w:szCs w:val="18"/>
                <w:lang w:eastAsia="en-US"/>
              </w:rPr>
              <w:t>&lt;?xml version="1.0" encoding="UTF-8"?&gt;</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&lt;ussd-data&gt;</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 xml:space="preserve">  &lt;language&gt;</w:t>
            </w:r>
            <w:r>
              <w:rPr>
                <w:rFonts w:ascii="Arial" w:hAnsi="Arial"/>
                <w:sz w:val="18"/>
                <w:lang w:eastAsia="en-US"/>
              </w:rPr>
              <w:t>(language)</w:t>
            </w:r>
            <w:r>
              <w:rPr>
                <w:rFonts w:ascii="Arial" w:hAnsi="Arial"/>
                <w:i/>
                <w:sz w:val="18"/>
                <w:lang w:eastAsia="en-US"/>
              </w:rPr>
              <w:t xml:space="preserve">&lt;/language&gt; </w:t>
            </w:r>
            <w:r>
              <w:rPr>
                <w:rFonts w:ascii="Arial" w:hAnsi="Arial"/>
                <w:sz w:val="18"/>
                <w:lang w:eastAsia="en-US"/>
              </w:rPr>
              <w:t>[Note 3]</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 xml:space="preserve">  &lt;ussd-string&gt;</w:t>
            </w:r>
            <w:r>
              <w:rPr>
                <w:rFonts w:ascii="Arial" w:hAnsi="Arial"/>
                <w:sz w:val="18"/>
                <w:lang w:eastAsia="en-US"/>
              </w:rPr>
              <w:t>(</w:t>
            </w:r>
            <w:r>
              <w:rPr>
                <w:rFonts w:ascii="Arial" w:hAnsi="Arial"/>
                <w:sz w:val="18"/>
                <w:lang w:eastAsia="ja-JP"/>
              </w:rPr>
              <w:t xml:space="preserve"> USSD string as used at step 1</w:t>
            </w:r>
            <w:r>
              <w:rPr>
                <w:rFonts w:ascii="Arial" w:hAnsi="Arial"/>
                <w:sz w:val="18"/>
                <w:lang w:eastAsia="en-US"/>
              </w:rPr>
              <w:t>)</w:t>
            </w:r>
            <w:r>
              <w:rPr>
                <w:rFonts w:ascii="Arial" w:hAnsi="Arial"/>
                <w:i/>
                <w:sz w:val="18"/>
                <w:lang w:eastAsia="en-US"/>
              </w:rPr>
              <w:t>&lt;/ussd-string&gt;</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&lt;/ussd-data&gt;</w:t>
            </w:r>
          </w:p>
          <w:p>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rFonts w:ascii="Arial" w:hAnsi="Arial" w:cs="Arial"/>
                <w:color w:val="000000"/>
                <w:sz w:val="18"/>
                <w:szCs w:val="18"/>
                <w:lang w:eastAsia="en-US"/>
              </w:rPr>
            </w:pPr>
            <w:r>
              <w:rPr>
                <w:rFonts w:ascii="Arial" w:hAnsi="Arial" w:cs="Arial"/>
                <w:color w:val="000000"/>
                <w:sz w:val="18"/>
                <w:szCs w:val="18"/>
                <w:lang w:eastAsia="en-US"/>
              </w:rPr>
              <w:t>--boundary value (as provided in SIP hdr Content-Type)</w:t>
            </w:r>
          </w:p>
          <w:p>
            <w:pPr>
              <w:keepNext/>
              <w:keepLines/>
              <w:overflowPunct/>
              <w:autoSpaceDE/>
              <w:autoSpaceDN/>
              <w:adjustRightInd/>
              <w:spacing w:after="0"/>
              <w:textAlignment w:val="auto"/>
              <w:rPr>
                <w:rFonts w:ascii="Arial" w:hAnsi="Arial"/>
                <w:i/>
                <w:sz w:val="18"/>
                <w:lang w:eastAsia="en-US"/>
              </w:rPr>
            </w:pPr>
          </w:p>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Note 1: At least one "c=" field shall be present.</w:t>
            </w:r>
          </w:p>
          <w:p>
            <w:pPr>
              <w:keepNext/>
              <w:keepLines/>
              <w:overflowPunct/>
              <w:autoSpaceDE/>
              <w:autoSpaceDN/>
              <w:adjustRightInd/>
              <w:spacing w:after="0"/>
              <w:textAlignment w:val="auto"/>
              <w:rPr>
                <w:rFonts w:ascii="Arial" w:hAnsi="Arial"/>
                <w:i/>
                <w:sz w:val="18"/>
                <w:lang w:eastAsia="en-US"/>
              </w:rPr>
            </w:pPr>
            <w:r>
              <w:rPr>
                <w:rFonts w:ascii="Arial" w:hAnsi="Arial"/>
                <w:sz w:val="18"/>
                <w:lang w:eastAsia="en-US"/>
              </w:rPr>
              <w:t xml:space="preserve">Note 2: media is the type of media like </w:t>
            </w:r>
            <w:r>
              <w:rPr>
                <w:rFonts w:ascii="Arial" w:hAnsi="Arial"/>
                <w:i/>
                <w:sz w:val="18"/>
                <w:lang w:eastAsia="en-US"/>
              </w:rPr>
              <w:t>audio.</w:t>
            </w:r>
          </w:p>
          <w:p>
            <w:pPr>
              <w:keepNext/>
              <w:keepLines/>
              <w:overflowPunct/>
              <w:autoSpaceDE/>
              <w:autoSpaceDN/>
              <w:adjustRightInd/>
              <w:spacing w:after="0"/>
              <w:textAlignment w:val="auto"/>
              <w:rPr>
                <w:rFonts w:ascii="Arial" w:hAnsi="Arial" w:eastAsia="宋体"/>
                <w:sz w:val="18"/>
                <w:lang w:eastAsia="zh-CN"/>
              </w:rPr>
            </w:pPr>
            <w:r>
              <w:rPr>
                <w:rFonts w:ascii="Arial" w:hAnsi="Arial"/>
                <w:sz w:val="18"/>
                <w:lang w:eastAsia="en-US"/>
              </w:rPr>
              <w:t>Note 3: language is the type of USSD language coded as defined in IETF RFC 5646 [153]</w:t>
            </w:r>
          </w:p>
        </w:tc>
      </w:tr>
    </w:tbl>
    <w:p>
      <w:pPr>
        <w:rPr>
          <w:lang w:eastAsia="en-US"/>
        </w:rPr>
      </w:pPr>
    </w:p>
    <w:p>
      <w:pPr>
        <w:pStyle w:val="8"/>
        <w:rPr>
          <w:snapToGrid w:val="0"/>
          <w:lang w:eastAsia="en-US"/>
        </w:rPr>
      </w:pPr>
      <w:r>
        <w:rPr>
          <w:snapToGrid w:val="0"/>
          <w:lang w:eastAsia="en-US"/>
        </w:rPr>
        <w:t>200 OK for INVITE (Step 4)</w:t>
      </w:r>
    </w:p>
    <w:p>
      <w:pPr>
        <w:keepNext/>
        <w:overflowPunct/>
        <w:autoSpaceDE/>
        <w:autoSpaceDN/>
        <w:adjustRightInd/>
        <w:textAlignment w:val="auto"/>
        <w:rPr>
          <w:lang w:eastAsia="en-US"/>
        </w:rPr>
      </w:pPr>
      <w:r>
        <w:rPr>
          <w:lang w:eastAsia="en-US"/>
        </w:rPr>
        <w:t>Use the default message “200 OK for other requests than REGISTER or SUBSCRIBE” in annex A.3.1 with the following exception.</w:t>
      </w:r>
    </w:p>
    <w:tbl>
      <w:tblPr>
        <w:tblStyle w:val="42"/>
        <w:tblW w:w="0" w:type="auto"/>
        <w:jc w:val="center"/>
        <w:tblLayout w:type="autofit"/>
        <w:tblCellMar>
          <w:top w:w="0" w:type="dxa"/>
          <w:left w:w="28" w:type="dxa"/>
          <w:bottom w:w="0" w:type="dxa"/>
          <w:right w:w="108" w:type="dxa"/>
        </w:tblCellMar>
      </w:tblPr>
      <w:tblGrid>
        <w:gridCol w:w="2472"/>
        <w:gridCol w:w="6883"/>
      </w:tblGrid>
      <w:tr>
        <w:tblPrEx>
          <w:tblCellMar>
            <w:top w:w="0" w:type="dxa"/>
            <w:left w:w="28" w:type="dxa"/>
            <w:bottom w:w="0" w:type="dxa"/>
            <w:right w:w="108" w:type="dxa"/>
          </w:tblCellMar>
        </w:tblPrEx>
        <w:trPr>
          <w:tblHeader/>
          <w:jc w:val="center"/>
        </w:trPr>
        <w:tc>
          <w:tcPr>
            <w:tcW w:w="247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Header/param</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en-US"/>
              </w:rPr>
            </w:pPr>
            <w:r>
              <w:rPr>
                <w:lang w:eastAsia="en-US"/>
              </w:rPr>
              <w:t>Value/remark</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b/>
                <w:sz w:val="18"/>
                <w:lang w:eastAsia="en-US"/>
              </w:rPr>
              <w:t>Recv-Info</w:t>
            </w:r>
          </w:p>
        </w:tc>
        <w:tc>
          <w:tcPr>
            <w:tcW w:w="6883" w:type="dxa"/>
            <w:tcBorders>
              <w:top w:val="single" w:color="auto" w:sz="4" w:space="0"/>
              <w:left w:val="single" w:color="auto" w:sz="4" w:space="0"/>
              <w:bottom w:val="nil"/>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p>
        </w:tc>
      </w:tr>
      <w:tr>
        <w:tblPrEx>
          <w:tblCellMar>
            <w:top w:w="0" w:type="dxa"/>
            <w:left w:w="28" w:type="dxa"/>
            <w:bottom w:w="0" w:type="dxa"/>
            <w:right w:w="108" w:type="dxa"/>
          </w:tblCellMar>
        </w:tblPrEx>
        <w:trPr>
          <w:jc w:val="center"/>
        </w:trPr>
        <w:tc>
          <w:tcPr>
            <w:tcW w:w="2472"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sz w:val="18"/>
                <w:lang w:eastAsia="en-US"/>
              </w:rPr>
              <w:tab/>
            </w:r>
            <w:r>
              <w:rPr>
                <w:rFonts w:ascii="Arial" w:hAnsi="Arial"/>
                <w:sz w:val="18"/>
                <w:lang w:eastAsia="en-US"/>
              </w:rPr>
              <w:t>Info-package-type</w:t>
            </w:r>
          </w:p>
        </w:tc>
        <w:tc>
          <w:tcPr>
            <w:tcW w:w="6883" w:type="dxa"/>
            <w:tcBorders>
              <w:top w:val="nil"/>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g.3gpp.ussd</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b/>
                <w:sz w:val="18"/>
                <w:lang w:eastAsia="en-US"/>
              </w:rPr>
              <w:t>Accept</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application/vnd.3gpp.ussd+xml, application/sdp, multipart/mixed MIME types</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b/>
                <w:sz w:val="18"/>
                <w:lang w:eastAsia="en-US"/>
              </w:rPr>
              <w:t>Content-Type</w:t>
            </w:r>
          </w:p>
        </w:tc>
        <w:tc>
          <w:tcPr>
            <w:tcW w:w="6883" w:type="dxa"/>
            <w:tcBorders>
              <w:top w:val="single" w:color="auto" w:sz="4" w:space="0"/>
              <w:left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p>
        </w:tc>
      </w:tr>
      <w:tr>
        <w:tblPrEx>
          <w:tblCellMar>
            <w:top w:w="0" w:type="dxa"/>
            <w:left w:w="28" w:type="dxa"/>
            <w:bottom w:w="0" w:type="dxa"/>
            <w:right w:w="108" w:type="dxa"/>
          </w:tblCellMar>
        </w:tblPrEx>
        <w:trPr>
          <w:jc w:val="center"/>
        </w:trPr>
        <w:tc>
          <w:tcPr>
            <w:tcW w:w="2472"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sz w:val="18"/>
                <w:lang w:eastAsia="en-US"/>
              </w:rPr>
              <w:tab/>
            </w:r>
            <w:r>
              <w:rPr>
                <w:rFonts w:ascii="Arial" w:hAnsi="Arial"/>
                <w:sz w:val="18"/>
                <w:lang w:eastAsia="en-US"/>
              </w:rPr>
              <w:t>media-type</w:t>
            </w:r>
          </w:p>
        </w:tc>
        <w:tc>
          <w:tcPr>
            <w:tcW w:w="6883" w:type="dxa"/>
            <w:tcBorders>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application/sdp</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b/>
                <w:sz w:val="18"/>
                <w:lang w:eastAsia="en-US"/>
              </w:rPr>
              <w:t>Message-body</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eastAsia="宋体"/>
                <w:sz w:val="18"/>
                <w:lang w:eastAsia="zh-CN"/>
              </w:rPr>
            </w:pPr>
            <w:r>
              <w:rPr>
                <w:rFonts w:ascii="Arial" w:hAnsi="Arial"/>
                <w:sz w:val="18"/>
                <w:lang w:eastAsia="en-US"/>
              </w:rPr>
              <w:t>SDP body of the 200 response copied from the received INVITE and modified as follows:</w:t>
            </w:r>
          </w:p>
          <w:p>
            <w:pPr>
              <w:keepNext/>
              <w:keepLines/>
              <w:overflowPunct/>
              <w:autoSpaceDE/>
              <w:autoSpaceDN/>
              <w:adjustRightInd/>
              <w:spacing w:after="0"/>
              <w:textAlignment w:val="auto"/>
              <w:rPr>
                <w:rFonts w:ascii="Arial" w:hAnsi="Arial" w:eastAsia="宋体"/>
                <w:sz w:val="18"/>
                <w:lang w:eastAsia="zh-CN"/>
              </w:rPr>
            </w:pPr>
          </w:p>
          <w:p>
            <w:pPr>
              <w:keepNext/>
              <w:keepLines/>
              <w:overflowPunct/>
              <w:autoSpaceDE/>
              <w:autoSpaceDN/>
              <w:adjustRightInd/>
              <w:spacing w:after="0"/>
              <w:textAlignment w:val="auto"/>
              <w:rPr>
                <w:rFonts w:ascii="Arial" w:hAnsi="Arial"/>
                <w:sz w:val="18"/>
                <w:lang w:eastAsia="en-US"/>
              </w:rPr>
            </w:pPr>
            <w:r>
              <w:rPr>
                <w:rFonts w:ascii="Arial" w:hAnsi="Arial" w:eastAsia="宋体"/>
                <w:i/>
                <w:sz w:val="18"/>
                <w:lang w:eastAsia="zh-CN"/>
              </w:rPr>
              <w:t>-</w:t>
            </w:r>
            <w:r>
              <w:rPr>
                <w:rFonts w:ascii="Arial" w:hAnsi="Arial" w:eastAsia="宋体"/>
                <w:i/>
                <w:sz w:val="18"/>
                <w:lang w:eastAsia="zh-CN"/>
              </w:rPr>
              <w:tab/>
            </w:r>
            <w:r>
              <w:rPr>
                <w:rFonts w:ascii="Arial" w:hAnsi="Arial" w:eastAsia="宋体"/>
                <w:i/>
                <w:sz w:val="18"/>
                <w:lang w:eastAsia="zh-CN"/>
              </w:rPr>
              <w:t>o=- 1111111111 1111111111 IN</w:t>
            </w:r>
            <w:r>
              <w:rPr>
                <w:rFonts w:ascii="Arial" w:hAnsi="Arial" w:eastAsia="宋体"/>
                <w:sz w:val="18"/>
                <w:lang w:eastAsia="zh-CN"/>
              </w:rPr>
              <w:t xml:space="preserve"> (addrtype) (unicast-address for SS)</w:t>
            </w:r>
          </w:p>
          <w:p>
            <w:pPr>
              <w:keepNext/>
              <w:keepLines/>
              <w:overflowPunct/>
              <w:autoSpaceDE/>
              <w:autoSpaceDN/>
              <w:adjustRightInd/>
              <w:spacing w:after="0"/>
              <w:textAlignment w:val="auto"/>
              <w:rPr>
                <w:rFonts w:ascii="Arial" w:hAnsi="Arial"/>
                <w:sz w:val="18"/>
                <w:lang w:eastAsia="en-US"/>
              </w:rPr>
            </w:pPr>
          </w:p>
          <w:p>
            <w:pPr>
              <w:keepNext/>
              <w:keepLines/>
              <w:overflowPunct/>
              <w:autoSpaceDE/>
              <w:autoSpaceDN/>
              <w:adjustRightInd/>
              <w:spacing w:after="0"/>
              <w:textAlignment w:val="auto"/>
              <w:rPr>
                <w:rFonts w:ascii="Arial" w:hAnsi="Arial"/>
                <w:snapToGrid w:val="0"/>
                <w:sz w:val="18"/>
                <w:lang w:eastAsia="en-US"/>
              </w:rPr>
            </w:pPr>
            <w:r>
              <w:rPr>
                <w:rFonts w:ascii="Arial" w:hAnsi="Arial"/>
                <w:snapToGrid w:val="0"/>
                <w:sz w:val="18"/>
                <w:lang w:eastAsia="en-US"/>
              </w:rPr>
              <w:t>-</w:t>
            </w:r>
            <w:r>
              <w:rPr>
                <w:rFonts w:ascii="Arial" w:hAnsi="Arial"/>
                <w:snapToGrid w:val="0"/>
                <w:sz w:val="18"/>
                <w:lang w:eastAsia="en-US"/>
              </w:rPr>
              <w:tab/>
            </w:r>
            <w:r>
              <w:rPr>
                <w:rFonts w:ascii="Arial" w:hAnsi="Arial"/>
                <w:snapToGrid w:val="0"/>
                <w:sz w:val="18"/>
                <w:lang w:eastAsia="en-US"/>
              </w:rPr>
              <w:t>IP address on "c=" line changed to indicate to which IP address and port the UE should start sending the media;</w:t>
            </w:r>
          </w:p>
          <w:p>
            <w:pPr>
              <w:keepNext/>
              <w:keepLines/>
              <w:overflowPunct/>
              <w:autoSpaceDE/>
              <w:autoSpaceDN/>
              <w:adjustRightInd/>
              <w:spacing w:after="0"/>
              <w:textAlignment w:val="auto"/>
              <w:rPr>
                <w:rFonts w:ascii="Arial" w:hAnsi="Arial"/>
                <w:i/>
                <w:iCs/>
                <w:snapToGrid w:val="0"/>
                <w:sz w:val="18"/>
                <w:lang w:eastAsia="en-US"/>
              </w:rPr>
            </w:pPr>
          </w:p>
          <w:p>
            <w:pPr>
              <w:keepNext/>
              <w:keepLines/>
              <w:overflowPunct/>
              <w:autoSpaceDE/>
              <w:autoSpaceDN/>
              <w:adjustRightInd/>
              <w:spacing w:after="0"/>
              <w:textAlignment w:val="auto"/>
              <w:rPr>
                <w:rFonts w:ascii="Arial" w:hAnsi="Arial" w:eastAsia="宋体"/>
                <w:sz w:val="18"/>
                <w:lang w:eastAsia="zh-CN"/>
              </w:rPr>
            </w:pPr>
            <w:r>
              <w:rPr>
                <w:rFonts w:ascii="Arial" w:hAnsi="Arial"/>
                <w:sz w:val="18"/>
                <w:lang w:eastAsia="en-US"/>
              </w:rPr>
              <w:t>- "a=" lines are all removed.</w:t>
            </w:r>
          </w:p>
        </w:tc>
      </w:tr>
    </w:tbl>
    <w:p>
      <w:pPr>
        <w:rPr>
          <w:snapToGrid w:val="0"/>
          <w:lang w:eastAsia="en-US"/>
        </w:rPr>
      </w:pPr>
    </w:p>
    <w:p>
      <w:pPr>
        <w:pStyle w:val="8"/>
        <w:rPr>
          <w:snapToGrid w:val="0"/>
          <w:lang w:eastAsia="en-US"/>
        </w:rPr>
      </w:pPr>
      <w:r>
        <w:rPr>
          <w:snapToGrid w:val="0"/>
          <w:lang w:eastAsia="en-US"/>
        </w:rPr>
        <w:t>BYE (Step 6)</w:t>
      </w:r>
    </w:p>
    <w:p>
      <w:pPr>
        <w:overflowPunct/>
        <w:autoSpaceDE/>
        <w:autoSpaceDN/>
        <w:adjustRightInd/>
        <w:textAlignment w:val="auto"/>
        <w:rPr>
          <w:snapToGrid w:val="0"/>
          <w:lang w:eastAsia="en-US"/>
        </w:rPr>
      </w:pPr>
      <w:r>
        <w:rPr>
          <w:lang w:eastAsia="en-US"/>
        </w:rPr>
        <w:t>Use the default message “BYE” in annex A.2.8 with the following exception.</w:t>
      </w:r>
    </w:p>
    <w:tbl>
      <w:tblPr>
        <w:tblStyle w:val="42"/>
        <w:tblW w:w="0" w:type="auto"/>
        <w:jc w:val="center"/>
        <w:tblLayout w:type="autofit"/>
        <w:tblCellMar>
          <w:top w:w="0" w:type="dxa"/>
          <w:left w:w="28" w:type="dxa"/>
          <w:bottom w:w="0" w:type="dxa"/>
          <w:right w:w="108" w:type="dxa"/>
        </w:tblCellMar>
      </w:tblPr>
      <w:tblGrid>
        <w:gridCol w:w="2472"/>
        <w:gridCol w:w="6883"/>
      </w:tblGrid>
      <w:tr>
        <w:tblPrEx>
          <w:tblCellMar>
            <w:top w:w="0" w:type="dxa"/>
            <w:left w:w="28" w:type="dxa"/>
            <w:bottom w:w="0" w:type="dxa"/>
            <w:right w:w="108" w:type="dxa"/>
          </w:tblCellMar>
        </w:tblPrEx>
        <w:trPr>
          <w:tblHeader/>
          <w:jc w:val="center"/>
        </w:trPr>
        <w:tc>
          <w:tcPr>
            <w:tcW w:w="2472" w:type="dxa"/>
            <w:tcBorders>
              <w:top w:val="single" w:color="auto" w:sz="4" w:space="0"/>
              <w:left w:val="single" w:color="auto" w:sz="4" w:space="0"/>
              <w:bottom w:val="single" w:color="auto" w:sz="4" w:space="0"/>
              <w:right w:val="single" w:color="auto" w:sz="4" w:space="0"/>
            </w:tcBorders>
          </w:tcPr>
          <w:p>
            <w:pPr>
              <w:pStyle w:val="52"/>
              <w:rPr>
                <w:lang w:eastAsia="en-US"/>
              </w:rPr>
            </w:pPr>
            <w:r>
              <w:rPr>
                <w:lang w:eastAsia="en-US"/>
              </w:rPr>
              <w:t>Header/param</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pStyle w:val="52"/>
              <w:rPr>
                <w:lang w:eastAsia="en-US"/>
              </w:rPr>
            </w:pPr>
            <w:r>
              <w:rPr>
                <w:lang w:eastAsia="en-US"/>
              </w:rPr>
              <w:t>Value/remark</w:t>
            </w: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b/>
                <w:sz w:val="18"/>
                <w:lang w:eastAsia="en-US"/>
              </w:rPr>
              <w:t>Content-Type</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p>
        </w:tc>
      </w:tr>
      <w:tr>
        <w:tblPrEx>
          <w:tblCellMar>
            <w:top w:w="0" w:type="dxa"/>
            <w:left w:w="28" w:type="dxa"/>
            <w:bottom w:w="0" w:type="dxa"/>
            <w:right w:w="108" w:type="dxa"/>
          </w:tblCellMar>
        </w:tblPrEx>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b/>
                <w:sz w:val="18"/>
                <w:lang w:eastAsia="en-US"/>
              </w:rPr>
            </w:pPr>
            <w:r>
              <w:rPr>
                <w:rFonts w:ascii="Arial" w:hAnsi="Arial"/>
                <w:sz w:val="18"/>
                <w:lang w:eastAsia="en-US"/>
              </w:rPr>
              <w:tab/>
            </w:r>
            <w:r>
              <w:rPr>
                <w:rFonts w:ascii="Arial" w:hAnsi="Arial"/>
                <w:sz w:val="18"/>
                <w:lang w:eastAsia="en-US"/>
              </w:rPr>
              <w:t>media-type</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application/vnd.3gpp.ussd+xml</w:t>
            </w:r>
          </w:p>
        </w:tc>
      </w:tr>
      <w:tr>
        <w:trPr>
          <w:jc w:val="center"/>
        </w:trPr>
        <w:tc>
          <w:tcPr>
            <w:tcW w:w="2472"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sz w:val="18"/>
                <w:lang w:eastAsia="en-US"/>
              </w:rPr>
            </w:pPr>
            <w:r>
              <w:rPr>
                <w:rFonts w:ascii="Arial" w:hAnsi="Arial"/>
                <w:b/>
                <w:sz w:val="18"/>
                <w:lang w:eastAsia="en-US"/>
              </w:rPr>
              <w:t>Message-body</w:t>
            </w:r>
          </w:p>
        </w:tc>
        <w:tc>
          <w:tcPr>
            <w:tcW w:w="6883" w:type="dxa"/>
            <w:tcBorders>
              <w:top w:val="single" w:color="auto" w:sz="4" w:space="0"/>
              <w:left w:val="single" w:color="auto" w:sz="4" w:space="0"/>
              <w:bottom w:val="single" w:color="auto" w:sz="4" w:space="0"/>
              <w:right w:val="single" w:color="auto" w:sz="4" w:space="0"/>
            </w:tcBorders>
            <w:shd w:val="clear" w:color="auto" w:fill="auto"/>
          </w:tcPr>
          <w:p>
            <w:pPr>
              <w:keepNext/>
              <w:keepLines/>
              <w:overflowPunct/>
              <w:autoSpaceDE/>
              <w:autoSpaceDN/>
              <w:adjustRightInd/>
              <w:spacing w:after="0"/>
              <w:textAlignment w:val="auto"/>
              <w:rPr>
                <w:rFonts w:ascii="Arial" w:hAnsi="Arial" w:cs="Arial"/>
                <w:i/>
                <w:sz w:val="18"/>
                <w:szCs w:val="18"/>
                <w:lang w:eastAsia="en-US"/>
              </w:rPr>
            </w:pPr>
            <w:r>
              <w:rPr>
                <w:rFonts w:ascii="Arial" w:hAnsi="Arial" w:cs="Arial"/>
                <w:i/>
                <w:sz w:val="18"/>
                <w:szCs w:val="18"/>
                <w:lang w:eastAsia="en-US"/>
              </w:rPr>
              <w:t>&lt;?xml version="1.0" encoding="UTF-8"?&gt;</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&lt;ussd-data&gt;</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 xml:space="preserve">  &lt;language&gt;en&lt;/language&gt;</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 xml:space="preserve">  &lt;ussd-string&gt;148*7#&lt;/ussd-string&gt;</w:t>
            </w:r>
          </w:p>
          <w:p>
            <w:pPr>
              <w:keepNext/>
              <w:keepLines/>
              <w:overflowPunct/>
              <w:autoSpaceDE/>
              <w:autoSpaceDN/>
              <w:adjustRightInd/>
              <w:spacing w:after="0"/>
              <w:textAlignment w:val="auto"/>
              <w:rPr>
                <w:rFonts w:ascii="Arial" w:hAnsi="Arial"/>
                <w:i/>
                <w:sz w:val="18"/>
                <w:lang w:eastAsia="en-US"/>
              </w:rPr>
            </w:pPr>
            <w:r>
              <w:rPr>
                <w:rFonts w:ascii="Arial" w:hAnsi="Arial"/>
                <w:i/>
                <w:sz w:val="18"/>
                <w:lang w:eastAsia="en-US"/>
              </w:rPr>
              <w:t>&lt;/ussd-data&gt;</w:t>
            </w:r>
          </w:p>
        </w:tc>
      </w:tr>
    </w:tbl>
    <w:p>
      <w:pPr>
        <w:rPr>
          <w:snapToGrid w:val="0"/>
          <w:lang w:eastAsia="en-US"/>
        </w:rPr>
      </w:pPr>
    </w:p>
    <w:p>
      <w:pPr>
        <w:pStyle w:val="4"/>
        <w:rPr>
          <w:snapToGrid w:val="0"/>
          <w:lang w:eastAsia="en-US"/>
        </w:rPr>
      </w:pPr>
      <w:bookmarkStart w:id="46" w:name="_Toc90571973"/>
      <w:bookmarkStart w:id="47" w:name="_Toc52219748"/>
      <w:bookmarkStart w:id="48" w:name="_Toc75421931"/>
      <w:bookmarkStart w:id="49" w:name="_Toc58359817"/>
      <w:bookmarkStart w:id="50" w:name="_Toc68192956"/>
      <w:bookmarkStart w:id="51" w:name="_Toc51774472"/>
      <w:bookmarkStart w:id="52" w:name="_Toc51834895"/>
      <w:bookmarkStart w:id="53" w:name="_Toc35972183"/>
      <w:bookmarkStart w:id="54" w:name="_Toc21077631"/>
      <w:r>
        <w:rPr>
          <w:lang w:eastAsia="en-US"/>
        </w:rPr>
        <w:t>15.30</w:t>
      </w:r>
      <w:r>
        <w:rPr>
          <w:snapToGrid w:val="0"/>
          <w:lang w:eastAsia="en-US"/>
        </w:rPr>
        <w:t>.5</w:t>
      </w:r>
      <w:r>
        <w:rPr>
          <w:snapToGrid w:val="0"/>
          <w:lang w:eastAsia="en-US"/>
        </w:rPr>
        <w:tab/>
      </w:r>
      <w:r>
        <w:rPr>
          <w:snapToGrid w:val="0"/>
          <w:lang w:eastAsia="en-US"/>
        </w:rPr>
        <w:t>Test requirements</w:t>
      </w:r>
      <w:bookmarkEnd w:id="46"/>
      <w:bookmarkEnd w:id="47"/>
      <w:bookmarkEnd w:id="48"/>
      <w:bookmarkEnd w:id="49"/>
      <w:bookmarkEnd w:id="50"/>
      <w:bookmarkEnd w:id="51"/>
      <w:bookmarkEnd w:id="52"/>
      <w:bookmarkEnd w:id="53"/>
      <w:bookmarkEnd w:id="54"/>
    </w:p>
    <w:p>
      <w:pPr>
        <w:overflowPunct/>
        <w:autoSpaceDE/>
        <w:autoSpaceDN/>
        <w:adjustRightInd/>
        <w:textAlignment w:val="auto"/>
        <w:rPr>
          <w:snapToGrid w:val="0"/>
          <w:lang w:eastAsia="en-US"/>
        </w:rPr>
      </w:pPr>
      <w:r>
        <w:rPr>
          <w:snapToGrid w:val="0"/>
          <w:lang w:eastAsia="en-US"/>
        </w:rPr>
        <w:t xml:space="preserve">SS shall check that if the UE uses IMS security, it sends all the requests </w:t>
      </w:r>
      <w:r>
        <w:rPr>
          <w:lang w:eastAsia="en-US"/>
        </w:rPr>
        <w:t>over the security associations set up during registration</w:t>
      </w:r>
      <w:r>
        <w:rPr>
          <w:snapToGrid w:val="0"/>
          <w:lang w:eastAsia="en-US"/>
        </w:rPr>
        <w:t>, in accordance to 3GPP T</w:t>
      </w:r>
      <w:r>
        <w:rPr>
          <w:lang w:eastAsia="en-US"/>
        </w:rPr>
        <w:t>S 24.229 [10], clause 5.1.1.5.1.</w:t>
      </w:r>
    </w:p>
    <w:p/>
    <w:p>
      <w:pPr>
        <w:pStyle w:val="8"/>
        <w:ind w:left="0" w:firstLine="0"/>
      </w:pPr>
      <w:r>
        <w:rPr>
          <w:b/>
          <w:color w:val="00B0F0"/>
        </w:rPr>
        <w:t>&lt;End of modified section 1&gt;</w:t>
      </w:r>
    </w:p>
    <w:p>
      <w:pPr>
        <w:pStyle w:val="3"/>
      </w:pPr>
    </w:p>
    <w:sectPr>
      <w:footerReference r:id="rId5" w:type="default"/>
      <w:footerReference r:id="rId6" w:type="even"/>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DengXian">
    <w:altName w:val="宋体"/>
    <w:panose1 w:val="02010600030101010101"/>
    <w:charset w:val="86"/>
    <w:family w:val="auto"/>
    <w:pitch w:val="default"/>
    <w:sig w:usb0="00000000" w:usb1="00000000" w:usb2="00000016" w:usb3="00000000" w:csb0="0004000F" w:csb1="00000000"/>
  </w:font>
  <w:font w:name="MS Gothic">
    <w:altName w:val="MS Mincho"/>
    <w:panose1 w:val="020B0609070205080204"/>
    <w:charset w:val="80"/>
    <w:family w:val="modern"/>
    <w:pitch w:val="default"/>
    <w:sig w:usb0="00000000" w:usb1="00000000" w:usb2="08000012" w:usb3="00000000" w:csb0="0002009F" w:csb1="00000000"/>
  </w:font>
  <w:font w:name="MS Mincho">
    <w:panose1 w:val="02020609040205080304"/>
    <w:charset w:val="80"/>
    <w:family w:val="auto"/>
    <w:pitch w:val="default"/>
    <w:sig w:usb0="A00002BF" w:usb1="68C7FCFB" w:usb2="00000010" w:usb3="00000000" w:csb0="4002009F" w:csb1="DFD7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44"/>
      </w:rPr>
    </w:pPr>
    <w:r>
      <w:rPr>
        <w:rStyle w:val="44"/>
      </w:rPr>
      <w:fldChar w:fldCharType="begin"/>
    </w:r>
    <w:r>
      <w:rPr>
        <w:rStyle w:val="44"/>
      </w:rPr>
      <w:instrText xml:space="preserve">PAGE  </w:instrText>
    </w:r>
    <w:r>
      <w:rPr>
        <w:rStyle w:val="44"/>
      </w:rPr>
      <w:fldChar w:fldCharType="separate"/>
    </w:r>
    <w:r>
      <w:rPr>
        <w:rStyle w:val="44"/>
      </w:rPr>
      <w:t>8</w:t>
    </w:r>
    <w:r>
      <w:rPr>
        <w:rStyle w:val="44"/>
      </w:rPr>
      <w:fldChar w:fldCharType="end"/>
    </w:r>
  </w:p>
  <w:p>
    <w:pPr>
      <w:pStyle w:val="33"/>
    </w:pPr>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20F043D"/>
    <w:multiLevelType w:val="multilevel"/>
    <w:tmpl w:val="420F043D"/>
    <w:lvl w:ilvl="0" w:tentative="0">
      <w:start w:val="1"/>
      <w:numFmt w:val="bullet"/>
      <w:lvlText w:val="-"/>
      <w:lvlJc w:val="left"/>
      <w:pPr>
        <w:tabs>
          <w:tab w:val="left" w:pos="720"/>
        </w:tabs>
        <w:ind w:left="720" w:hanging="360"/>
      </w:pPr>
      <w:rPr>
        <w:rFonts w:hint="default" w:ascii="Arial" w:hAnsi="Arial" w:eastAsia="Times New Roman" w:cs="Aria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c0YWUyNjgwY2IzYzk4NTNhMDkxZWY3MTczNTI2MWQifQ=="/>
  </w:docVars>
  <w:rsids>
    <w:rsidRoot w:val="00022E4A"/>
    <w:rsid w:val="00022E4A"/>
    <w:rsid w:val="00032BE6"/>
    <w:rsid w:val="00044D10"/>
    <w:rsid w:val="000A6394"/>
    <w:rsid w:val="000B7591"/>
    <w:rsid w:val="000B7FED"/>
    <w:rsid w:val="000C038A"/>
    <w:rsid w:val="000C6598"/>
    <w:rsid w:val="000D44B3"/>
    <w:rsid w:val="000E58BA"/>
    <w:rsid w:val="001365CC"/>
    <w:rsid w:val="00145D43"/>
    <w:rsid w:val="00192C46"/>
    <w:rsid w:val="001A08B3"/>
    <w:rsid w:val="001A2CA0"/>
    <w:rsid w:val="001A7B60"/>
    <w:rsid w:val="001B52F0"/>
    <w:rsid w:val="001B7A65"/>
    <w:rsid w:val="001D3413"/>
    <w:rsid w:val="001E20AB"/>
    <w:rsid w:val="001E41F3"/>
    <w:rsid w:val="001F7927"/>
    <w:rsid w:val="00226476"/>
    <w:rsid w:val="00230153"/>
    <w:rsid w:val="002402A8"/>
    <w:rsid w:val="002512A3"/>
    <w:rsid w:val="002556A0"/>
    <w:rsid w:val="0026004D"/>
    <w:rsid w:val="00262DC3"/>
    <w:rsid w:val="002640DD"/>
    <w:rsid w:val="00275D12"/>
    <w:rsid w:val="00276815"/>
    <w:rsid w:val="00284FEB"/>
    <w:rsid w:val="002860C4"/>
    <w:rsid w:val="00297541"/>
    <w:rsid w:val="002B5741"/>
    <w:rsid w:val="002E472E"/>
    <w:rsid w:val="00305409"/>
    <w:rsid w:val="00316A19"/>
    <w:rsid w:val="003604BB"/>
    <w:rsid w:val="003609EF"/>
    <w:rsid w:val="0036231A"/>
    <w:rsid w:val="00370668"/>
    <w:rsid w:val="00374DD4"/>
    <w:rsid w:val="00383A30"/>
    <w:rsid w:val="003915D4"/>
    <w:rsid w:val="00397E26"/>
    <w:rsid w:val="003A3968"/>
    <w:rsid w:val="003D64DE"/>
    <w:rsid w:val="003E1A36"/>
    <w:rsid w:val="00410371"/>
    <w:rsid w:val="004242F1"/>
    <w:rsid w:val="0044385F"/>
    <w:rsid w:val="004959C0"/>
    <w:rsid w:val="004B1E47"/>
    <w:rsid w:val="004B75B7"/>
    <w:rsid w:val="0051580D"/>
    <w:rsid w:val="00543BE0"/>
    <w:rsid w:val="00547111"/>
    <w:rsid w:val="00592D74"/>
    <w:rsid w:val="00596108"/>
    <w:rsid w:val="005E2C44"/>
    <w:rsid w:val="0062004F"/>
    <w:rsid w:val="00621188"/>
    <w:rsid w:val="006257ED"/>
    <w:rsid w:val="00665C47"/>
    <w:rsid w:val="00695808"/>
    <w:rsid w:val="006A4159"/>
    <w:rsid w:val="006B46FB"/>
    <w:rsid w:val="006E21FB"/>
    <w:rsid w:val="00700925"/>
    <w:rsid w:val="00701E8F"/>
    <w:rsid w:val="007176FF"/>
    <w:rsid w:val="00731B44"/>
    <w:rsid w:val="0074012A"/>
    <w:rsid w:val="0076364E"/>
    <w:rsid w:val="007713D4"/>
    <w:rsid w:val="00792342"/>
    <w:rsid w:val="007931C3"/>
    <w:rsid w:val="007977A8"/>
    <w:rsid w:val="007B3A9C"/>
    <w:rsid w:val="007B512A"/>
    <w:rsid w:val="007C2097"/>
    <w:rsid w:val="007D6A07"/>
    <w:rsid w:val="007F7259"/>
    <w:rsid w:val="008040A8"/>
    <w:rsid w:val="00825FD1"/>
    <w:rsid w:val="008279FA"/>
    <w:rsid w:val="008626E7"/>
    <w:rsid w:val="0086297D"/>
    <w:rsid w:val="00870EE7"/>
    <w:rsid w:val="008863B9"/>
    <w:rsid w:val="008A45A6"/>
    <w:rsid w:val="008F3789"/>
    <w:rsid w:val="008F686C"/>
    <w:rsid w:val="009148DE"/>
    <w:rsid w:val="00941E30"/>
    <w:rsid w:val="009777D9"/>
    <w:rsid w:val="00991B88"/>
    <w:rsid w:val="009A5753"/>
    <w:rsid w:val="009A579D"/>
    <w:rsid w:val="009E3297"/>
    <w:rsid w:val="009F734F"/>
    <w:rsid w:val="00A219F0"/>
    <w:rsid w:val="00A246B6"/>
    <w:rsid w:val="00A4198A"/>
    <w:rsid w:val="00A47E70"/>
    <w:rsid w:val="00A50CF0"/>
    <w:rsid w:val="00A7671C"/>
    <w:rsid w:val="00AA2CBC"/>
    <w:rsid w:val="00AC5820"/>
    <w:rsid w:val="00AD1CD8"/>
    <w:rsid w:val="00B03EAA"/>
    <w:rsid w:val="00B104C8"/>
    <w:rsid w:val="00B10DB2"/>
    <w:rsid w:val="00B258BB"/>
    <w:rsid w:val="00B33BD4"/>
    <w:rsid w:val="00B4154D"/>
    <w:rsid w:val="00B67B97"/>
    <w:rsid w:val="00B968C8"/>
    <w:rsid w:val="00BA070B"/>
    <w:rsid w:val="00BA3EC5"/>
    <w:rsid w:val="00BA51D9"/>
    <w:rsid w:val="00BB5DFC"/>
    <w:rsid w:val="00BD279D"/>
    <w:rsid w:val="00BD6BB8"/>
    <w:rsid w:val="00C66BA2"/>
    <w:rsid w:val="00C95985"/>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C6CF7"/>
    <w:rsid w:val="00DE34CF"/>
    <w:rsid w:val="00DE6C75"/>
    <w:rsid w:val="00DF4D75"/>
    <w:rsid w:val="00E009BE"/>
    <w:rsid w:val="00E13F3D"/>
    <w:rsid w:val="00E34898"/>
    <w:rsid w:val="00E45233"/>
    <w:rsid w:val="00E509AB"/>
    <w:rsid w:val="00EB09B7"/>
    <w:rsid w:val="00EB2307"/>
    <w:rsid w:val="00ED4E36"/>
    <w:rsid w:val="00EE7D7C"/>
    <w:rsid w:val="00F25D98"/>
    <w:rsid w:val="00F300FB"/>
    <w:rsid w:val="00FB6386"/>
    <w:rsid w:val="00FD1A0F"/>
    <w:rsid w:val="033C0C4F"/>
    <w:rsid w:val="09FC4E8C"/>
    <w:rsid w:val="0A724669"/>
    <w:rsid w:val="0B7B7FC0"/>
    <w:rsid w:val="0F865924"/>
    <w:rsid w:val="112C449E"/>
    <w:rsid w:val="113F222E"/>
    <w:rsid w:val="17F5070A"/>
    <w:rsid w:val="18703932"/>
    <w:rsid w:val="18DE6877"/>
    <w:rsid w:val="19733DBA"/>
    <w:rsid w:val="1F3B3E5B"/>
    <w:rsid w:val="1F5E5472"/>
    <w:rsid w:val="20045D50"/>
    <w:rsid w:val="21F12128"/>
    <w:rsid w:val="235B486F"/>
    <w:rsid w:val="27B843E5"/>
    <w:rsid w:val="295D024A"/>
    <w:rsid w:val="2A7C7A06"/>
    <w:rsid w:val="2C11611D"/>
    <w:rsid w:val="2ECF3760"/>
    <w:rsid w:val="316D2C72"/>
    <w:rsid w:val="32C70A0F"/>
    <w:rsid w:val="33E52369"/>
    <w:rsid w:val="33FB1C17"/>
    <w:rsid w:val="35B93AAE"/>
    <w:rsid w:val="38237954"/>
    <w:rsid w:val="38B52D5B"/>
    <w:rsid w:val="38EC5154"/>
    <w:rsid w:val="3A43428E"/>
    <w:rsid w:val="3ED77E48"/>
    <w:rsid w:val="3F7F62C6"/>
    <w:rsid w:val="3F886D51"/>
    <w:rsid w:val="3F9410E8"/>
    <w:rsid w:val="402A04C7"/>
    <w:rsid w:val="40F55BB6"/>
    <w:rsid w:val="41A600FB"/>
    <w:rsid w:val="42D261AF"/>
    <w:rsid w:val="443461B7"/>
    <w:rsid w:val="470E79D1"/>
    <w:rsid w:val="47640892"/>
    <w:rsid w:val="4B4D57F0"/>
    <w:rsid w:val="4B810772"/>
    <w:rsid w:val="501D37B9"/>
    <w:rsid w:val="575463E4"/>
    <w:rsid w:val="576A0C54"/>
    <w:rsid w:val="59777658"/>
    <w:rsid w:val="5B1D3B8B"/>
    <w:rsid w:val="5B204287"/>
    <w:rsid w:val="5D9E3405"/>
    <w:rsid w:val="5FB33BB9"/>
    <w:rsid w:val="63E80F78"/>
    <w:rsid w:val="686A1362"/>
    <w:rsid w:val="68A8338A"/>
    <w:rsid w:val="6C6B6409"/>
    <w:rsid w:val="6EFC4430"/>
    <w:rsid w:val="6F9673B2"/>
    <w:rsid w:val="74BD01BD"/>
    <w:rsid w:val="74F9460E"/>
    <w:rsid w:val="79586E38"/>
    <w:rsid w:val="79993E6A"/>
    <w:rsid w:val="7B332F87"/>
    <w:rsid w:val="7B7315D6"/>
    <w:rsid w:val="7DE93D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84"/>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8"/>
    <w:qFormat/>
    <w:uiPriority w:val="0"/>
    <w:rPr>
      <w:b/>
    </w:rPr>
  </w:style>
  <w:style w:type="paragraph" w:customStyle="1" w:styleId="53">
    <w:name w:val="TAC"/>
    <w:basedOn w:val="54"/>
    <w:link w:val="87"/>
    <w:qFormat/>
    <w:uiPriority w:val="0"/>
    <w:pPr>
      <w:jc w:val="center"/>
    </w:pPr>
  </w:style>
  <w:style w:type="paragraph" w:customStyle="1" w:styleId="54">
    <w:name w:val="TAL"/>
    <w:basedOn w:val="1"/>
    <w:link w:val="86"/>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0"/>
    <w:qFormat/>
    <w:uiPriority w:val="0"/>
    <w:pPr>
      <w:keepNext/>
      <w:keepLines/>
      <w:spacing w:before="60"/>
      <w:jc w:val="center"/>
    </w:pPr>
    <w:rPr>
      <w:rFonts w:ascii="Arial" w:hAnsi="Arial"/>
      <w:b/>
    </w:rPr>
  </w:style>
  <w:style w:type="paragraph" w:customStyle="1" w:styleId="57">
    <w:name w:val="NO"/>
    <w:basedOn w:val="1"/>
    <w:link w:val="92"/>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8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14"/>
    <w:link w:val="89"/>
    <w:qFormat/>
    <w:uiPriority w:val="0"/>
  </w:style>
  <w:style w:type="paragraph" w:customStyle="1" w:styleId="77">
    <w:name w:val="B2"/>
    <w:basedOn w:val="13"/>
    <w:link w:val="95"/>
    <w:qFormat/>
    <w:uiPriority w:val="0"/>
  </w:style>
  <w:style w:type="paragraph" w:customStyle="1" w:styleId="78">
    <w:name w:val="B3"/>
    <w:basedOn w:val="12"/>
    <w:link w:val="96"/>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3"/>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H6 Char"/>
    <w:link w:val="8"/>
    <w:qFormat/>
    <w:uiPriority w:val="0"/>
    <w:rPr>
      <w:rFonts w:ascii="Arial" w:hAnsi="Arial"/>
      <w:lang w:val="en-GB" w:eastAsia="en-US"/>
    </w:rPr>
  </w:style>
  <w:style w:type="character" w:customStyle="1" w:styleId="85">
    <w:name w:val="PL Char"/>
    <w:link w:val="65"/>
    <w:qFormat/>
    <w:uiPriority w:val="0"/>
    <w:rPr>
      <w:rFonts w:ascii="Courier New" w:hAnsi="Courier New"/>
      <w:sz w:val="16"/>
      <w:lang w:val="en-GB" w:eastAsia="en-US"/>
    </w:rPr>
  </w:style>
  <w:style w:type="character" w:customStyle="1" w:styleId="86">
    <w:name w:val="TAL Char"/>
    <w:link w:val="54"/>
    <w:qFormat/>
    <w:uiPriority w:val="0"/>
    <w:rPr>
      <w:rFonts w:ascii="Arial" w:hAnsi="Arial"/>
      <w:sz w:val="18"/>
      <w:lang w:val="en-GB" w:eastAsia="en-US"/>
    </w:rPr>
  </w:style>
  <w:style w:type="character" w:customStyle="1" w:styleId="87">
    <w:name w:val="TAC Car"/>
    <w:link w:val="53"/>
    <w:qFormat/>
    <w:uiPriority w:val="0"/>
    <w:rPr>
      <w:rFonts w:ascii="Arial" w:hAnsi="Arial"/>
      <w:sz w:val="18"/>
      <w:lang w:val="en-GB" w:eastAsia="en-US"/>
    </w:rPr>
  </w:style>
  <w:style w:type="character" w:customStyle="1" w:styleId="88">
    <w:name w:val="TAH Car"/>
    <w:link w:val="52"/>
    <w:qFormat/>
    <w:uiPriority w:val="0"/>
    <w:rPr>
      <w:rFonts w:ascii="Arial" w:hAnsi="Arial"/>
      <w:b/>
      <w:sz w:val="18"/>
      <w:lang w:val="en-GB" w:eastAsia="en-US"/>
    </w:rPr>
  </w:style>
  <w:style w:type="character" w:customStyle="1" w:styleId="89">
    <w:name w:val="B1 Char"/>
    <w:link w:val="76"/>
    <w:qFormat/>
    <w:locked/>
    <w:uiPriority w:val="0"/>
    <w:rPr>
      <w:rFonts w:ascii="Times New Roman" w:hAnsi="Times New Roman"/>
      <w:lang w:val="en-GB" w:eastAsia="en-US"/>
    </w:rPr>
  </w:style>
  <w:style w:type="character" w:customStyle="1" w:styleId="90">
    <w:name w:val="TH Char"/>
    <w:link w:val="56"/>
    <w:qFormat/>
    <w:uiPriority w:val="0"/>
    <w:rPr>
      <w:rFonts w:ascii="Arial" w:hAnsi="Arial"/>
      <w:b/>
      <w:lang w:val="en-GB" w:eastAsia="en-US"/>
    </w:rPr>
  </w:style>
  <w:style w:type="paragraph" w:customStyle="1" w:styleId="91">
    <w:name w:val="TAH Car + Not Bold"/>
    <w:basedOn w:val="1"/>
    <w:qFormat/>
    <w:uiPriority w:val="0"/>
    <w:pPr>
      <w:keepNext/>
      <w:keepLines/>
      <w:spacing w:after="0"/>
    </w:pPr>
    <w:rPr>
      <w:rFonts w:ascii="Arial" w:hAnsi="Arial"/>
      <w:sz w:val="18"/>
      <w:lang w:eastAsia="zh-CN"/>
    </w:rPr>
  </w:style>
  <w:style w:type="character" w:customStyle="1" w:styleId="92">
    <w:name w:val="NO Char"/>
    <w:link w:val="57"/>
    <w:qFormat/>
    <w:uiPriority w:val="0"/>
    <w:rPr>
      <w:rFonts w:ascii="Times New Roman" w:hAnsi="Times New Roman"/>
      <w:lang w:val="en-GB" w:eastAsia="en-US"/>
    </w:rPr>
  </w:style>
  <w:style w:type="character" w:customStyle="1" w:styleId="93">
    <w:name w:val="CR Cover Page Char"/>
    <w:link w:val="82"/>
    <w:qFormat/>
    <w:uiPriority w:val="0"/>
    <w:rPr>
      <w:rFonts w:ascii="Arial" w:hAnsi="Arial"/>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B2 Char"/>
    <w:link w:val="77"/>
    <w:qFormat/>
    <w:uiPriority w:val="0"/>
    <w:rPr>
      <w:rFonts w:ascii="Times New Roman" w:hAnsi="Times New Roman"/>
      <w:lang w:val="en-GB" w:eastAsia="en-US"/>
    </w:rPr>
  </w:style>
  <w:style w:type="character" w:customStyle="1" w:styleId="96">
    <w:name w:val="B3 Char"/>
    <w:link w:val="78"/>
    <w:qFormat/>
    <w:uiPriority w:val="0"/>
    <w:rPr>
      <w:rFonts w:ascii="Times New Roman" w:hAnsi="Times New Roman"/>
      <w:lang w:val="en-GB" w:eastAsia="en-US"/>
    </w:rPr>
  </w:style>
  <w:style w:type="character" w:customStyle="1" w:styleId="97">
    <w:name w:val="Editor's Note Char3"/>
    <w:qFormat/>
    <w:locked/>
    <w:uiPriority w:val="0"/>
    <w:rPr>
      <w:rFonts w:ascii="Times New Roman" w:hAnsi="Times New Roman" w:eastAsia="Times New Roman" w:cs="Times New Roman"/>
      <w:color w:val="FF0000"/>
      <w:sz w:val="20"/>
      <w:szCs w:val="20"/>
    </w:rPr>
  </w:style>
  <w:style w:type="paragraph" w:customStyle="1" w:styleId="98">
    <w:name w:val="NOTE"/>
    <w:basedOn w:val="78"/>
    <w:qFormat/>
    <w:uiPriority w:val="0"/>
    <w:rPr>
      <w:rFonts w:eastAsia="宋体"/>
      <w:lang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463F2D-6FE8-42B1-8A14-A25D7DBA387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1893</Words>
  <Characters>10296</Characters>
  <Lines>128</Lines>
  <Paragraphs>36</Paragraphs>
  <TotalTime>160</TotalTime>
  <ScaleCrop>false</ScaleCrop>
  <LinksUpToDate>false</LinksUpToDate>
  <CharactersWithSpaces>12031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2022-08-26T12:48:00Z</dcterms:created>
  <dc:creator>Michael Sanders, John M Meredith</dc:creator>
  <cp:lastModifiedBy>Administrator</cp:lastModifiedBy>
  <cp:lastPrinted>2411-12-31T00:00:00Z</cp:lastPrinted>
  <dcterms:modified xsi:type="dcterms:W3CDTF">2022-11-04T12:09:23Z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(3)M437nloQTVpv5FZKey5t89J8EztWihRmcMmy0w79nz2+wdxkywRhb4O1OM44RmtMKcYk8C89
pbQZ/NLu2bZzmtcim90rsfKA9ZXi40rbZlNVSBlXVtXsEdwIbgqT0CrItN8w1ybhmS9kK3Bo
990pU4lb8NIw6zy1FfFi0YX1PUsz9Exs9vdEEjGvOsf7oKz7Uo21G2Nkfn9tZw54xSR9LS45
4j0/HOX9bl5UWRcKz5</vt:lpwstr>
  </property>
  <property fmtid="{D5CDD505-2E9C-101B-9397-08002B2CF9AE}" pid="22" name="_2015_ms_pID_7253431">
    <vt:lpwstr>n8G4szXCNhSAlGoSJhUFPREpJuCc3Oy+xyVwoG3AiBCJk7hG61QSu7
jY4BJK59z1ZhKCUTHQFYepFBcShBGSZam5XGinurzJ6xU57b/++apaU4v/Ax9Oy3T5WjirQ8
IS/U/6e3fzKrrVSKLpE4rg6DR4Vg7T9uLtaMV4TuVXXKhr+aP35VuuTZn74Xelj0zrHi3aM9
CyzYcssbEugrEPzK4bt6Pd3GoVS6SSSFy6qa</vt:lpwstr>
  </property>
  <property fmtid="{D5CDD505-2E9C-101B-9397-08002B2CF9AE}" pid="23" name="_2015_ms_pID_7253432">
    <vt:lpwstr>oO7hZQizK/biad9gpZ9slIg=</vt:lpwstr>
  </property>
  <property fmtid="{D5CDD505-2E9C-101B-9397-08002B2CF9AE}" pid="24" name="KSOProductBuildVer">
    <vt:lpwstr>2052-11.1.0.12763</vt:lpwstr>
  </property>
  <property fmtid="{D5CDD505-2E9C-101B-9397-08002B2CF9AE}" pid="25" name="ICV">
    <vt:lpwstr>2B50711E3F6A4A5E91EFC2A4DB9692BD</vt:lpwstr>
  </property>
</Properties>
</file>