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709" w:hangingChars="295" w:hanging="709"/>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709" w:hangingChars="295" w:hanging="709"/>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sidRPr="003E2B74">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838D71F" w14:textId="11D13158" w:rsidR="003E2B74" w:rsidRPr="00147E30"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sidRPr="003E2B74">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D5C026A" w14:textId="77777777" w:rsidR="003E2B74" w:rsidRPr="003E2B74" w:rsidRDefault="003E2B74" w:rsidP="00CB5A84">
            <w:pPr>
              <w:pStyle w:val="ListParagraph"/>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77777777" w:rsidR="003E2B74" w:rsidRDefault="003E2B74" w:rsidP="003E2B74">
            <w:pPr>
              <w:widowControl/>
              <w:rPr>
                <w:rFonts w:ascii="Times New Roman"/>
                <w:szCs w:val="20"/>
              </w:rPr>
            </w:pPr>
          </w:p>
        </w:tc>
        <w:tc>
          <w:tcPr>
            <w:tcW w:w="8080" w:type="dxa"/>
          </w:tcPr>
          <w:p w14:paraId="09E678AA" w14:textId="77777777" w:rsidR="003E2B74" w:rsidRDefault="003E2B74" w:rsidP="003E2B74">
            <w:pPr>
              <w:widowControl/>
              <w:rPr>
                <w:rFonts w:ascii="Times New Roman"/>
                <w:szCs w:val="20"/>
              </w:rPr>
            </w:pPr>
          </w:p>
        </w:tc>
      </w:tr>
      <w:tr w:rsidR="003E2B74" w14:paraId="1881FACE" w14:textId="77777777" w:rsidTr="00E63678">
        <w:tc>
          <w:tcPr>
            <w:tcW w:w="1271" w:type="dxa"/>
          </w:tcPr>
          <w:p w14:paraId="176D9DA0" w14:textId="77777777" w:rsidR="003E2B74" w:rsidRDefault="003E2B74" w:rsidP="003E2B74">
            <w:pPr>
              <w:widowControl/>
              <w:rPr>
                <w:rFonts w:ascii="Times New Roman"/>
                <w:szCs w:val="20"/>
              </w:rPr>
            </w:pPr>
          </w:p>
        </w:tc>
        <w:tc>
          <w:tcPr>
            <w:tcW w:w="8080" w:type="dxa"/>
          </w:tcPr>
          <w:p w14:paraId="61B5DA3B" w14:textId="77777777" w:rsidR="003E2B74" w:rsidRDefault="003E2B74" w:rsidP="003E2B74">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23137738" w14:textId="77777777" w:rsidTr="00F64591">
        <w:tc>
          <w:tcPr>
            <w:tcW w:w="1372"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F64591">
        <w:tc>
          <w:tcPr>
            <w:tcW w:w="1372" w:type="dxa"/>
          </w:tcPr>
          <w:p w14:paraId="3CD168C6" w14:textId="29277E09" w:rsidR="007C7F02" w:rsidRDefault="001C2762" w:rsidP="00A700F8">
            <w:pPr>
              <w:widowControl/>
              <w:rPr>
                <w:rFonts w:ascii="Times New Roman"/>
                <w:szCs w:val="20"/>
              </w:rPr>
            </w:pPr>
            <w:r>
              <w:rPr>
                <w:rFonts w:ascii="Times New Roman"/>
                <w:szCs w:val="20"/>
              </w:rPr>
              <w:t>OPPO</w:t>
            </w:r>
          </w:p>
        </w:tc>
        <w:tc>
          <w:tcPr>
            <w:tcW w:w="799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F64591">
        <w:tc>
          <w:tcPr>
            <w:tcW w:w="1372"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799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F64591">
        <w:tc>
          <w:tcPr>
            <w:tcW w:w="1372"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799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F64591" w14:paraId="4C9BE3DD" w14:textId="77777777" w:rsidTr="00F64591">
        <w:tc>
          <w:tcPr>
            <w:tcW w:w="1372" w:type="dxa"/>
          </w:tcPr>
          <w:p w14:paraId="229A5C62" w14:textId="7FEB635F" w:rsidR="00F64591" w:rsidRDefault="00F64591" w:rsidP="00F64591">
            <w:pPr>
              <w:widowControl/>
              <w:rPr>
                <w:rFonts w:ascii="Times New Roman"/>
                <w:szCs w:val="20"/>
              </w:rPr>
            </w:pPr>
            <w:r>
              <w:rPr>
                <w:rFonts w:ascii="Times New Roman"/>
                <w:szCs w:val="20"/>
              </w:rPr>
              <w:t>Huawei, HiSilicon</w:t>
            </w:r>
          </w:p>
        </w:tc>
        <w:tc>
          <w:tcPr>
            <w:tcW w:w="7990" w:type="dxa"/>
          </w:tcPr>
          <w:p w14:paraId="16D6E1AA" w14:textId="045034FE" w:rsidR="00F64591" w:rsidRDefault="00F64591" w:rsidP="00F64591">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B32E3" w14:paraId="5F00BC72" w14:textId="77777777" w:rsidTr="00F64591">
        <w:tc>
          <w:tcPr>
            <w:tcW w:w="1372" w:type="dxa"/>
          </w:tcPr>
          <w:p w14:paraId="0DE4A120" w14:textId="5E806FAB" w:rsidR="005B32E3" w:rsidRDefault="005B32E3" w:rsidP="00F64591">
            <w:pPr>
              <w:widowControl/>
              <w:rPr>
                <w:rFonts w:ascii="Times New Roman"/>
                <w:szCs w:val="20"/>
              </w:rPr>
            </w:pPr>
            <w:proofErr w:type="spellStart"/>
            <w:r>
              <w:rPr>
                <w:rFonts w:ascii="Times New Roman"/>
                <w:szCs w:val="20"/>
              </w:rPr>
              <w:t>InterDigital</w:t>
            </w:r>
            <w:proofErr w:type="spellEnd"/>
          </w:p>
        </w:tc>
        <w:tc>
          <w:tcPr>
            <w:tcW w:w="7990" w:type="dxa"/>
          </w:tcPr>
          <w:p w14:paraId="17061282" w14:textId="7B42C809" w:rsidR="005B32E3" w:rsidRDefault="00B34975" w:rsidP="00F64591">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w:t>
            </w:r>
            <w:r w:rsidR="00A42F57">
              <w:rPr>
                <w:rFonts w:ascii="Times New Roman"/>
                <w:szCs w:val="20"/>
              </w:rPr>
              <w:t xml:space="preserve">an </w:t>
            </w:r>
            <w:r>
              <w:rPr>
                <w:rFonts w:ascii="Times New Roman"/>
                <w:szCs w:val="20"/>
              </w:rPr>
              <w:t xml:space="preserve">agreement. </w:t>
            </w: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0021DF43" w14:textId="77777777" w:rsidTr="00F64591">
        <w:tc>
          <w:tcPr>
            <w:tcW w:w="1372"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F64591">
        <w:tc>
          <w:tcPr>
            <w:tcW w:w="1372" w:type="dxa"/>
          </w:tcPr>
          <w:p w14:paraId="2E7EB4D4" w14:textId="0F8C1E8B" w:rsidR="0046720A" w:rsidRDefault="001C2762" w:rsidP="00A700F8">
            <w:pPr>
              <w:widowControl/>
              <w:rPr>
                <w:rFonts w:ascii="Times New Roman"/>
                <w:szCs w:val="20"/>
              </w:rPr>
            </w:pPr>
            <w:r>
              <w:rPr>
                <w:rFonts w:ascii="Times New Roman"/>
                <w:szCs w:val="20"/>
              </w:rPr>
              <w:t>OPPO</w:t>
            </w:r>
          </w:p>
        </w:tc>
        <w:tc>
          <w:tcPr>
            <w:tcW w:w="799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F64591">
        <w:tc>
          <w:tcPr>
            <w:tcW w:w="1372"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799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F64591">
        <w:tc>
          <w:tcPr>
            <w:tcW w:w="1372" w:type="dxa"/>
          </w:tcPr>
          <w:p w14:paraId="771EFAA8" w14:textId="52A288A9" w:rsidR="0046720A" w:rsidRDefault="003F1E4F" w:rsidP="00A700F8">
            <w:pPr>
              <w:widowControl/>
              <w:rPr>
                <w:rFonts w:ascii="Times New Roman"/>
                <w:szCs w:val="20"/>
              </w:rPr>
            </w:pPr>
            <w:r>
              <w:rPr>
                <w:rFonts w:ascii="Times New Roman"/>
                <w:szCs w:val="20"/>
              </w:rPr>
              <w:t>FUTUREWEI</w:t>
            </w:r>
          </w:p>
        </w:tc>
        <w:tc>
          <w:tcPr>
            <w:tcW w:w="799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F64591" w14:paraId="52672752" w14:textId="77777777" w:rsidTr="00F64591">
        <w:tc>
          <w:tcPr>
            <w:tcW w:w="1372" w:type="dxa"/>
          </w:tcPr>
          <w:p w14:paraId="7C3F2F35" w14:textId="1258890A" w:rsidR="00F64591" w:rsidRDefault="00F64591" w:rsidP="00F64591">
            <w:pPr>
              <w:widowControl/>
              <w:rPr>
                <w:rFonts w:ascii="Times New Roman"/>
                <w:szCs w:val="20"/>
              </w:rPr>
            </w:pPr>
            <w:r>
              <w:rPr>
                <w:rFonts w:ascii="Times New Roman"/>
                <w:szCs w:val="20"/>
              </w:rPr>
              <w:t>Huawei, HiSilicon</w:t>
            </w:r>
          </w:p>
        </w:tc>
        <w:tc>
          <w:tcPr>
            <w:tcW w:w="7990" w:type="dxa"/>
          </w:tcPr>
          <w:p w14:paraId="698E03CC" w14:textId="77777777" w:rsidR="00F64591" w:rsidRDefault="00F64591" w:rsidP="00F64591">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83487AC" w14:textId="77777777" w:rsidR="00F64591" w:rsidRDefault="00F64591" w:rsidP="00F64591">
            <w:pPr>
              <w:widowControl/>
              <w:rPr>
                <w:rFonts w:ascii="Times New Roman"/>
                <w:szCs w:val="20"/>
              </w:rPr>
            </w:pPr>
          </w:p>
          <w:p w14:paraId="1F03086E" w14:textId="62458DCD" w:rsidR="00F64591" w:rsidRDefault="00F64591" w:rsidP="00F64591">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B34975" w14:paraId="563E53A5" w14:textId="77777777" w:rsidTr="00F64591">
        <w:tc>
          <w:tcPr>
            <w:tcW w:w="1372" w:type="dxa"/>
          </w:tcPr>
          <w:p w14:paraId="2AD974BE" w14:textId="7BE9050C" w:rsidR="00B34975" w:rsidRDefault="00B34975" w:rsidP="00F64591">
            <w:pPr>
              <w:widowControl/>
              <w:rPr>
                <w:rFonts w:ascii="Times New Roman"/>
                <w:szCs w:val="20"/>
              </w:rPr>
            </w:pPr>
            <w:proofErr w:type="spellStart"/>
            <w:r>
              <w:rPr>
                <w:rFonts w:ascii="Times New Roman"/>
                <w:szCs w:val="20"/>
              </w:rPr>
              <w:lastRenderedPageBreak/>
              <w:t>InterDigital</w:t>
            </w:r>
            <w:proofErr w:type="spellEnd"/>
          </w:p>
        </w:tc>
        <w:tc>
          <w:tcPr>
            <w:tcW w:w="7990" w:type="dxa"/>
          </w:tcPr>
          <w:p w14:paraId="382F9290" w14:textId="77777777" w:rsidR="00B34975" w:rsidRDefault="00B34975" w:rsidP="00F64591">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95D6C42" w14:textId="77777777" w:rsidR="00B34975" w:rsidRDefault="00B34975" w:rsidP="00F64591">
            <w:pPr>
              <w:widowControl/>
              <w:rPr>
                <w:rFonts w:ascii="Times New Roman"/>
                <w:szCs w:val="20"/>
              </w:rPr>
            </w:pPr>
          </w:p>
          <w:p w14:paraId="73607390" w14:textId="076BC01C" w:rsidR="00B34975" w:rsidRDefault="00B34975" w:rsidP="00F64591">
            <w:pPr>
              <w:widowControl/>
              <w:rPr>
                <w:rFonts w:ascii="Times New Roman" w:hint="eastAsia"/>
                <w:szCs w:val="20"/>
              </w:rPr>
            </w:pPr>
            <w:r>
              <w:rPr>
                <w:rFonts w:ascii="Times New Roman"/>
                <w:szCs w:val="20"/>
              </w:rPr>
              <w:t xml:space="preserve">Regarding increasing TU, we are supportive </w:t>
            </w:r>
            <w:r w:rsidR="00090A12">
              <w:rPr>
                <w:rFonts w:ascii="Times New Roman"/>
                <w:szCs w:val="20"/>
              </w:rPr>
              <w:t>if possible</w:t>
            </w:r>
            <w:r w:rsidR="00F811B6">
              <w:rPr>
                <w:rFonts w:ascii="Times New Roman"/>
                <w:szCs w:val="20"/>
              </w:rPr>
              <w:t>.</w:t>
            </w: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1DD64011" w14:textId="77777777" w:rsidTr="00F64591">
        <w:tc>
          <w:tcPr>
            <w:tcW w:w="1372"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F64591">
        <w:tc>
          <w:tcPr>
            <w:tcW w:w="1372" w:type="dxa"/>
          </w:tcPr>
          <w:p w14:paraId="3F648F9D" w14:textId="03A28842" w:rsidR="007C7F02" w:rsidRDefault="001C2762" w:rsidP="00A700F8">
            <w:pPr>
              <w:widowControl/>
              <w:rPr>
                <w:rFonts w:ascii="Times New Roman"/>
                <w:szCs w:val="20"/>
              </w:rPr>
            </w:pPr>
            <w:r>
              <w:rPr>
                <w:rFonts w:ascii="Times New Roman"/>
                <w:szCs w:val="20"/>
              </w:rPr>
              <w:t>OPPO</w:t>
            </w:r>
          </w:p>
        </w:tc>
        <w:tc>
          <w:tcPr>
            <w:tcW w:w="799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F64591">
        <w:tc>
          <w:tcPr>
            <w:tcW w:w="1372"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799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F64591">
        <w:tc>
          <w:tcPr>
            <w:tcW w:w="1372"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799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F64591" w14:paraId="66FB03EF" w14:textId="77777777" w:rsidTr="00F64591">
        <w:tc>
          <w:tcPr>
            <w:tcW w:w="1372" w:type="dxa"/>
          </w:tcPr>
          <w:p w14:paraId="0C49F27C" w14:textId="52B91007"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20A8B9AE" w14:textId="77777777" w:rsidR="00F64591" w:rsidRDefault="00F64591" w:rsidP="00F64591">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3E81996" w14:textId="77777777" w:rsidR="00F64591" w:rsidRDefault="00F64591" w:rsidP="00F64591">
            <w:pPr>
              <w:widowControl/>
              <w:rPr>
                <w:rFonts w:ascii="Times New Roman"/>
                <w:szCs w:val="20"/>
              </w:rPr>
            </w:pPr>
          </w:p>
          <w:p w14:paraId="7A2A4D01" w14:textId="77777777" w:rsidR="00F64591" w:rsidRDefault="00F64591" w:rsidP="00F64591">
            <w:pPr>
              <w:widowControl/>
              <w:rPr>
                <w:rFonts w:ascii="Times New Roman"/>
                <w:szCs w:val="20"/>
              </w:rPr>
            </w:pPr>
            <w:r w:rsidRPr="00172D4E">
              <w:rPr>
                <w:rFonts w:ascii="Times New Roman"/>
                <w:szCs w:val="20"/>
              </w:rPr>
              <w:t xml:space="preserve">Thus, </w:t>
            </w:r>
            <w:r>
              <w:rPr>
                <w:rFonts w:ascii="Times New Roman"/>
                <w:szCs w:val="20"/>
              </w:rPr>
              <w:t>we suggest</w:t>
            </w:r>
            <w:r w:rsidRPr="00172D4E">
              <w:rPr>
                <w:rFonts w:ascii="Times New Roman"/>
                <w:szCs w:val="20"/>
              </w:rPr>
              <w:t xml:space="preserve"> i</w:t>
            </w:r>
            <w:r>
              <w:rPr>
                <w:rFonts w:ascii="Times New Roman"/>
                <w:szCs w:val="20"/>
              </w:rPr>
              <w:t>t’</w:t>
            </w:r>
            <w:r w:rsidRPr="00172D4E">
              <w:rPr>
                <w:rFonts w:ascii="Times New Roman"/>
                <w:szCs w:val="20"/>
              </w:rPr>
              <w:t xml:space="preserve">s better to </w:t>
            </w:r>
            <w:r>
              <w:rPr>
                <w:rFonts w:ascii="Times New Roman"/>
                <w:szCs w:val="20"/>
              </w:rPr>
              <w:t>tell RAN1 to not have discussions in Q4 on generic</w:t>
            </w:r>
            <w:r w:rsidRPr="00172D4E">
              <w:rPr>
                <w:rFonts w:ascii="Times New Roman"/>
                <w:szCs w:val="20"/>
              </w:rPr>
              <w:t xml:space="preserve"> "</w:t>
            </w:r>
            <w:r w:rsidRPr="00F64591">
              <w:rPr>
                <w:rFonts w:ascii="Times New Roman"/>
                <w:i/>
                <w:szCs w:val="20"/>
              </w:rPr>
              <w:t>FFS other options/solutions</w:t>
            </w:r>
            <w:r w:rsidRPr="00172D4E">
              <w:rPr>
                <w:rFonts w:ascii="Times New Roman"/>
                <w:szCs w:val="20"/>
              </w:rPr>
              <w:t>"</w:t>
            </w:r>
            <w:r>
              <w:rPr>
                <w:rFonts w:ascii="Times New Roman"/>
                <w:szCs w:val="20"/>
              </w:rPr>
              <w:t xml:space="preserve"> points in the RAN1 agreements wherever they occur, </w:t>
            </w:r>
            <w:r w:rsidRPr="00172D4E">
              <w:rPr>
                <w:rFonts w:ascii="Times New Roman"/>
                <w:szCs w:val="20"/>
              </w:rPr>
              <w:t>and</w:t>
            </w:r>
            <w:r>
              <w:rPr>
                <w:rFonts w:ascii="Times New Roman"/>
                <w:szCs w:val="20"/>
              </w:rPr>
              <w:t xml:space="preserve"> save time that way. </w:t>
            </w:r>
          </w:p>
          <w:p w14:paraId="43D92470" w14:textId="77777777" w:rsidR="00F64591" w:rsidRDefault="00F64591" w:rsidP="00F64591">
            <w:pPr>
              <w:widowControl/>
              <w:rPr>
                <w:rFonts w:ascii="Times New Roman"/>
                <w:szCs w:val="20"/>
              </w:rPr>
            </w:pPr>
          </w:p>
          <w:p w14:paraId="0BE839B8" w14:textId="7C57A6F0" w:rsidR="00F64591" w:rsidRDefault="00F64591" w:rsidP="00F64591">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F811B6" w14:paraId="7483FB87" w14:textId="77777777" w:rsidTr="00F64591">
        <w:tc>
          <w:tcPr>
            <w:tcW w:w="1372" w:type="dxa"/>
          </w:tcPr>
          <w:p w14:paraId="01E273A4" w14:textId="5B57AE37" w:rsidR="00F811B6" w:rsidRDefault="00F811B6" w:rsidP="00F64591">
            <w:pPr>
              <w:widowControl/>
              <w:rPr>
                <w:rFonts w:ascii="Times New Roman"/>
                <w:szCs w:val="20"/>
              </w:rPr>
            </w:pPr>
            <w:proofErr w:type="spellStart"/>
            <w:r>
              <w:rPr>
                <w:rFonts w:ascii="Times New Roman"/>
                <w:szCs w:val="20"/>
              </w:rPr>
              <w:t>InterDigital</w:t>
            </w:r>
            <w:proofErr w:type="spellEnd"/>
          </w:p>
        </w:tc>
        <w:tc>
          <w:tcPr>
            <w:tcW w:w="7990" w:type="dxa"/>
          </w:tcPr>
          <w:p w14:paraId="677AFE8B" w14:textId="4E14BE8D" w:rsidR="00F811B6" w:rsidRDefault="00F811B6" w:rsidP="00F64591">
            <w:pPr>
              <w:widowControl/>
              <w:rPr>
                <w:rFonts w:ascii="Times New Roman" w:hint="eastAsia"/>
                <w:szCs w:val="20"/>
              </w:rPr>
            </w:pPr>
            <w:r>
              <w:rPr>
                <w:rFonts w:ascii="Times New Roman"/>
                <w:szCs w:val="20"/>
              </w:rPr>
              <w:t xml:space="preserve">It can be discussed in RAN1 if needed as it requires details of technical discussion in many aspects. </w:t>
            </w: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6A9FD25D" w14:textId="77777777" w:rsidTr="00F64591">
        <w:tc>
          <w:tcPr>
            <w:tcW w:w="1372"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F64591">
        <w:tc>
          <w:tcPr>
            <w:tcW w:w="1372" w:type="dxa"/>
          </w:tcPr>
          <w:p w14:paraId="10561979" w14:textId="02E1223B" w:rsidR="001C2762" w:rsidRDefault="001C2762" w:rsidP="001C2762">
            <w:pPr>
              <w:widowControl/>
              <w:rPr>
                <w:rFonts w:ascii="Times New Roman"/>
                <w:szCs w:val="20"/>
              </w:rPr>
            </w:pPr>
            <w:r>
              <w:rPr>
                <w:rFonts w:ascii="Times New Roman"/>
                <w:szCs w:val="20"/>
              </w:rPr>
              <w:t>OPPO</w:t>
            </w:r>
          </w:p>
        </w:tc>
        <w:tc>
          <w:tcPr>
            <w:tcW w:w="7990" w:type="dxa"/>
          </w:tcPr>
          <w:p w14:paraId="471F65CA" w14:textId="77777777" w:rsidR="001C2762" w:rsidRDefault="001C2762" w:rsidP="001C276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NormalWeb"/>
              <w:spacing w:before="0" w:beforeAutospacing="0" w:after="0" w:afterAutospacing="0"/>
              <w:rPr>
                <w:rFonts w:ascii="Times" w:eastAsia="Malgun Gothic" w:hAnsi="Times" w:cs="Times"/>
                <w:i/>
                <w:sz w:val="20"/>
                <w:szCs w:val="20"/>
              </w:rPr>
            </w:pPr>
            <w:r w:rsidRPr="001C2762">
              <w:rPr>
                <w:rStyle w:val="Strong"/>
                <w:rFonts w:ascii="Times" w:hAnsi="Times" w:cs="Times"/>
                <w:i/>
                <w:sz w:val="20"/>
                <w:szCs w:val="20"/>
                <w:highlight w:val="green"/>
              </w:rPr>
              <w:t>Agreement</w:t>
            </w:r>
          </w:p>
          <w:p w14:paraId="72E58052" w14:textId="77777777" w:rsidR="001C2762" w:rsidRPr="001C2762" w:rsidRDefault="001C2762" w:rsidP="001C2762">
            <w:pPr>
              <w:pStyle w:val="NormalWeb"/>
              <w:shd w:val="clear" w:color="auto" w:fill="FFFFFF"/>
              <w:spacing w:before="0" w:beforeAutospacing="0" w:after="0" w:afterAutospacing="0"/>
              <w:rPr>
                <w:rFonts w:ascii="Times" w:hAnsi="Times" w:cs="Times"/>
                <w:i/>
                <w:sz w:val="20"/>
                <w:szCs w:val="20"/>
              </w:rPr>
            </w:pPr>
            <w:r w:rsidRPr="001C2762">
              <w:rPr>
                <w:rStyle w:val="Emphasis"/>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Emphasis"/>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Emphasis"/>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w:t>
            </w:r>
            <w:r>
              <w:rPr>
                <w:rFonts w:ascii="Times New Roman"/>
                <w:szCs w:val="20"/>
              </w:rPr>
              <w:lastRenderedPageBreak/>
              <w:t>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BF7461" w14:paraId="395E02D5" w14:textId="77777777" w:rsidTr="00F64591">
        <w:tc>
          <w:tcPr>
            <w:tcW w:w="1372" w:type="dxa"/>
          </w:tcPr>
          <w:p w14:paraId="15510D8B" w14:textId="2BA6E4F6" w:rsidR="00BF7461" w:rsidRDefault="00BF7461" w:rsidP="00BF7461">
            <w:pPr>
              <w:widowControl/>
              <w:rPr>
                <w:rFonts w:ascii="Times New Roman"/>
                <w:szCs w:val="20"/>
              </w:rPr>
            </w:pPr>
            <w:r>
              <w:rPr>
                <w:rFonts w:ascii="Times New Roman"/>
                <w:szCs w:val="20"/>
              </w:rPr>
              <w:lastRenderedPageBreak/>
              <w:t>Ericsson</w:t>
            </w:r>
          </w:p>
        </w:tc>
        <w:tc>
          <w:tcPr>
            <w:tcW w:w="799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F64591">
        <w:tc>
          <w:tcPr>
            <w:tcW w:w="1372" w:type="dxa"/>
          </w:tcPr>
          <w:p w14:paraId="669F7EEB" w14:textId="53129BDA" w:rsidR="001C2762" w:rsidRDefault="003F1E4F" w:rsidP="001C2762">
            <w:pPr>
              <w:widowControl/>
              <w:rPr>
                <w:rFonts w:ascii="Times New Roman"/>
                <w:szCs w:val="20"/>
              </w:rPr>
            </w:pPr>
            <w:r>
              <w:rPr>
                <w:rFonts w:ascii="Times New Roman"/>
                <w:szCs w:val="20"/>
              </w:rPr>
              <w:t>FUTUREWEI</w:t>
            </w:r>
          </w:p>
        </w:tc>
        <w:tc>
          <w:tcPr>
            <w:tcW w:w="799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F64591" w14:paraId="0EE8D03A" w14:textId="77777777" w:rsidTr="00F64591">
        <w:tc>
          <w:tcPr>
            <w:tcW w:w="1372" w:type="dxa"/>
          </w:tcPr>
          <w:p w14:paraId="60A536E2" w14:textId="37FBC342"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3D3755F1" w14:textId="6525EBD7" w:rsidR="00F64591" w:rsidRDefault="007B737D" w:rsidP="00F64591">
            <w:pPr>
              <w:widowControl/>
              <w:rPr>
                <w:rFonts w:ascii="Times New Roman"/>
                <w:szCs w:val="20"/>
              </w:rPr>
            </w:pPr>
            <w:r w:rsidRPr="005E554E">
              <w:rPr>
                <w:rFonts w:ascii="Times New Roman"/>
                <w:szCs w:val="20"/>
              </w:rPr>
              <w:t>RAN1 has</w:t>
            </w:r>
            <w:r>
              <w:rPr>
                <w:rFonts w:ascii="Times New Roman"/>
                <w:szCs w:val="20"/>
              </w:rPr>
              <w:t xml:space="preserve"> already agreed that sensing will</w:t>
            </w:r>
            <w:r w:rsidRPr="005E554E">
              <w:rPr>
                <w:rFonts w:ascii="Times New Roman"/>
                <w:szCs w:val="20"/>
              </w:rPr>
              <w:t xml:space="preserve"> be performed in SL-DRX inactive time, </w:t>
            </w:r>
            <w:r>
              <w:rPr>
                <w:rFonts w:ascii="Times New Roman"/>
                <w:szCs w:val="20"/>
              </w:rPr>
              <w:t xml:space="preserve">and apart from finalizing the necessary details of when that should be mandated, </w:t>
            </w:r>
            <w:r w:rsidRPr="005E554E">
              <w:rPr>
                <w:rFonts w:ascii="Times New Roman"/>
                <w:szCs w:val="20"/>
              </w:rPr>
              <w:t>we think enhancement</w:t>
            </w:r>
            <w:r>
              <w:rPr>
                <w:rFonts w:ascii="Times New Roman"/>
                <w:szCs w:val="20"/>
              </w:rPr>
              <w:t>s</w:t>
            </w:r>
            <w:r w:rsidRPr="005E554E">
              <w:rPr>
                <w:rFonts w:ascii="Times New Roman"/>
                <w:szCs w:val="20"/>
              </w:rPr>
              <w:t xml:space="preserve"> to optimize </w:t>
            </w:r>
            <w:r>
              <w:rPr>
                <w:rFonts w:ascii="Times New Roman"/>
                <w:szCs w:val="20"/>
              </w:rPr>
              <w:t xml:space="preserve">the </w:t>
            </w:r>
            <w:r w:rsidRPr="005E554E">
              <w:rPr>
                <w:rFonts w:ascii="Times New Roman"/>
                <w:szCs w:val="20"/>
              </w:rPr>
              <w:t>relationship between partial sensing and SL-DRX is not needed in Rel-17.</w:t>
            </w:r>
            <w:r>
              <w:rPr>
                <w:rFonts w:ascii="Times New Roman"/>
                <w:szCs w:val="20"/>
              </w:rPr>
              <w:t xml:space="preserve"> The generic FFS points on this relationship which occur in a few agreements can be stopped by RAN</w:t>
            </w:r>
          </w:p>
        </w:tc>
      </w:tr>
      <w:tr w:rsidR="008C42B1" w14:paraId="134BAC98" w14:textId="77777777" w:rsidTr="00F64591">
        <w:tc>
          <w:tcPr>
            <w:tcW w:w="1372" w:type="dxa"/>
          </w:tcPr>
          <w:p w14:paraId="494A1168" w14:textId="636581EA" w:rsidR="008C42B1" w:rsidRDefault="008C42B1" w:rsidP="00F64591">
            <w:pPr>
              <w:widowControl/>
              <w:rPr>
                <w:rFonts w:ascii="Times New Roman"/>
                <w:szCs w:val="20"/>
              </w:rPr>
            </w:pPr>
            <w:proofErr w:type="spellStart"/>
            <w:r>
              <w:rPr>
                <w:rFonts w:ascii="Times New Roman"/>
                <w:szCs w:val="20"/>
              </w:rPr>
              <w:t>InterDigital</w:t>
            </w:r>
            <w:proofErr w:type="spellEnd"/>
          </w:p>
        </w:tc>
        <w:tc>
          <w:tcPr>
            <w:tcW w:w="7990" w:type="dxa"/>
          </w:tcPr>
          <w:p w14:paraId="398A8CE3" w14:textId="11FCCA5A" w:rsidR="008C42B1" w:rsidRPr="005E554E" w:rsidRDefault="004678E4" w:rsidP="00F64591">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D43C" w14:textId="77777777" w:rsidR="00C65076" w:rsidRDefault="00C65076">
      <w:r>
        <w:separator/>
      </w:r>
    </w:p>
  </w:endnote>
  <w:endnote w:type="continuationSeparator" w:id="0">
    <w:p w14:paraId="6AE59D25" w14:textId="77777777" w:rsidR="00C65076" w:rsidRDefault="00C6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28009F" w:csb1="00000000"/>
  </w:font>
  <w:font w:name="ZapfDingbats">
    <w:panose1 w:val="020B0604020202020204"/>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panose1 w:val="020B0604020202020204"/>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C33E"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37D">
      <w:rPr>
        <w:rStyle w:val="PageNumber"/>
        <w:noProof/>
      </w:rPr>
      <w:t>3</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D759" w14:textId="77777777" w:rsidR="00C65076" w:rsidRDefault="00C65076">
      <w:r>
        <w:separator/>
      </w:r>
    </w:p>
  </w:footnote>
  <w:footnote w:type="continuationSeparator" w:id="0">
    <w:p w14:paraId="2081FC93" w14:textId="77777777" w:rsidR="00C65076" w:rsidRDefault="00C65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6A"/>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uiPriority w:val="22"/>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Emphasis">
    <w:name w:val="Emphasis"/>
    <w:qFormat/>
    <w:rsid w:val="001C2762"/>
    <w:rPr>
      <w:i/>
      <w:iCs/>
    </w:rPr>
  </w:style>
  <w:style w:type="character" w:customStyle="1" w:styleId="normaltextrun">
    <w:name w:val="normaltextrun"/>
    <w:basedOn w:val="DefaultParagraphFont"/>
    <w:rsid w:val="00BF7461"/>
  </w:style>
  <w:style w:type="character" w:customStyle="1" w:styleId="eop">
    <w:name w:val="eop"/>
    <w:basedOn w:val="DefaultParagraphFont"/>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D916-4C91-46BB-B71B-7BD001F4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2148</Words>
  <Characters>12248</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문일 이</cp:lastModifiedBy>
  <cp:revision>6</cp:revision>
  <cp:lastPrinted>2014-01-26T05:26:00Z</cp:lastPrinted>
  <dcterms:created xsi:type="dcterms:W3CDTF">2021-09-13T22:31:00Z</dcterms:created>
  <dcterms:modified xsi:type="dcterms:W3CDTF">2021-09-13T22:59:00Z</dcterms:modified>
</cp:coreProperties>
</file>