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 xml:space="preserve">the progress of Rel-17 NR </w:t>
      </w:r>
      <w:proofErr w:type="spellStart"/>
      <w:r w:rsidR="007C7F02">
        <w:rPr>
          <w:rFonts w:ascii="Arial" w:hAnsi="Arial" w:cs="Arial"/>
          <w:snapToGrid w:val="0"/>
          <w:sz w:val="24"/>
        </w:rPr>
        <w:t>sidelink</w:t>
      </w:r>
      <w:proofErr w:type="spellEnd"/>
      <w:r w:rsidR="007C7F02">
        <w:rPr>
          <w:rFonts w:ascii="Arial" w:hAnsi="Arial" w:cs="Arial"/>
          <w:snapToGrid w:val="0"/>
          <w:sz w:val="24"/>
        </w:rPr>
        <w:t xml:space="preserve">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 xml:space="preserve">[93e-14-Sidelink-Progress] on the progress of Rel-17 NR </w:t>
      </w:r>
      <w:proofErr w:type="spellStart"/>
      <w:r w:rsidR="007C7F02" w:rsidRPr="007C7F02">
        <w:rPr>
          <w:rFonts w:ascii="Times New Roman"/>
          <w:szCs w:val="20"/>
          <w:lang w:val="en-GB"/>
        </w:rPr>
        <w:t>sidelink</w:t>
      </w:r>
      <w:proofErr w:type="spellEnd"/>
      <w:r w:rsidR="007C7F02" w:rsidRPr="007C7F02">
        <w:rPr>
          <w:rFonts w:ascii="Times New Roman"/>
          <w:szCs w:val="20"/>
          <w:lang w:val="en-GB"/>
        </w:rPr>
        <w:t xml:space="preserve">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 xml:space="preserve">SL-DRX applicability to </w:t>
      </w:r>
      <w:proofErr w:type="spellStart"/>
      <w:r w:rsidR="007C7F02" w:rsidRPr="007C7F02">
        <w:rPr>
          <w:rFonts w:ascii="Times New Roman"/>
          <w:sz w:val="24"/>
          <w:szCs w:val="20"/>
        </w:rPr>
        <w:t>ProSe</w:t>
      </w:r>
      <w:proofErr w:type="spellEnd"/>
      <w:r w:rsidR="007C7F02" w:rsidRPr="007C7F02">
        <w:rPr>
          <w:rFonts w:ascii="Times New Roman"/>
          <w:sz w:val="24"/>
          <w:szCs w:val="20"/>
        </w:rPr>
        <w:t xml:space="preserv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w:t>
      </w:r>
      <w:proofErr w:type="spellStart"/>
      <w:r w:rsidR="007C7F02">
        <w:rPr>
          <w:rFonts w:ascii="Times New Roman"/>
          <w:szCs w:val="20"/>
        </w:rPr>
        <w:t>ProSe</w:t>
      </w:r>
      <w:proofErr w:type="spellEnd"/>
      <w:r w:rsidR="007C7F02">
        <w:rPr>
          <w:rFonts w:ascii="Times New Roman"/>
          <w:szCs w:val="20"/>
        </w:rPr>
        <w:t xml:space="preserv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694E624" w14:textId="34AB06A9" w:rsidR="003E2B74" w:rsidRDefault="003E2B74" w:rsidP="003E2B74">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sidRPr="003E2B74">
              <w:rPr>
                <w:rFonts w:ascii="Times New Roman" w:eastAsia="宋体"/>
                <w:b/>
                <w:szCs w:val="20"/>
                <w:lang w:eastAsia="zh-CN"/>
              </w:rPr>
              <w:t>relay</w:t>
            </w:r>
            <w:r>
              <w:rPr>
                <w:rFonts w:ascii="Times New Roman" w:eastAsia="宋体"/>
                <w:szCs w:val="20"/>
                <w:lang w:eastAsia="zh-CN"/>
              </w:rPr>
              <w:t xml:space="preserve">-related and </w:t>
            </w:r>
            <w:r w:rsidRPr="003E2B74">
              <w:rPr>
                <w:rFonts w:ascii="Times New Roman" w:eastAsia="宋体"/>
                <w:b/>
                <w:szCs w:val="20"/>
                <w:lang w:eastAsia="zh-CN"/>
              </w:rPr>
              <w:t>non-relay</w:t>
            </w:r>
            <w:r>
              <w:rPr>
                <w:rFonts w:ascii="Times New Roman" w:eastAsia="宋体"/>
                <w:szCs w:val="20"/>
                <w:lang w:eastAsia="zh-CN"/>
              </w:rPr>
              <w:t xml:space="preserve">-related parts, for both </w:t>
            </w:r>
            <w:r w:rsidRPr="003E2B74">
              <w:rPr>
                <w:rFonts w:ascii="Times New Roman" w:eastAsia="宋体"/>
                <w:b/>
                <w:szCs w:val="20"/>
                <w:lang w:eastAsia="zh-CN"/>
              </w:rPr>
              <w:t>communication</w:t>
            </w:r>
            <w:r>
              <w:rPr>
                <w:rFonts w:ascii="Times New Roman" w:eastAsia="宋体"/>
                <w:szCs w:val="20"/>
                <w:lang w:eastAsia="zh-CN"/>
              </w:rPr>
              <w:t xml:space="preserve"> and </w:t>
            </w:r>
            <w:r w:rsidRPr="003E2B74">
              <w:rPr>
                <w:rFonts w:ascii="Times New Roman" w:eastAsia="宋体"/>
                <w:b/>
                <w:szCs w:val="20"/>
                <w:lang w:eastAsia="zh-CN"/>
              </w:rPr>
              <w:t>discovery</w:t>
            </w:r>
            <w:r>
              <w:rPr>
                <w:rFonts w:ascii="Times New Roman" w:eastAsia="宋体"/>
                <w:szCs w:val="20"/>
                <w:lang w:eastAsia="zh-CN"/>
              </w:rPr>
              <w:t xml:space="preserve">. </w:t>
            </w:r>
          </w:p>
          <w:p w14:paraId="494DF155" w14:textId="2B0F508C" w:rsidR="003E2B74" w:rsidRDefault="003E2B74" w:rsidP="003E2B74">
            <w:pPr>
              <w:pStyle w:val="afa"/>
              <w:widowControl/>
              <w:numPr>
                <w:ilvl w:val="0"/>
                <w:numId w:val="40"/>
              </w:numPr>
              <w:ind w:leftChars="0"/>
              <w:rPr>
                <w:rFonts w:ascii="Times New Roman" w:eastAsia="宋体"/>
                <w:szCs w:val="20"/>
                <w:lang w:eastAsia="zh-CN"/>
              </w:rPr>
            </w:pPr>
            <w:r>
              <w:rPr>
                <w:rFonts w:ascii="Times New Roman" w:eastAsia="宋体"/>
                <w:szCs w:val="20"/>
                <w:lang w:eastAsia="zh-CN"/>
              </w:rPr>
              <w:t xml:space="preserve">For </w:t>
            </w:r>
            <w:r w:rsidRPr="00147E30">
              <w:rPr>
                <w:rFonts w:ascii="Times New Roman" w:eastAsia="宋体"/>
                <w:b/>
                <w:szCs w:val="20"/>
                <w:lang w:eastAsia="zh-CN"/>
              </w:rPr>
              <w:t>non-relay</w:t>
            </w:r>
            <w:r>
              <w:rPr>
                <w:rFonts w:ascii="Times New Roman" w:eastAsia="宋体"/>
                <w:b/>
                <w:szCs w:val="20"/>
                <w:lang w:eastAsia="zh-CN"/>
              </w:rPr>
              <w:t>-</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sidRPr="003E2B74">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4E302644" w14:textId="262ED351" w:rsidR="003E2B74" w:rsidRDefault="003E2B74" w:rsidP="003E2B74">
            <w:pPr>
              <w:pStyle w:val="afa"/>
              <w:widowControl/>
              <w:numPr>
                <w:ilvl w:val="0"/>
                <w:numId w:val="40"/>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sidRPr="003E2B74">
              <w:rPr>
                <w:rFonts w:ascii="Times New Roman" w:eastAsia="宋体"/>
                <w:b/>
                <w:szCs w:val="20"/>
                <w:lang w:eastAsia="zh-CN"/>
              </w:rPr>
              <w:t xml:space="preserve">if there is no DRX support for relay-related communication, the power saving gain for non-relay-related </w:t>
            </w:r>
            <w:proofErr w:type="spellStart"/>
            <w:r w:rsidRPr="003E2B74">
              <w:rPr>
                <w:rFonts w:ascii="Times New Roman" w:eastAsia="宋体"/>
                <w:b/>
                <w:szCs w:val="20"/>
                <w:lang w:eastAsia="zh-CN"/>
              </w:rPr>
              <w:t>ProSe</w:t>
            </w:r>
            <w:proofErr w:type="spellEnd"/>
            <w:r w:rsidRPr="003E2B74">
              <w:rPr>
                <w:rFonts w:ascii="Times New Roman" w:eastAsia="宋体"/>
                <w:b/>
                <w:szCs w:val="20"/>
                <w:lang w:eastAsia="zh-CN"/>
              </w:rPr>
              <w:t xml:space="preserve"> communication will disappear as well</w:t>
            </w:r>
            <w:r>
              <w:rPr>
                <w:rFonts w:ascii="Times New Roman" w:eastAsia="宋体"/>
                <w:szCs w:val="20"/>
                <w:lang w:eastAsia="zh-CN"/>
              </w:rPr>
              <w:t>.</w:t>
            </w:r>
          </w:p>
          <w:p w14:paraId="2838D71F" w14:textId="11D13158" w:rsidR="003E2B74" w:rsidRPr="00147E30" w:rsidRDefault="003E2B74" w:rsidP="003E2B74">
            <w:pPr>
              <w:pStyle w:val="afa"/>
              <w:widowControl/>
              <w:numPr>
                <w:ilvl w:val="0"/>
                <w:numId w:val="40"/>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sidRPr="003E2B74">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sidRPr="003E2B74">
              <w:rPr>
                <w:rFonts w:ascii="Times New Roman" w:eastAsia="宋体"/>
                <w:b/>
                <w:szCs w:val="20"/>
                <w:lang w:eastAsia="zh-CN"/>
              </w:rPr>
              <w:t xml:space="preserve">if there is no DRX support for relay-related discovery, the power saving gain for non-relay-related </w:t>
            </w:r>
            <w:proofErr w:type="spellStart"/>
            <w:r w:rsidRPr="003E2B74">
              <w:rPr>
                <w:rFonts w:ascii="Times New Roman" w:eastAsia="宋体"/>
                <w:b/>
                <w:szCs w:val="20"/>
                <w:lang w:eastAsia="zh-CN"/>
              </w:rPr>
              <w:t>ProSe</w:t>
            </w:r>
            <w:proofErr w:type="spellEnd"/>
            <w:r w:rsidRPr="003E2B74">
              <w:rPr>
                <w:rFonts w:ascii="Times New Roman" w:eastAsia="宋体"/>
                <w:b/>
                <w:szCs w:val="20"/>
                <w:lang w:eastAsia="zh-CN"/>
              </w:rPr>
              <w:t xml:space="preserve"> communication will disappear as well</w:t>
            </w:r>
            <w:r>
              <w:rPr>
                <w:rFonts w:ascii="Times New Roman" w:eastAsia="宋体"/>
                <w:szCs w:val="20"/>
                <w:lang w:eastAsia="zh-CN"/>
              </w:rPr>
              <w:t>.</w:t>
            </w:r>
          </w:p>
          <w:p w14:paraId="4D5C026A" w14:textId="77777777" w:rsidR="003E2B74" w:rsidRPr="003E2B74" w:rsidRDefault="003E2B74" w:rsidP="00CB5A84">
            <w:pPr>
              <w:pStyle w:val="afa"/>
              <w:widowControl/>
              <w:numPr>
                <w:ilvl w:val="0"/>
                <w:numId w:val="40"/>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sidRPr="00147E30">
              <w:rPr>
                <w:rFonts w:ascii="Times New Roman" w:eastAsia="宋体"/>
                <w:b/>
                <w:szCs w:val="20"/>
                <w:lang w:eastAsia="zh-CN"/>
              </w:rPr>
              <w:t>non-relay</w:t>
            </w:r>
            <w:r>
              <w:rPr>
                <w:rFonts w:ascii="Times New Roman" w:eastAsia="宋体"/>
                <w:b/>
                <w:szCs w:val="20"/>
                <w:lang w:eastAsia="zh-CN"/>
              </w:rPr>
              <w:t>-</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sidRPr="00147E30">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w:t>
            </w:r>
            <w:r w:rsidRPr="00A25C37">
              <w:rPr>
                <w:rFonts w:ascii="Times New Roman" w:eastAsia="宋体"/>
                <w:szCs w:val="20"/>
                <w:lang w:eastAsia="zh-CN"/>
              </w:rPr>
              <w:t>93e-23-SLRelay-WI</w:t>
            </w:r>
            <w:r>
              <w:rPr>
                <w:rFonts w:ascii="Times New Roman" w:eastAsia="宋体"/>
                <w:szCs w:val="20"/>
                <w:lang w:eastAsia="zh-CN"/>
              </w:rPr>
              <w:t>], i.e., whether it is to be supported in R17.</w:t>
            </w:r>
            <w:bookmarkStart w:id="2" w:name="_GoBack"/>
            <w:bookmarkEnd w:id="2"/>
          </w:p>
          <w:p w14:paraId="47783050" w14:textId="7F83BD14" w:rsidR="003E2B74" w:rsidRPr="003E2B74" w:rsidRDefault="003E2B74" w:rsidP="003E2B74">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3E2B74" w14:paraId="59E9AC62" w14:textId="77777777" w:rsidTr="00E63678">
        <w:tc>
          <w:tcPr>
            <w:tcW w:w="1271" w:type="dxa"/>
          </w:tcPr>
          <w:p w14:paraId="4B98DFA9" w14:textId="77777777" w:rsidR="003E2B74" w:rsidRDefault="003E2B74" w:rsidP="003E2B74">
            <w:pPr>
              <w:widowControl/>
              <w:rPr>
                <w:rFonts w:ascii="Times New Roman"/>
                <w:szCs w:val="20"/>
              </w:rPr>
            </w:pPr>
          </w:p>
        </w:tc>
        <w:tc>
          <w:tcPr>
            <w:tcW w:w="8080" w:type="dxa"/>
          </w:tcPr>
          <w:p w14:paraId="399D12DE" w14:textId="77777777" w:rsidR="003E2B74" w:rsidRDefault="003E2B74" w:rsidP="003E2B74">
            <w:pPr>
              <w:widowControl/>
              <w:rPr>
                <w:rFonts w:ascii="Times New Roman"/>
                <w:szCs w:val="20"/>
              </w:rPr>
            </w:pPr>
          </w:p>
        </w:tc>
      </w:tr>
      <w:tr w:rsidR="003E2B74" w:rsidRPr="003E2B74" w14:paraId="69AFC6E1" w14:textId="77777777" w:rsidTr="00E63678">
        <w:tc>
          <w:tcPr>
            <w:tcW w:w="1271" w:type="dxa"/>
          </w:tcPr>
          <w:p w14:paraId="74870E5B" w14:textId="77777777" w:rsidR="003E2B74" w:rsidRDefault="003E2B74" w:rsidP="003E2B74">
            <w:pPr>
              <w:widowControl/>
              <w:rPr>
                <w:rFonts w:ascii="Times New Roman"/>
                <w:szCs w:val="20"/>
              </w:rPr>
            </w:pPr>
          </w:p>
        </w:tc>
        <w:tc>
          <w:tcPr>
            <w:tcW w:w="8080" w:type="dxa"/>
          </w:tcPr>
          <w:p w14:paraId="09E678AA" w14:textId="77777777" w:rsidR="003E2B74" w:rsidRDefault="003E2B74" w:rsidP="003E2B74">
            <w:pPr>
              <w:widowControl/>
              <w:rPr>
                <w:rFonts w:ascii="Times New Roman"/>
                <w:szCs w:val="20"/>
              </w:rPr>
            </w:pP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7C7F02" w14:paraId="23137738" w14:textId="77777777" w:rsidTr="00A700F8">
        <w:tc>
          <w:tcPr>
            <w:tcW w:w="1271"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A700F8">
        <w:tc>
          <w:tcPr>
            <w:tcW w:w="1271" w:type="dxa"/>
          </w:tcPr>
          <w:p w14:paraId="3CD168C6" w14:textId="77777777" w:rsidR="007C7F02" w:rsidRDefault="007C7F02" w:rsidP="00A700F8">
            <w:pPr>
              <w:widowControl/>
              <w:rPr>
                <w:rFonts w:ascii="Times New Roman"/>
                <w:szCs w:val="20"/>
              </w:rPr>
            </w:pPr>
          </w:p>
        </w:tc>
        <w:tc>
          <w:tcPr>
            <w:tcW w:w="8080" w:type="dxa"/>
          </w:tcPr>
          <w:p w14:paraId="48AD4E11" w14:textId="77777777" w:rsidR="007C7F02" w:rsidRDefault="007C7F02" w:rsidP="00A700F8">
            <w:pPr>
              <w:widowControl/>
              <w:rPr>
                <w:rFonts w:ascii="Times New Roman"/>
                <w:szCs w:val="20"/>
              </w:rPr>
            </w:pPr>
          </w:p>
        </w:tc>
      </w:tr>
      <w:tr w:rsidR="007C7F02" w14:paraId="5DBE6D01" w14:textId="77777777" w:rsidTr="00A700F8">
        <w:tc>
          <w:tcPr>
            <w:tcW w:w="1271" w:type="dxa"/>
          </w:tcPr>
          <w:p w14:paraId="7065B51C" w14:textId="77777777" w:rsidR="007C7F02" w:rsidRDefault="007C7F02" w:rsidP="00A700F8">
            <w:pPr>
              <w:widowControl/>
              <w:rPr>
                <w:rFonts w:ascii="Times New Roman"/>
                <w:szCs w:val="20"/>
              </w:rPr>
            </w:pPr>
          </w:p>
        </w:tc>
        <w:tc>
          <w:tcPr>
            <w:tcW w:w="8080" w:type="dxa"/>
          </w:tcPr>
          <w:p w14:paraId="08E1E943" w14:textId="77777777" w:rsidR="007C7F02" w:rsidRDefault="007C7F02" w:rsidP="00A700F8">
            <w:pPr>
              <w:widowControl/>
              <w:rPr>
                <w:rFonts w:ascii="Times New Roman"/>
                <w:szCs w:val="20"/>
              </w:rPr>
            </w:pPr>
          </w:p>
        </w:tc>
      </w:tr>
      <w:tr w:rsidR="007C7F02" w14:paraId="66E60D55" w14:textId="77777777" w:rsidTr="00A700F8">
        <w:tc>
          <w:tcPr>
            <w:tcW w:w="1271" w:type="dxa"/>
          </w:tcPr>
          <w:p w14:paraId="6D68AC02" w14:textId="77777777" w:rsidR="007C7F02" w:rsidRDefault="007C7F02" w:rsidP="00A700F8">
            <w:pPr>
              <w:widowControl/>
              <w:rPr>
                <w:rFonts w:ascii="Times New Roman"/>
                <w:szCs w:val="20"/>
              </w:rPr>
            </w:pPr>
          </w:p>
        </w:tc>
        <w:tc>
          <w:tcPr>
            <w:tcW w:w="8080" w:type="dxa"/>
          </w:tcPr>
          <w:p w14:paraId="639BB11A" w14:textId="77777777" w:rsidR="007C7F02" w:rsidRDefault="007C7F02" w:rsidP="00A700F8">
            <w:pPr>
              <w:widowControl/>
              <w:rPr>
                <w:rFonts w:ascii="Times New Roman"/>
                <w:szCs w:val="20"/>
              </w:rPr>
            </w:pPr>
          </w:p>
        </w:tc>
      </w:tr>
      <w:tr w:rsidR="007C7F02" w14:paraId="4C9BE3DD" w14:textId="77777777" w:rsidTr="00A700F8">
        <w:tc>
          <w:tcPr>
            <w:tcW w:w="1271" w:type="dxa"/>
          </w:tcPr>
          <w:p w14:paraId="229A5C62" w14:textId="77777777" w:rsidR="007C7F02" w:rsidRDefault="007C7F02" w:rsidP="00A700F8">
            <w:pPr>
              <w:widowControl/>
              <w:rPr>
                <w:rFonts w:ascii="Times New Roman"/>
                <w:szCs w:val="20"/>
              </w:rPr>
            </w:pPr>
          </w:p>
        </w:tc>
        <w:tc>
          <w:tcPr>
            <w:tcW w:w="8080" w:type="dxa"/>
          </w:tcPr>
          <w:p w14:paraId="16D6E1AA" w14:textId="77777777" w:rsidR="007C7F02" w:rsidRDefault="007C7F02" w:rsidP="00A700F8">
            <w:pPr>
              <w:widowControl/>
              <w:rPr>
                <w:rFonts w:ascii="Times New Roman"/>
                <w:szCs w:val="20"/>
              </w:rPr>
            </w:pP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46720A" w14:paraId="0021DF43" w14:textId="77777777" w:rsidTr="00A700F8">
        <w:tc>
          <w:tcPr>
            <w:tcW w:w="1271"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A700F8">
        <w:tc>
          <w:tcPr>
            <w:tcW w:w="1271" w:type="dxa"/>
          </w:tcPr>
          <w:p w14:paraId="2E7EB4D4" w14:textId="77777777" w:rsidR="0046720A" w:rsidRDefault="0046720A" w:rsidP="00A700F8">
            <w:pPr>
              <w:widowControl/>
              <w:rPr>
                <w:rFonts w:ascii="Times New Roman"/>
                <w:szCs w:val="20"/>
              </w:rPr>
            </w:pPr>
          </w:p>
        </w:tc>
        <w:tc>
          <w:tcPr>
            <w:tcW w:w="8080" w:type="dxa"/>
          </w:tcPr>
          <w:p w14:paraId="4DEBF84A" w14:textId="77777777" w:rsidR="0046720A" w:rsidRDefault="0046720A" w:rsidP="00A700F8">
            <w:pPr>
              <w:widowControl/>
              <w:rPr>
                <w:rFonts w:ascii="Times New Roman"/>
                <w:szCs w:val="20"/>
              </w:rPr>
            </w:pPr>
          </w:p>
        </w:tc>
      </w:tr>
      <w:tr w:rsidR="0046720A" w14:paraId="56AE4878" w14:textId="77777777" w:rsidTr="00A700F8">
        <w:tc>
          <w:tcPr>
            <w:tcW w:w="1271" w:type="dxa"/>
          </w:tcPr>
          <w:p w14:paraId="70030E68" w14:textId="77777777" w:rsidR="0046720A" w:rsidRDefault="0046720A" w:rsidP="00A700F8">
            <w:pPr>
              <w:widowControl/>
              <w:rPr>
                <w:rFonts w:ascii="Times New Roman"/>
                <w:szCs w:val="20"/>
              </w:rPr>
            </w:pPr>
          </w:p>
        </w:tc>
        <w:tc>
          <w:tcPr>
            <w:tcW w:w="8080" w:type="dxa"/>
          </w:tcPr>
          <w:p w14:paraId="404CA04C" w14:textId="77777777" w:rsidR="0046720A" w:rsidRDefault="0046720A" w:rsidP="00A700F8">
            <w:pPr>
              <w:widowControl/>
              <w:rPr>
                <w:rFonts w:ascii="Times New Roman"/>
                <w:szCs w:val="20"/>
              </w:rPr>
            </w:pPr>
          </w:p>
        </w:tc>
      </w:tr>
      <w:tr w:rsidR="0046720A" w14:paraId="0EE82E26" w14:textId="77777777" w:rsidTr="00A700F8">
        <w:tc>
          <w:tcPr>
            <w:tcW w:w="1271" w:type="dxa"/>
          </w:tcPr>
          <w:p w14:paraId="771EFAA8" w14:textId="77777777" w:rsidR="0046720A" w:rsidRDefault="0046720A" w:rsidP="00A700F8">
            <w:pPr>
              <w:widowControl/>
              <w:rPr>
                <w:rFonts w:ascii="Times New Roman"/>
                <w:szCs w:val="20"/>
              </w:rPr>
            </w:pPr>
          </w:p>
        </w:tc>
        <w:tc>
          <w:tcPr>
            <w:tcW w:w="8080" w:type="dxa"/>
          </w:tcPr>
          <w:p w14:paraId="7A8301C7" w14:textId="77777777" w:rsidR="0046720A" w:rsidRDefault="0046720A" w:rsidP="00A700F8">
            <w:pPr>
              <w:widowControl/>
              <w:rPr>
                <w:rFonts w:ascii="Times New Roman"/>
                <w:szCs w:val="20"/>
              </w:rPr>
            </w:pPr>
          </w:p>
        </w:tc>
      </w:tr>
      <w:tr w:rsidR="0046720A" w14:paraId="52672752" w14:textId="77777777" w:rsidTr="00A700F8">
        <w:tc>
          <w:tcPr>
            <w:tcW w:w="1271" w:type="dxa"/>
          </w:tcPr>
          <w:p w14:paraId="7C3F2F35" w14:textId="77777777" w:rsidR="0046720A" w:rsidRDefault="0046720A" w:rsidP="00A700F8">
            <w:pPr>
              <w:widowControl/>
              <w:rPr>
                <w:rFonts w:ascii="Times New Roman"/>
                <w:szCs w:val="20"/>
              </w:rPr>
            </w:pPr>
          </w:p>
        </w:tc>
        <w:tc>
          <w:tcPr>
            <w:tcW w:w="8080" w:type="dxa"/>
          </w:tcPr>
          <w:p w14:paraId="1F03086E" w14:textId="77777777" w:rsidR="0046720A" w:rsidRDefault="0046720A" w:rsidP="00A700F8">
            <w:pPr>
              <w:widowControl/>
              <w:rPr>
                <w:rFonts w:ascii="Times New Roman"/>
                <w:szCs w:val="20"/>
              </w:rPr>
            </w:pP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7C7F02" w14:paraId="1DD64011" w14:textId="77777777" w:rsidTr="00A700F8">
        <w:tc>
          <w:tcPr>
            <w:tcW w:w="1271"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A700F8">
        <w:tc>
          <w:tcPr>
            <w:tcW w:w="1271" w:type="dxa"/>
          </w:tcPr>
          <w:p w14:paraId="3F648F9D" w14:textId="77777777" w:rsidR="007C7F02" w:rsidRDefault="007C7F02" w:rsidP="00A700F8">
            <w:pPr>
              <w:widowControl/>
              <w:rPr>
                <w:rFonts w:ascii="Times New Roman"/>
                <w:szCs w:val="20"/>
              </w:rPr>
            </w:pPr>
          </w:p>
        </w:tc>
        <w:tc>
          <w:tcPr>
            <w:tcW w:w="8080" w:type="dxa"/>
          </w:tcPr>
          <w:p w14:paraId="0FE63FCC" w14:textId="77777777" w:rsidR="007C7F02" w:rsidRDefault="007C7F02" w:rsidP="00A700F8">
            <w:pPr>
              <w:widowControl/>
              <w:rPr>
                <w:rFonts w:ascii="Times New Roman"/>
                <w:szCs w:val="20"/>
              </w:rPr>
            </w:pPr>
          </w:p>
        </w:tc>
      </w:tr>
      <w:tr w:rsidR="007C7F02" w14:paraId="42BC71AF" w14:textId="77777777" w:rsidTr="00A700F8">
        <w:tc>
          <w:tcPr>
            <w:tcW w:w="1271" w:type="dxa"/>
          </w:tcPr>
          <w:p w14:paraId="6001ED0D" w14:textId="77777777" w:rsidR="007C7F02" w:rsidRDefault="007C7F02" w:rsidP="00A700F8">
            <w:pPr>
              <w:widowControl/>
              <w:rPr>
                <w:rFonts w:ascii="Times New Roman"/>
                <w:szCs w:val="20"/>
              </w:rPr>
            </w:pPr>
          </w:p>
        </w:tc>
        <w:tc>
          <w:tcPr>
            <w:tcW w:w="8080" w:type="dxa"/>
          </w:tcPr>
          <w:p w14:paraId="44EFE8A2" w14:textId="77777777" w:rsidR="007C7F02" w:rsidRDefault="007C7F02" w:rsidP="00A700F8">
            <w:pPr>
              <w:widowControl/>
              <w:rPr>
                <w:rFonts w:ascii="Times New Roman"/>
                <w:szCs w:val="20"/>
              </w:rPr>
            </w:pPr>
          </w:p>
        </w:tc>
      </w:tr>
      <w:tr w:rsidR="007C7F02" w14:paraId="774E2763" w14:textId="77777777" w:rsidTr="00A700F8">
        <w:tc>
          <w:tcPr>
            <w:tcW w:w="1271" w:type="dxa"/>
          </w:tcPr>
          <w:p w14:paraId="52621074" w14:textId="77777777" w:rsidR="007C7F02" w:rsidRDefault="007C7F02" w:rsidP="00A700F8">
            <w:pPr>
              <w:widowControl/>
              <w:rPr>
                <w:rFonts w:ascii="Times New Roman"/>
                <w:szCs w:val="20"/>
              </w:rPr>
            </w:pPr>
          </w:p>
        </w:tc>
        <w:tc>
          <w:tcPr>
            <w:tcW w:w="8080" w:type="dxa"/>
          </w:tcPr>
          <w:p w14:paraId="171E0FBB" w14:textId="77777777" w:rsidR="007C7F02" w:rsidRDefault="007C7F02" w:rsidP="00A700F8">
            <w:pPr>
              <w:widowControl/>
              <w:rPr>
                <w:rFonts w:ascii="Times New Roman"/>
                <w:szCs w:val="20"/>
              </w:rPr>
            </w:pPr>
          </w:p>
        </w:tc>
      </w:tr>
      <w:tr w:rsidR="007C7F02" w14:paraId="66FB03EF" w14:textId="77777777" w:rsidTr="00A700F8">
        <w:tc>
          <w:tcPr>
            <w:tcW w:w="1271" w:type="dxa"/>
          </w:tcPr>
          <w:p w14:paraId="0C49F27C" w14:textId="77777777" w:rsidR="007C7F02" w:rsidRDefault="007C7F02" w:rsidP="00A700F8">
            <w:pPr>
              <w:widowControl/>
              <w:rPr>
                <w:rFonts w:ascii="Times New Roman"/>
                <w:szCs w:val="20"/>
              </w:rPr>
            </w:pPr>
          </w:p>
        </w:tc>
        <w:tc>
          <w:tcPr>
            <w:tcW w:w="8080" w:type="dxa"/>
          </w:tcPr>
          <w:p w14:paraId="0BE839B8" w14:textId="77777777" w:rsidR="007C7F02" w:rsidRDefault="007C7F02" w:rsidP="00A700F8">
            <w:pPr>
              <w:widowControl/>
              <w:rPr>
                <w:rFonts w:ascii="Times New Roman"/>
                <w:szCs w:val="20"/>
              </w:rPr>
            </w:pP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 xml:space="preserve">introducing the baseline in the WID (i.e., “the principle of 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 xml:space="preserve">the relation between partial sensing and </w:t>
      </w:r>
      <w:proofErr w:type="spellStart"/>
      <w:r w:rsidRPr="0046720A">
        <w:rPr>
          <w:rFonts w:ascii="Times New Roman"/>
          <w:szCs w:val="20"/>
        </w:rPr>
        <w:t>sidelink</w:t>
      </w:r>
      <w:proofErr w:type="spellEnd"/>
      <w:r w:rsidRPr="0046720A">
        <w:rPr>
          <w:rFonts w:ascii="Times New Roman"/>
          <w:szCs w:val="20"/>
        </w:rPr>
        <w:t xml:space="preserve">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w:t>
      </w:r>
      <w:proofErr w:type="spellStart"/>
      <w:r w:rsidRPr="0046720A">
        <w:rPr>
          <w:rFonts w:ascii="Times New Roman"/>
          <w:szCs w:val="20"/>
        </w:rPr>
        <w:t>sidelink</w:t>
      </w:r>
      <w:proofErr w:type="spellEnd"/>
      <w:r w:rsidRPr="0046720A">
        <w:rPr>
          <w:rFonts w:ascii="Times New Roman"/>
          <w:szCs w:val="20"/>
        </w:rPr>
        <w:t xml:space="preserve">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46720A" w14:paraId="6A9FD25D" w14:textId="77777777" w:rsidTr="00A700F8">
        <w:tc>
          <w:tcPr>
            <w:tcW w:w="1271"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46720A" w14:paraId="13BB58F9" w14:textId="77777777" w:rsidTr="00A700F8">
        <w:tc>
          <w:tcPr>
            <w:tcW w:w="1271" w:type="dxa"/>
          </w:tcPr>
          <w:p w14:paraId="10561979" w14:textId="77777777" w:rsidR="0046720A" w:rsidRDefault="0046720A" w:rsidP="00A700F8">
            <w:pPr>
              <w:widowControl/>
              <w:rPr>
                <w:rFonts w:ascii="Times New Roman"/>
                <w:szCs w:val="20"/>
              </w:rPr>
            </w:pPr>
          </w:p>
        </w:tc>
        <w:tc>
          <w:tcPr>
            <w:tcW w:w="8080" w:type="dxa"/>
          </w:tcPr>
          <w:p w14:paraId="521BE8B5" w14:textId="77777777" w:rsidR="0046720A" w:rsidRDefault="0046720A" w:rsidP="00A700F8">
            <w:pPr>
              <w:widowControl/>
              <w:rPr>
                <w:rFonts w:ascii="Times New Roman"/>
                <w:szCs w:val="20"/>
              </w:rPr>
            </w:pPr>
          </w:p>
        </w:tc>
      </w:tr>
      <w:tr w:rsidR="0046720A" w14:paraId="395E02D5" w14:textId="77777777" w:rsidTr="00A700F8">
        <w:tc>
          <w:tcPr>
            <w:tcW w:w="1271" w:type="dxa"/>
          </w:tcPr>
          <w:p w14:paraId="15510D8B" w14:textId="77777777" w:rsidR="0046720A" w:rsidRDefault="0046720A" w:rsidP="00A700F8">
            <w:pPr>
              <w:widowControl/>
              <w:rPr>
                <w:rFonts w:ascii="Times New Roman"/>
                <w:szCs w:val="20"/>
              </w:rPr>
            </w:pPr>
          </w:p>
        </w:tc>
        <w:tc>
          <w:tcPr>
            <w:tcW w:w="8080" w:type="dxa"/>
          </w:tcPr>
          <w:p w14:paraId="6181531A" w14:textId="77777777" w:rsidR="0046720A" w:rsidRDefault="0046720A" w:rsidP="00A700F8">
            <w:pPr>
              <w:widowControl/>
              <w:rPr>
                <w:rFonts w:ascii="Times New Roman"/>
                <w:szCs w:val="20"/>
              </w:rPr>
            </w:pPr>
          </w:p>
        </w:tc>
      </w:tr>
      <w:tr w:rsidR="0046720A" w14:paraId="73AA2047" w14:textId="77777777" w:rsidTr="00A700F8">
        <w:tc>
          <w:tcPr>
            <w:tcW w:w="1271" w:type="dxa"/>
          </w:tcPr>
          <w:p w14:paraId="669F7EEB" w14:textId="77777777" w:rsidR="0046720A" w:rsidRDefault="0046720A" w:rsidP="00A700F8">
            <w:pPr>
              <w:widowControl/>
              <w:rPr>
                <w:rFonts w:ascii="Times New Roman"/>
                <w:szCs w:val="20"/>
              </w:rPr>
            </w:pPr>
          </w:p>
        </w:tc>
        <w:tc>
          <w:tcPr>
            <w:tcW w:w="8080" w:type="dxa"/>
          </w:tcPr>
          <w:p w14:paraId="0FD4D989" w14:textId="77777777" w:rsidR="0046720A" w:rsidRDefault="0046720A" w:rsidP="00A700F8">
            <w:pPr>
              <w:widowControl/>
              <w:rPr>
                <w:rFonts w:ascii="Times New Roman"/>
                <w:szCs w:val="20"/>
              </w:rPr>
            </w:pPr>
          </w:p>
        </w:tc>
      </w:tr>
      <w:tr w:rsidR="0046720A" w14:paraId="0EE8D03A" w14:textId="77777777" w:rsidTr="00A700F8">
        <w:tc>
          <w:tcPr>
            <w:tcW w:w="1271" w:type="dxa"/>
          </w:tcPr>
          <w:p w14:paraId="60A536E2" w14:textId="77777777" w:rsidR="0046720A" w:rsidRDefault="0046720A" w:rsidP="00A700F8">
            <w:pPr>
              <w:widowControl/>
              <w:rPr>
                <w:rFonts w:ascii="Times New Roman"/>
                <w:szCs w:val="20"/>
              </w:rPr>
            </w:pPr>
          </w:p>
        </w:tc>
        <w:tc>
          <w:tcPr>
            <w:tcW w:w="8080" w:type="dxa"/>
          </w:tcPr>
          <w:p w14:paraId="3D3755F1" w14:textId="77777777" w:rsidR="0046720A" w:rsidRDefault="0046720A" w:rsidP="00A700F8">
            <w:pPr>
              <w:widowControl/>
              <w:rPr>
                <w:rFonts w:ascii="Times New Roman"/>
                <w:szCs w:val="20"/>
              </w:rPr>
            </w:pP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7B90" w14:textId="77777777" w:rsidR="00C47A76" w:rsidRDefault="00C47A76">
      <w:r>
        <w:separator/>
      </w:r>
    </w:p>
  </w:endnote>
  <w:endnote w:type="continuationSeparator" w:id="0">
    <w:p w14:paraId="15B0BFC6" w14:textId="77777777" w:rsidR="00C47A76" w:rsidRDefault="00C4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F3A2"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EA96EF5" w14:textId="77777777" w:rsidR="00D729E9" w:rsidRDefault="00D729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C33E"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94FD6">
      <w:rPr>
        <w:rStyle w:val="aa"/>
        <w:noProof/>
      </w:rPr>
      <w:t>1</w:t>
    </w:r>
    <w:r>
      <w:rPr>
        <w:rStyle w:val="aa"/>
      </w:rPr>
      <w:fldChar w:fldCharType="end"/>
    </w:r>
  </w:p>
  <w:p w14:paraId="3B4BEDBA" w14:textId="77777777" w:rsidR="00D729E9" w:rsidRDefault="00D72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9047" w14:textId="77777777" w:rsidR="00C47A76" w:rsidRDefault="00C47A76">
      <w:r>
        <w:separator/>
      </w:r>
    </w:p>
  </w:footnote>
  <w:footnote w:type="continuationSeparator" w:id="0">
    <w:p w14:paraId="08497598" w14:textId="77777777" w:rsidR="00C47A76" w:rsidRDefault="00C47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7"/>
  </w:num>
  <w:num w:numId="5">
    <w:abstractNumId w:val="38"/>
  </w:num>
  <w:num w:numId="6">
    <w:abstractNumId w:val="21"/>
  </w:num>
  <w:num w:numId="7">
    <w:abstractNumId w:val="28"/>
  </w:num>
  <w:num w:numId="8">
    <w:abstractNumId w:val="18"/>
  </w:num>
  <w:num w:numId="9">
    <w:abstractNumId w:val="1"/>
  </w:num>
  <w:num w:numId="10">
    <w:abstractNumId w:val="35"/>
  </w:num>
  <w:num w:numId="11">
    <w:abstractNumId w:val="5"/>
  </w:num>
  <w:num w:numId="12">
    <w:abstractNumId w:val="17"/>
  </w:num>
  <w:num w:numId="13">
    <w:abstractNumId w:val="29"/>
  </w:num>
  <w:num w:numId="14">
    <w:abstractNumId w:val="32"/>
  </w:num>
  <w:num w:numId="15">
    <w:abstractNumId w:val="15"/>
  </w:num>
  <w:num w:numId="16">
    <w:abstractNumId w:val="10"/>
  </w:num>
  <w:num w:numId="17">
    <w:abstractNumId w:val="30"/>
  </w:num>
  <w:num w:numId="18">
    <w:abstractNumId w:val="4"/>
  </w:num>
  <w:num w:numId="19">
    <w:abstractNumId w:val="34"/>
  </w:num>
  <w:num w:numId="20">
    <w:abstractNumId w:val="2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20"/>
  </w:num>
  <w:num w:numId="28">
    <w:abstractNumId w:val="27"/>
  </w:num>
  <w:num w:numId="29">
    <w:abstractNumId w:val="8"/>
  </w:num>
  <w:num w:numId="30">
    <w:abstractNumId w:val="6"/>
  </w:num>
  <w:num w:numId="31">
    <w:abstractNumId w:val="3"/>
  </w:num>
  <w:num w:numId="32">
    <w:abstractNumId w:val="36"/>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91F6A"/>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Memo Heading 3 Char Car"/>
    <w:basedOn w:val="2"/>
    <w:next w:val="a0"/>
    <w:link w:val="30"/>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Pr>
      <w:rFonts w:ascii="Arial" w:eastAsia="Dotum" w:hAnsi="Arial"/>
      <w:sz w:val="18"/>
      <w:szCs w:val="18"/>
    </w:rPr>
  </w:style>
  <w:style w:type="character" w:styleId="a7">
    <w:name w:val="Strong"/>
    <w:qFormat/>
    <w:rPr>
      <w:b/>
      <w:bCs/>
    </w:rPr>
  </w:style>
  <w:style w:type="paragraph" w:customStyle="1" w:styleId="11">
    <w:name w:val="랜1회의_본문"/>
    <w:basedOn w:val="a0"/>
    <w:pPr>
      <w:tabs>
        <w:tab w:val="left" w:pos="720"/>
      </w:tabs>
      <w:spacing w:afterLines="20" w:after="48"/>
      <w:ind w:left="720" w:hanging="181"/>
    </w:pPr>
    <w:rPr>
      <w:rFonts w:ascii="Arial" w:eastAsia="Gulim" w:hAnsi="Arial"/>
      <w:szCs w:val="20"/>
      <w:lang w:val="en-GB"/>
    </w:rPr>
  </w:style>
  <w:style w:type="paragraph" w:styleId="a8">
    <w:name w:val="footer"/>
    <w:basedOn w:val="a0"/>
    <w:link w:val="a9"/>
    <w:uiPriority w:val="99"/>
    <w:pPr>
      <w:tabs>
        <w:tab w:val="center" w:pos="4252"/>
        <w:tab w:val="right" w:pos="8504"/>
      </w:tabs>
      <w:snapToGrid w:val="0"/>
    </w:pPr>
    <w:rPr>
      <w:lang w:val="x-none" w:eastAsia="x-none"/>
    </w:rPr>
  </w:style>
  <w:style w:type="character" w:styleId="aa">
    <w:name w:val="page number"/>
    <w:basedOn w:val="a1"/>
  </w:style>
  <w:style w:type="paragraph" w:styleId="ab">
    <w:name w:val="caption"/>
    <w:aliases w:val="cap,cap Char,Caption Char,Caption Char1 Char,Caption Char Char1 Char,cap Char2,cap Char2 Char,Ca"/>
    <w:basedOn w:val="a0"/>
    <w:next w:val="a0"/>
    <w:link w:val="ac"/>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rPr>
      <w:lang w:val="x-none" w:eastAsia="x-none"/>
    </w:r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List Paragraph"/>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4090-20B5-4994-BF63-C612637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OPPO (Qianxi)</cp:lastModifiedBy>
  <cp:revision>3</cp:revision>
  <cp:lastPrinted>2014-01-26T05:26:00Z</cp:lastPrinted>
  <dcterms:created xsi:type="dcterms:W3CDTF">2021-09-13T11:55:00Z</dcterms:created>
  <dcterms:modified xsi:type="dcterms:W3CDTF">2021-09-13T11:56:00Z</dcterms:modified>
</cp:coreProperties>
</file>