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1F44C5">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1F44C5">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1F44C5">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99D12DE" w14:textId="0DA41FE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69AFC6E1" w14:textId="77777777" w:rsidTr="00E63678">
        <w:tc>
          <w:tcPr>
            <w:tcW w:w="1271" w:type="dxa"/>
          </w:tcPr>
          <w:p w14:paraId="74870E5B" w14:textId="21FF8A05"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1F44C5">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682F6C3A" w14:textId="77777777" w:rsidTr="00E63678">
        <w:tc>
          <w:tcPr>
            <w:tcW w:w="1271" w:type="dxa"/>
          </w:tcPr>
          <w:p w14:paraId="04EE5273" w14:textId="1F84815A" w:rsidR="002A0486" w:rsidRDefault="002A0486" w:rsidP="004C1AE7">
            <w:pPr>
              <w:widowControl/>
              <w:rPr>
                <w:rFonts w:ascii="Times New Roman"/>
                <w:szCs w:val="20"/>
              </w:rPr>
            </w:pPr>
            <w:r>
              <w:rPr>
                <w:rFonts w:ascii="Times New Roman"/>
                <w:szCs w:val="20"/>
              </w:rPr>
              <w:t>CATT</w:t>
            </w:r>
          </w:p>
        </w:tc>
        <w:tc>
          <w:tcPr>
            <w:tcW w:w="8080" w:type="dxa"/>
          </w:tcPr>
          <w:p w14:paraId="45DDC731" w14:textId="39631B1C" w:rsidR="002A0486" w:rsidRDefault="002A0486" w:rsidP="004C1AE7">
            <w:pPr>
              <w:widowControl/>
              <w:rPr>
                <w:rFonts w:ascii="Times New Roman"/>
                <w:szCs w:val="20"/>
              </w:rPr>
            </w:pPr>
            <w:r>
              <w:rPr>
                <w:rFonts w:ascii="Times New Roman"/>
                <w:szCs w:val="20"/>
              </w:rPr>
              <w:t>Support</w:t>
            </w:r>
          </w:p>
        </w:tc>
      </w:tr>
      <w:tr w:rsidR="0016129E" w14:paraId="7465E2A7" w14:textId="77777777" w:rsidTr="00E63678">
        <w:tc>
          <w:tcPr>
            <w:tcW w:w="1271" w:type="dxa"/>
          </w:tcPr>
          <w:p w14:paraId="32A4D34E" w14:textId="0FF9F4CA"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4B1B5E" w14:textId="0330A1BC"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4CDB9C9B" w14:textId="77777777" w:rsidTr="00E63678">
        <w:tc>
          <w:tcPr>
            <w:tcW w:w="1271" w:type="dxa"/>
          </w:tcPr>
          <w:p w14:paraId="5661DC21" w14:textId="03CD4864"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0346C40B" w14:textId="755ED301" w:rsidR="001F44C5" w:rsidRDefault="001F44C5" w:rsidP="001F44C5">
            <w:pPr>
              <w:widowControl/>
              <w:rPr>
                <w:rFonts w:ascii="Times New Roman" w:eastAsia="SimSun"/>
                <w:szCs w:val="20"/>
                <w:lang w:eastAsia="zh-CN"/>
              </w:rPr>
            </w:pPr>
            <w:r>
              <w:rPr>
                <w:rFonts w:ascii="Times New Roman"/>
                <w:szCs w:val="20"/>
              </w:rPr>
              <w:t>OK to remove reference</w:t>
            </w:r>
          </w:p>
        </w:tc>
      </w:tr>
      <w:tr w:rsidR="00243303" w14:paraId="4868032A" w14:textId="77777777" w:rsidTr="00E63678">
        <w:tc>
          <w:tcPr>
            <w:tcW w:w="1271" w:type="dxa"/>
          </w:tcPr>
          <w:p w14:paraId="7F19300A" w14:textId="679F07E9" w:rsidR="00243303" w:rsidRDefault="00243303" w:rsidP="001F44C5">
            <w:pPr>
              <w:widowControl/>
              <w:rPr>
                <w:rFonts w:ascii="Times New Roman"/>
                <w:szCs w:val="20"/>
              </w:rPr>
            </w:pPr>
            <w:r>
              <w:rPr>
                <w:rFonts w:ascii="Times New Roman"/>
                <w:szCs w:val="20"/>
              </w:rPr>
              <w:t>Nokia</w:t>
            </w:r>
          </w:p>
        </w:tc>
        <w:tc>
          <w:tcPr>
            <w:tcW w:w="8080" w:type="dxa"/>
          </w:tcPr>
          <w:p w14:paraId="0454E87F" w14:textId="66FD2522" w:rsidR="00243303" w:rsidRDefault="00243303" w:rsidP="001F44C5">
            <w:pPr>
              <w:widowControl/>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4CF945A9" w14:textId="77777777" w:rsidTr="001F44C5">
        <w:tc>
          <w:tcPr>
            <w:tcW w:w="1271" w:type="dxa"/>
          </w:tcPr>
          <w:p w14:paraId="434839A9"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1F44C5">
            <w:pPr>
              <w:widowControl/>
              <w:rPr>
                <w:rFonts w:ascii="Times New Roman"/>
                <w:szCs w:val="20"/>
              </w:rPr>
            </w:pPr>
            <w:r>
              <w:rPr>
                <w:rFonts w:ascii="Times New Roman" w:hint="eastAsia"/>
                <w:szCs w:val="20"/>
              </w:rPr>
              <w:t>Comment</w:t>
            </w:r>
          </w:p>
        </w:tc>
      </w:tr>
      <w:tr w:rsidR="00E63678" w14:paraId="78F3BF3D" w14:textId="77777777" w:rsidTr="001F44C5">
        <w:tc>
          <w:tcPr>
            <w:tcW w:w="1271" w:type="dxa"/>
          </w:tcPr>
          <w:p w14:paraId="11F24DD2" w14:textId="2F0B2417" w:rsidR="00E63678" w:rsidRDefault="007365CC" w:rsidP="001F44C5">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1F44C5">
            <w:pPr>
              <w:widowControl/>
              <w:rPr>
                <w:rFonts w:ascii="Times New Roman"/>
                <w:szCs w:val="20"/>
              </w:rPr>
            </w:pPr>
            <w:r>
              <w:rPr>
                <w:rFonts w:ascii="Times New Roman" w:hint="eastAsia"/>
                <w:szCs w:val="20"/>
              </w:rPr>
              <w:t>We support the wording proposed by Intel.</w:t>
            </w:r>
          </w:p>
        </w:tc>
      </w:tr>
      <w:tr w:rsidR="00E63678" w14:paraId="3C31FF17" w14:textId="77777777" w:rsidTr="001F44C5">
        <w:tc>
          <w:tcPr>
            <w:tcW w:w="1271" w:type="dxa"/>
          </w:tcPr>
          <w:p w14:paraId="39FC7CF3" w14:textId="3416B8CE"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523E6F" w14:textId="1E348FB3"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4E3D3E1B" w14:textId="77777777" w:rsidTr="001F44C5">
        <w:tc>
          <w:tcPr>
            <w:tcW w:w="1271" w:type="dxa"/>
          </w:tcPr>
          <w:p w14:paraId="6513FC3B" w14:textId="706F94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1F44C5">
            <w:pPr>
              <w:widowControl/>
              <w:rPr>
                <w:rFonts w:ascii="Times New Roman"/>
                <w:szCs w:val="20"/>
              </w:rPr>
            </w:pPr>
            <w:r>
              <w:rPr>
                <w:rFonts w:ascii="Times New Roman"/>
                <w:szCs w:val="20"/>
              </w:rPr>
              <w:t>Support</w:t>
            </w:r>
          </w:p>
        </w:tc>
      </w:tr>
      <w:tr w:rsidR="000B19E7" w14:paraId="0FF69805" w14:textId="77777777" w:rsidTr="001F44C5">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1A9B3F92" w14:textId="77777777" w:rsidTr="001F44C5">
        <w:tc>
          <w:tcPr>
            <w:tcW w:w="1271" w:type="dxa"/>
          </w:tcPr>
          <w:p w14:paraId="6F48ED09" w14:textId="36F9BCDC" w:rsidR="002A0486" w:rsidRDefault="002A0486" w:rsidP="000B19E7">
            <w:pPr>
              <w:widowControl/>
              <w:rPr>
                <w:rFonts w:ascii="Times New Roman"/>
                <w:szCs w:val="20"/>
              </w:rPr>
            </w:pPr>
            <w:r>
              <w:rPr>
                <w:rFonts w:ascii="Times New Roman"/>
                <w:szCs w:val="20"/>
              </w:rPr>
              <w:t>CATT</w:t>
            </w:r>
          </w:p>
        </w:tc>
        <w:tc>
          <w:tcPr>
            <w:tcW w:w="8080" w:type="dxa"/>
          </w:tcPr>
          <w:p w14:paraId="5BBA7159" w14:textId="25CF100D"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0CD72058" w14:textId="77777777" w:rsidTr="001F44C5">
        <w:tc>
          <w:tcPr>
            <w:tcW w:w="1271" w:type="dxa"/>
          </w:tcPr>
          <w:p w14:paraId="701508D1" w14:textId="0C6BBBC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C0F6D94"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16EB87A8" w14:textId="77777777"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720033FB" w14:textId="64BFF70B" w:rsidR="0016129E" w:rsidRDefault="0016129E" w:rsidP="0016129E">
            <w:pPr>
              <w:widowControl/>
              <w:rPr>
                <w:rFonts w:ascii="Times New Roman"/>
                <w:szCs w:val="20"/>
              </w:rPr>
            </w:pPr>
            <w:r>
              <w:rPr>
                <w:rFonts w:ascii="Times New Roman" w:eastAsia="SimSun" w:hint="eastAsia"/>
                <w:szCs w:val="20"/>
                <w:lang w:eastAsia="zh-CN"/>
              </w:rPr>
              <w:lastRenderedPageBreak/>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15B6ACEE" w14:textId="77777777" w:rsidTr="001F44C5">
        <w:tc>
          <w:tcPr>
            <w:tcW w:w="1271" w:type="dxa"/>
          </w:tcPr>
          <w:p w14:paraId="6D5C1563" w14:textId="6BC8ACFA" w:rsidR="001F44C5" w:rsidRDefault="001F44C5" w:rsidP="001F44C5">
            <w:pPr>
              <w:widowControl/>
              <w:rPr>
                <w:rFonts w:ascii="Times New Roman" w:eastAsia="SimSun"/>
                <w:szCs w:val="20"/>
                <w:lang w:eastAsia="zh-CN"/>
              </w:rPr>
            </w:pPr>
            <w:r>
              <w:rPr>
                <w:rFonts w:ascii="Times New Roman"/>
                <w:szCs w:val="20"/>
              </w:rPr>
              <w:lastRenderedPageBreak/>
              <w:t xml:space="preserve">Intel </w:t>
            </w:r>
          </w:p>
        </w:tc>
        <w:tc>
          <w:tcPr>
            <w:tcW w:w="8080" w:type="dxa"/>
          </w:tcPr>
          <w:p w14:paraId="00AD5C32" w14:textId="3283A067" w:rsidR="001F44C5" w:rsidRDefault="001F44C5" w:rsidP="001F44C5">
            <w:pPr>
              <w:widowControl/>
              <w:rPr>
                <w:rFonts w:ascii="Times New Roman" w:eastAsia="SimSun"/>
                <w:szCs w:val="20"/>
                <w:lang w:eastAsia="zh-CN"/>
              </w:rPr>
            </w:pPr>
            <w:r>
              <w:rPr>
                <w:rFonts w:ascii="Times New Roman"/>
                <w:szCs w:val="20"/>
              </w:rPr>
              <w:t>OK with RP-212004</w:t>
            </w:r>
          </w:p>
        </w:tc>
      </w:tr>
      <w:tr w:rsidR="00243303" w14:paraId="780258AD" w14:textId="77777777" w:rsidTr="001F44C5">
        <w:tc>
          <w:tcPr>
            <w:tcW w:w="1271" w:type="dxa"/>
          </w:tcPr>
          <w:p w14:paraId="17D617E8" w14:textId="0CF72709" w:rsidR="00243303" w:rsidRDefault="00243303" w:rsidP="00243303">
            <w:pPr>
              <w:widowControl/>
              <w:rPr>
                <w:rFonts w:ascii="Times New Roman"/>
                <w:szCs w:val="20"/>
              </w:rPr>
            </w:pPr>
            <w:r>
              <w:rPr>
                <w:rFonts w:ascii="Times New Roman"/>
                <w:szCs w:val="20"/>
              </w:rPr>
              <w:t>Nokia</w:t>
            </w:r>
          </w:p>
        </w:tc>
        <w:tc>
          <w:tcPr>
            <w:tcW w:w="8080" w:type="dxa"/>
          </w:tcPr>
          <w:p w14:paraId="6C717C11" w14:textId="77777777" w:rsidR="00243303" w:rsidRDefault="00243303" w:rsidP="00243303">
            <w:pPr>
              <w:widowControl/>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0B5FDF33" w14:textId="58B17A68" w:rsidR="00243303" w:rsidRDefault="00243303" w:rsidP="00243303">
            <w:pPr>
              <w:widowControl/>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6E7C2774" w14:textId="77777777" w:rsidTr="001F44C5">
        <w:tc>
          <w:tcPr>
            <w:tcW w:w="1271" w:type="dxa"/>
          </w:tcPr>
          <w:p w14:paraId="0AB0FAC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1F44C5">
            <w:pPr>
              <w:widowControl/>
              <w:rPr>
                <w:rFonts w:ascii="Times New Roman"/>
                <w:szCs w:val="20"/>
              </w:rPr>
            </w:pPr>
            <w:r>
              <w:rPr>
                <w:rFonts w:ascii="Times New Roman" w:hint="eastAsia"/>
                <w:szCs w:val="20"/>
              </w:rPr>
              <w:t>Comment</w:t>
            </w:r>
          </w:p>
        </w:tc>
      </w:tr>
      <w:tr w:rsidR="00463712" w14:paraId="5F973BFC" w14:textId="77777777" w:rsidTr="001F44C5">
        <w:tc>
          <w:tcPr>
            <w:tcW w:w="1271" w:type="dxa"/>
          </w:tcPr>
          <w:p w14:paraId="2C027C1C" w14:textId="2486F63B" w:rsidR="00463712" w:rsidRDefault="00E35329" w:rsidP="001F44C5">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1F44C5">
        <w:tc>
          <w:tcPr>
            <w:tcW w:w="1271" w:type="dxa"/>
          </w:tcPr>
          <w:p w14:paraId="47E51993" w14:textId="51176D41"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B12ECE0" w14:textId="4324C062"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76192030" w14:textId="77777777" w:rsidTr="001F44C5">
        <w:tc>
          <w:tcPr>
            <w:tcW w:w="1271" w:type="dxa"/>
          </w:tcPr>
          <w:p w14:paraId="4D63F538" w14:textId="518B113A" w:rsidR="00463712"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1F44C5">
            <w:pPr>
              <w:widowControl/>
              <w:rPr>
                <w:rFonts w:ascii="Times New Roman"/>
                <w:szCs w:val="20"/>
              </w:rPr>
            </w:pPr>
            <w:r>
              <w:rPr>
                <w:rFonts w:ascii="Times New Roman"/>
                <w:szCs w:val="20"/>
              </w:rPr>
              <w:t>Support</w:t>
            </w:r>
          </w:p>
        </w:tc>
      </w:tr>
      <w:tr w:rsidR="002A0486" w:rsidRPr="007365CC" w14:paraId="72D6F2F9" w14:textId="77777777" w:rsidTr="001F44C5">
        <w:tc>
          <w:tcPr>
            <w:tcW w:w="1271" w:type="dxa"/>
          </w:tcPr>
          <w:p w14:paraId="3CF4C919" w14:textId="1E46A525" w:rsidR="002A0486" w:rsidRDefault="002A0486" w:rsidP="001F44C5">
            <w:pPr>
              <w:widowControl/>
              <w:rPr>
                <w:rFonts w:ascii="Times New Roman"/>
                <w:szCs w:val="20"/>
              </w:rPr>
            </w:pPr>
            <w:r>
              <w:rPr>
                <w:rFonts w:ascii="Times New Roman"/>
                <w:szCs w:val="20"/>
              </w:rPr>
              <w:t>CATT</w:t>
            </w:r>
          </w:p>
        </w:tc>
        <w:tc>
          <w:tcPr>
            <w:tcW w:w="8080" w:type="dxa"/>
          </w:tcPr>
          <w:p w14:paraId="15D3A112" w14:textId="173A3697"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01B2283E" w14:textId="77777777" w:rsidTr="001F44C5">
        <w:tc>
          <w:tcPr>
            <w:tcW w:w="1271" w:type="dxa"/>
          </w:tcPr>
          <w:p w14:paraId="67F8A53C" w14:textId="21E5ABF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8E7DA65" w14:textId="0301FC2B"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13F3C40E" w14:textId="77777777" w:rsidTr="001F44C5">
        <w:tc>
          <w:tcPr>
            <w:tcW w:w="1271" w:type="dxa"/>
          </w:tcPr>
          <w:p w14:paraId="57F78FD1" w14:textId="47957002"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4F553C36" w14:textId="4AF6EA45"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243303" w:rsidRPr="007365CC" w14:paraId="5BC780C5" w14:textId="77777777" w:rsidTr="001F44C5">
        <w:tc>
          <w:tcPr>
            <w:tcW w:w="1271" w:type="dxa"/>
          </w:tcPr>
          <w:p w14:paraId="37ED7A91" w14:textId="1DDF9353" w:rsidR="00243303" w:rsidRDefault="00243303" w:rsidP="00243303">
            <w:pPr>
              <w:widowControl/>
              <w:rPr>
                <w:rFonts w:ascii="Times New Roman"/>
                <w:szCs w:val="20"/>
              </w:rPr>
            </w:pPr>
            <w:r>
              <w:rPr>
                <w:rFonts w:ascii="Times New Roman"/>
                <w:szCs w:val="20"/>
              </w:rPr>
              <w:t>Nokia</w:t>
            </w:r>
          </w:p>
        </w:tc>
        <w:tc>
          <w:tcPr>
            <w:tcW w:w="8080" w:type="dxa"/>
          </w:tcPr>
          <w:p w14:paraId="2C83EA7D" w14:textId="13E5C63F" w:rsidR="00243303" w:rsidRDefault="00243303" w:rsidP="00243303">
            <w:pPr>
              <w:widowControl/>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818"/>
        <w:gridCol w:w="8544"/>
      </w:tblGrid>
      <w:tr w:rsidR="00115A06" w14:paraId="4EA4FADF" w14:textId="77777777" w:rsidTr="00243303">
        <w:tc>
          <w:tcPr>
            <w:tcW w:w="818" w:type="dxa"/>
          </w:tcPr>
          <w:p w14:paraId="7E9904CD" w14:textId="77777777" w:rsidR="00115A06" w:rsidRDefault="00115A06" w:rsidP="001F44C5">
            <w:pPr>
              <w:widowControl/>
              <w:rPr>
                <w:rFonts w:ascii="Times New Roman"/>
                <w:szCs w:val="20"/>
              </w:rPr>
            </w:pPr>
            <w:r>
              <w:rPr>
                <w:rFonts w:ascii="Times New Roman" w:hint="eastAsia"/>
                <w:szCs w:val="20"/>
              </w:rPr>
              <w:t>Company</w:t>
            </w:r>
          </w:p>
        </w:tc>
        <w:tc>
          <w:tcPr>
            <w:tcW w:w="8544" w:type="dxa"/>
          </w:tcPr>
          <w:p w14:paraId="4F5A1A04" w14:textId="77777777" w:rsidR="00115A06" w:rsidRDefault="00115A06" w:rsidP="001F44C5">
            <w:pPr>
              <w:widowControl/>
              <w:rPr>
                <w:rFonts w:ascii="Times New Roman"/>
                <w:szCs w:val="20"/>
              </w:rPr>
            </w:pPr>
            <w:r>
              <w:rPr>
                <w:rFonts w:ascii="Times New Roman" w:hint="eastAsia"/>
                <w:szCs w:val="20"/>
              </w:rPr>
              <w:t>Comment</w:t>
            </w:r>
          </w:p>
        </w:tc>
      </w:tr>
      <w:tr w:rsidR="00115A06" w14:paraId="69338876" w14:textId="77777777" w:rsidTr="00243303">
        <w:tc>
          <w:tcPr>
            <w:tcW w:w="818" w:type="dxa"/>
          </w:tcPr>
          <w:p w14:paraId="2A391AAC" w14:textId="600B764D" w:rsidR="00115A06" w:rsidRDefault="007365CC" w:rsidP="001F44C5">
            <w:pPr>
              <w:widowControl/>
              <w:rPr>
                <w:rFonts w:ascii="Times New Roman"/>
                <w:szCs w:val="20"/>
              </w:rPr>
            </w:pPr>
            <w:r>
              <w:rPr>
                <w:rFonts w:ascii="Times New Roman" w:hint="eastAsia"/>
                <w:szCs w:val="20"/>
              </w:rPr>
              <w:t>LGE</w:t>
            </w:r>
          </w:p>
        </w:tc>
        <w:tc>
          <w:tcPr>
            <w:tcW w:w="8544" w:type="dxa"/>
          </w:tcPr>
          <w:p w14:paraId="6BC11445" w14:textId="6036EB5A"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898934" w14:textId="77777777" w:rsidTr="00243303">
        <w:tc>
          <w:tcPr>
            <w:tcW w:w="818" w:type="dxa"/>
          </w:tcPr>
          <w:p w14:paraId="7906F832" w14:textId="7075F730"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44" w:type="dxa"/>
          </w:tcPr>
          <w:p w14:paraId="1B6C947F" w14:textId="6F91A884"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601E7B9E" w14:textId="77777777" w:rsidTr="00243303">
        <w:tc>
          <w:tcPr>
            <w:tcW w:w="818" w:type="dxa"/>
          </w:tcPr>
          <w:p w14:paraId="4A616B27" w14:textId="5EA3DC7D" w:rsidR="00115A06" w:rsidRDefault="00322C10" w:rsidP="001F44C5">
            <w:pPr>
              <w:widowControl/>
              <w:rPr>
                <w:rFonts w:ascii="Times New Roman"/>
                <w:szCs w:val="20"/>
              </w:rPr>
            </w:pPr>
            <w:proofErr w:type="spellStart"/>
            <w:r>
              <w:rPr>
                <w:rFonts w:ascii="Times New Roman"/>
                <w:szCs w:val="20"/>
              </w:rPr>
              <w:t>Futurewei</w:t>
            </w:r>
            <w:proofErr w:type="spellEnd"/>
          </w:p>
        </w:tc>
        <w:tc>
          <w:tcPr>
            <w:tcW w:w="8544" w:type="dxa"/>
          </w:tcPr>
          <w:p w14:paraId="16589A27" w14:textId="6A5F1B60" w:rsidR="00115A06" w:rsidRDefault="00322C10" w:rsidP="001F44C5">
            <w:pPr>
              <w:widowControl/>
              <w:rPr>
                <w:rFonts w:ascii="Times New Roman"/>
                <w:szCs w:val="20"/>
              </w:rPr>
            </w:pPr>
            <w:r>
              <w:rPr>
                <w:rFonts w:ascii="Times New Roman"/>
                <w:szCs w:val="20"/>
              </w:rPr>
              <w:t>Ok with it</w:t>
            </w:r>
          </w:p>
        </w:tc>
      </w:tr>
      <w:tr w:rsidR="006C2384" w14:paraId="7AE12258" w14:textId="77777777" w:rsidTr="00243303">
        <w:tc>
          <w:tcPr>
            <w:tcW w:w="818"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544"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2A0486" w14:paraId="7CB41568" w14:textId="77777777" w:rsidTr="00243303">
        <w:tc>
          <w:tcPr>
            <w:tcW w:w="818" w:type="dxa"/>
          </w:tcPr>
          <w:p w14:paraId="3E6EF9C5" w14:textId="3096A37F" w:rsidR="002A0486" w:rsidRDefault="002A0486" w:rsidP="006C2384">
            <w:pPr>
              <w:widowControl/>
              <w:rPr>
                <w:rFonts w:ascii="Times New Roman"/>
                <w:szCs w:val="20"/>
              </w:rPr>
            </w:pPr>
            <w:r>
              <w:rPr>
                <w:rFonts w:ascii="Times New Roman" w:eastAsia="SimSun" w:hint="eastAsia"/>
                <w:szCs w:val="20"/>
                <w:lang w:eastAsia="zh-CN"/>
              </w:rPr>
              <w:t>CATT</w:t>
            </w:r>
          </w:p>
        </w:tc>
        <w:tc>
          <w:tcPr>
            <w:tcW w:w="8544" w:type="dxa"/>
          </w:tcPr>
          <w:p w14:paraId="1E0B0A4B" w14:textId="77777777"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4270CEA3" w14:textId="289699D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5327A64" w14:textId="77777777" w:rsidTr="00243303">
        <w:tc>
          <w:tcPr>
            <w:tcW w:w="818" w:type="dxa"/>
          </w:tcPr>
          <w:p w14:paraId="178B647B" w14:textId="7C1B8486"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544" w:type="dxa"/>
          </w:tcPr>
          <w:p w14:paraId="599A72C9" w14:textId="46B8152C"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120FD1A4" w14:textId="77777777" w:rsidTr="00243303">
        <w:tc>
          <w:tcPr>
            <w:tcW w:w="818" w:type="dxa"/>
          </w:tcPr>
          <w:p w14:paraId="2D8A19C3" w14:textId="07D6FC9B" w:rsidR="001F44C5" w:rsidRDefault="001F44C5" w:rsidP="001F44C5">
            <w:pPr>
              <w:widowControl/>
              <w:rPr>
                <w:rFonts w:ascii="Times New Roman" w:eastAsia="SimSun"/>
                <w:szCs w:val="20"/>
                <w:lang w:eastAsia="zh-CN"/>
              </w:rPr>
            </w:pPr>
            <w:r>
              <w:rPr>
                <w:rFonts w:ascii="Times New Roman"/>
                <w:szCs w:val="20"/>
              </w:rPr>
              <w:t xml:space="preserve">Intel </w:t>
            </w:r>
          </w:p>
        </w:tc>
        <w:tc>
          <w:tcPr>
            <w:tcW w:w="8544" w:type="dxa"/>
          </w:tcPr>
          <w:p w14:paraId="260B1420" w14:textId="5DA571B1"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243303" w14:paraId="127AAFD9" w14:textId="77777777" w:rsidTr="00243303">
        <w:tc>
          <w:tcPr>
            <w:tcW w:w="818" w:type="dxa"/>
          </w:tcPr>
          <w:p w14:paraId="46BA26C5" w14:textId="7C816DEF" w:rsidR="00243303" w:rsidRDefault="00243303" w:rsidP="00243303">
            <w:pPr>
              <w:widowControl/>
              <w:rPr>
                <w:rFonts w:ascii="Times New Roman"/>
                <w:szCs w:val="20"/>
              </w:rPr>
            </w:pPr>
            <w:r>
              <w:rPr>
                <w:rFonts w:ascii="Times New Roman"/>
                <w:szCs w:val="20"/>
              </w:rPr>
              <w:t>Nokia</w:t>
            </w:r>
          </w:p>
        </w:tc>
        <w:tc>
          <w:tcPr>
            <w:tcW w:w="8544" w:type="dxa"/>
          </w:tcPr>
          <w:p w14:paraId="6E6E247D" w14:textId="3839B5E6" w:rsidR="00243303" w:rsidRDefault="00243303" w:rsidP="00243303">
            <w:pPr>
              <w:rPr>
                <w:rFonts w:ascii="Times New Roman"/>
                <w:szCs w:val="20"/>
              </w:rPr>
            </w:pPr>
            <w:r>
              <w:rPr>
                <w:rFonts w:ascii="Times New Roman"/>
                <w:szCs w:val="20"/>
              </w:rPr>
              <w:t xml:space="preserve">Agree with LGE. Adding some text without example use cases is fine. Note that 22.872 is already referenced in TR 38.845 and so PS use case is already covered. So, is V2X use case. If any clarification about dependencies to network coverage is </w:t>
            </w:r>
            <w:r>
              <w:rPr>
                <w:rFonts w:ascii="Times New Roman"/>
                <w:szCs w:val="20"/>
              </w:rPr>
              <w:t>required,</w:t>
            </w:r>
            <w:r>
              <w:rPr>
                <w:rFonts w:ascii="Times New Roman"/>
                <w:szCs w:val="20"/>
              </w:rPr>
              <w:t xml:space="preserve"> then it should be captured under the respective use case in Section 4.2 and 4.3.</w:t>
            </w: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3D8BD7FD" w14:textId="77777777" w:rsidTr="001F44C5">
        <w:tc>
          <w:tcPr>
            <w:tcW w:w="1271" w:type="dxa"/>
          </w:tcPr>
          <w:p w14:paraId="210B391D"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F44C5">
            <w:pPr>
              <w:widowControl/>
              <w:rPr>
                <w:rFonts w:ascii="Times New Roman"/>
                <w:szCs w:val="20"/>
              </w:rPr>
            </w:pPr>
            <w:r>
              <w:rPr>
                <w:rFonts w:ascii="Times New Roman" w:hint="eastAsia"/>
                <w:szCs w:val="20"/>
              </w:rPr>
              <w:t>Comment</w:t>
            </w:r>
          </w:p>
        </w:tc>
      </w:tr>
      <w:tr w:rsidR="00D432F1" w14:paraId="4F23D355" w14:textId="77777777" w:rsidTr="001F44C5">
        <w:tc>
          <w:tcPr>
            <w:tcW w:w="1271" w:type="dxa"/>
          </w:tcPr>
          <w:p w14:paraId="38E9E9EA" w14:textId="42D67B16" w:rsidR="00D432F1" w:rsidRDefault="007365CC" w:rsidP="001F44C5">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F44C5">
        <w:tc>
          <w:tcPr>
            <w:tcW w:w="1271" w:type="dxa"/>
          </w:tcPr>
          <w:p w14:paraId="2C6F4391" w14:textId="12131BC5"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37FCEE4" w14:textId="6823DB23"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2045281" w14:textId="77777777" w:rsidTr="001F44C5">
        <w:tc>
          <w:tcPr>
            <w:tcW w:w="1271" w:type="dxa"/>
          </w:tcPr>
          <w:p w14:paraId="048EE949" w14:textId="042A94C5" w:rsidR="00D432F1"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F44C5">
            <w:pPr>
              <w:widowControl/>
              <w:rPr>
                <w:rFonts w:ascii="Times New Roman"/>
                <w:szCs w:val="20"/>
              </w:rPr>
            </w:pPr>
            <w:r>
              <w:rPr>
                <w:rFonts w:ascii="Times New Roman"/>
                <w:szCs w:val="20"/>
              </w:rPr>
              <w:t>Do not support. Same understanding as LGE.</w:t>
            </w:r>
          </w:p>
        </w:tc>
      </w:tr>
      <w:tr w:rsidR="00340F34" w14:paraId="10D9612B" w14:textId="77777777" w:rsidTr="001F44C5">
        <w:tc>
          <w:tcPr>
            <w:tcW w:w="1271" w:type="dxa"/>
          </w:tcPr>
          <w:p w14:paraId="7765922F" w14:textId="61F80957" w:rsidR="00340F34" w:rsidRDefault="00340F34" w:rsidP="00340F34">
            <w:pPr>
              <w:widowControl/>
              <w:rPr>
                <w:rFonts w:ascii="Times New Roman"/>
                <w:szCs w:val="20"/>
              </w:rPr>
            </w:pPr>
            <w:r>
              <w:rPr>
                <w:rFonts w:ascii="Times New Roman"/>
                <w:szCs w:val="20"/>
              </w:rPr>
              <w:lastRenderedPageBreak/>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FFE9C80" w14:textId="77777777" w:rsidTr="001F44C5">
        <w:tc>
          <w:tcPr>
            <w:tcW w:w="1271" w:type="dxa"/>
          </w:tcPr>
          <w:p w14:paraId="5ADE1805" w14:textId="5518DEBF" w:rsidR="002A0486" w:rsidRDefault="002A0486" w:rsidP="003C2792">
            <w:pPr>
              <w:widowControl/>
              <w:rPr>
                <w:rFonts w:ascii="Times New Roman"/>
                <w:szCs w:val="20"/>
              </w:rPr>
            </w:pPr>
            <w:r>
              <w:rPr>
                <w:rFonts w:ascii="Times New Roman"/>
                <w:szCs w:val="20"/>
              </w:rPr>
              <w:t>CATT</w:t>
            </w:r>
          </w:p>
        </w:tc>
        <w:tc>
          <w:tcPr>
            <w:tcW w:w="8080" w:type="dxa"/>
          </w:tcPr>
          <w:p w14:paraId="154C6D02" w14:textId="362619E8"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5CA4E757" w14:textId="77777777" w:rsidTr="001F44C5">
        <w:tc>
          <w:tcPr>
            <w:tcW w:w="1271" w:type="dxa"/>
          </w:tcPr>
          <w:p w14:paraId="37F4E956" w14:textId="69A59EA9"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9A867DA" w14:textId="11C4B0E9"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AE2E07A" w14:textId="77777777" w:rsidTr="001F44C5">
        <w:tc>
          <w:tcPr>
            <w:tcW w:w="1271" w:type="dxa"/>
          </w:tcPr>
          <w:p w14:paraId="03FB3E34" w14:textId="1328CFDE"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588E01AB" w14:textId="1FBB39E3"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243303" w14:paraId="00B0F6FF" w14:textId="77777777" w:rsidTr="001F44C5">
        <w:tc>
          <w:tcPr>
            <w:tcW w:w="1271" w:type="dxa"/>
          </w:tcPr>
          <w:p w14:paraId="25715DA5" w14:textId="4A2B38B3" w:rsidR="00243303" w:rsidRDefault="00243303" w:rsidP="00243303">
            <w:pPr>
              <w:widowControl/>
              <w:rPr>
                <w:rFonts w:ascii="Times New Roman"/>
                <w:szCs w:val="20"/>
              </w:rPr>
            </w:pPr>
            <w:r>
              <w:rPr>
                <w:rFonts w:ascii="Times New Roman"/>
                <w:szCs w:val="20"/>
              </w:rPr>
              <w:t>Nokia</w:t>
            </w:r>
          </w:p>
        </w:tc>
        <w:tc>
          <w:tcPr>
            <w:tcW w:w="8080" w:type="dxa"/>
          </w:tcPr>
          <w:p w14:paraId="09223752" w14:textId="71CBE237" w:rsidR="00243303" w:rsidRDefault="00243303" w:rsidP="00243303">
            <w:pPr>
              <w:widowControl/>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9E25ACE" w14:textId="77777777" w:rsidTr="001F44C5">
        <w:tc>
          <w:tcPr>
            <w:tcW w:w="1271" w:type="dxa"/>
          </w:tcPr>
          <w:p w14:paraId="7589946E"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F44C5">
            <w:pPr>
              <w:widowControl/>
              <w:rPr>
                <w:rFonts w:ascii="Times New Roman"/>
                <w:szCs w:val="20"/>
              </w:rPr>
            </w:pPr>
            <w:r>
              <w:rPr>
                <w:rFonts w:ascii="Times New Roman" w:hint="eastAsia"/>
                <w:szCs w:val="20"/>
              </w:rPr>
              <w:t>Comment</w:t>
            </w:r>
          </w:p>
        </w:tc>
      </w:tr>
      <w:tr w:rsidR="00D432F1" w14:paraId="208740C0" w14:textId="77777777" w:rsidTr="001F44C5">
        <w:tc>
          <w:tcPr>
            <w:tcW w:w="1271" w:type="dxa"/>
          </w:tcPr>
          <w:p w14:paraId="1BC2631C" w14:textId="77777777" w:rsidR="00D432F1" w:rsidRDefault="00D432F1" w:rsidP="001F44C5">
            <w:pPr>
              <w:widowControl/>
              <w:rPr>
                <w:rFonts w:ascii="Times New Roman"/>
                <w:szCs w:val="20"/>
              </w:rPr>
            </w:pPr>
          </w:p>
        </w:tc>
        <w:tc>
          <w:tcPr>
            <w:tcW w:w="8080" w:type="dxa"/>
          </w:tcPr>
          <w:p w14:paraId="0B60ED96" w14:textId="77777777" w:rsidR="00D432F1" w:rsidRDefault="00D432F1" w:rsidP="001F44C5">
            <w:pPr>
              <w:widowControl/>
              <w:rPr>
                <w:rFonts w:ascii="Times New Roman"/>
                <w:szCs w:val="20"/>
              </w:rPr>
            </w:pPr>
          </w:p>
        </w:tc>
      </w:tr>
      <w:tr w:rsidR="00D432F1" w14:paraId="34ED5DC4" w14:textId="77777777" w:rsidTr="001F44C5">
        <w:tc>
          <w:tcPr>
            <w:tcW w:w="1271" w:type="dxa"/>
          </w:tcPr>
          <w:p w14:paraId="7FCBD47F" w14:textId="77777777" w:rsidR="00D432F1" w:rsidRDefault="00D432F1" w:rsidP="001F44C5">
            <w:pPr>
              <w:widowControl/>
              <w:rPr>
                <w:rFonts w:ascii="Times New Roman"/>
                <w:szCs w:val="20"/>
              </w:rPr>
            </w:pPr>
          </w:p>
        </w:tc>
        <w:tc>
          <w:tcPr>
            <w:tcW w:w="8080" w:type="dxa"/>
          </w:tcPr>
          <w:p w14:paraId="49A408AB" w14:textId="77777777" w:rsidR="00D432F1" w:rsidRDefault="00D432F1" w:rsidP="001F44C5">
            <w:pPr>
              <w:widowControl/>
              <w:rPr>
                <w:rFonts w:ascii="Times New Roman"/>
                <w:szCs w:val="20"/>
              </w:rPr>
            </w:pPr>
          </w:p>
        </w:tc>
      </w:tr>
      <w:tr w:rsidR="00D432F1" w14:paraId="6068CA0C" w14:textId="77777777" w:rsidTr="001F44C5">
        <w:tc>
          <w:tcPr>
            <w:tcW w:w="1271" w:type="dxa"/>
          </w:tcPr>
          <w:p w14:paraId="1132F349" w14:textId="77777777" w:rsidR="00D432F1" w:rsidRDefault="00D432F1" w:rsidP="001F44C5">
            <w:pPr>
              <w:widowControl/>
              <w:rPr>
                <w:rFonts w:ascii="Times New Roman"/>
                <w:szCs w:val="20"/>
              </w:rPr>
            </w:pPr>
          </w:p>
        </w:tc>
        <w:tc>
          <w:tcPr>
            <w:tcW w:w="8080" w:type="dxa"/>
          </w:tcPr>
          <w:p w14:paraId="6AABEB25" w14:textId="77777777" w:rsidR="00D432F1" w:rsidRDefault="00D432F1" w:rsidP="001F44C5">
            <w:pPr>
              <w:widowControl/>
              <w:rPr>
                <w:rFonts w:ascii="Times New Roman"/>
                <w:szCs w:val="20"/>
              </w:rPr>
            </w:pPr>
          </w:p>
        </w:tc>
      </w:tr>
      <w:tr w:rsidR="00D432F1" w14:paraId="36DD709F" w14:textId="77777777" w:rsidTr="001F44C5">
        <w:tc>
          <w:tcPr>
            <w:tcW w:w="1271" w:type="dxa"/>
          </w:tcPr>
          <w:p w14:paraId="2F1C25DF" w14:textId="77777777" w:rsidR="00D432F1" w:rsidRDefault="00D432F1" w:rsidP="001F44C5">
            <w:pPr>
              <w:widowControl/>
              <w:rPr>
                <w:rFonts w:ascii="Times New Roman"/>
                <w:szCs w:val="20"/>
              </w:rPr>
            </w:pPr>
          </w:p>
        </w:tc>
        <w:tc>
          <w:tcPr>
            <w:tcW w:w="8080" w:type="dxa"/>
          </w:tcPr>
          <w:p w14:paraId="65E5AAFC" w14:textId="77777777" w:rsidR="00D432F1" w:rsidRDefault="00D432F1" w:rsidP="001F44C5">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C510045" w14:textId="77777777" w:rsidTr="001F44C5">
        <w:tc>
          <w:tcPr>
            <w:tcW w:w="1271" w:type="dxa"/>
          </w:tcPr>
          <w:p w14:paraId="5CAF591C"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1F44C5">
            <w:pPr>
              <w:widowControl/>
              <w:rPr>
                <w:rFonts w:ascii="Times New Roman"/>
                <w:szCs w:val="20"/>
              </w:rPr>
            </w:pPr>
            <w:r>
              <w:rPr>
                <w:rFonts w:ascii="Times New Roman" w:hint="eastAsia"/>
                <w:szCs w:val="20"/>
              </w:rPr>
              <w:t>Comment</w:t>
            </w:r>
          </w:p>
        </w:tc>
      </w:tr>
      <w:tr w:rsidR="00E63678" w14:paraId="255F9BB8" w14:textId="77777777" w:rsidTr="001F44C5">
        <w:tc>
          <w:tcPr>
            <w:tcW w:w="1271" w:type="dxa"/>
          </w:tcPr>
          <w:p w14:paraId="6A8410E9" w14:textId="052BDF0C" w:rsidR="00E63678" w:rsidRDefault="003533CB" w:rsidP="001F44C5">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1F44C5">
        <w:tc>
          <w:tcPr>
            <w:tcW w:w="1271" w:type="dxa"/>
          </w:tcPr>
          <w:p w14:paraId="5FE5A98C" w14:textId="35327DE1"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8A6598C" w14:textId="0AF135D9"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6A2BBA79" w14:textId="77777777" w:rsidTr="001F44C5">
        <w:tc>
          <w:tcPr>
            <w:tcW w:w="1271" w:type="dxa"/>
          </w:tcPr>
          <w:p w14:paraId="7763CCF2" w14:textId="658A7102"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1F44C5">
            <w:pPr>
              <w:widowControl/>
              <w:rPr>
                <w:rFonts w:ascii="Times New Roman"/>
                <w:szCs w:val="20"/>
              </w:rPr>
            </w:pPr>
            <w:r>
              <w:rPr>
                <w:rFonts w:ascii="Times New Roman"/>
                <w:szCs w:val="20"/>
              </w:rPr>
              <w:t>Support</w:t>
            </w:r>
          </w:p>
        </w:tc>
      </w:tr>
      <w:tr w:rsidR="00C318D7" w14:paraId="0D75395A" w14:textId="77777777" w:rsidTr="001F44C5">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5C7E4BFE" w14:textId="77777777" w:rsidTr="001F44C5">
        <w:tc>
          <w:tcPr>
            <w:tcW w:w="1271" w:type="dxa"/>
          </w:tcPr>
          <w:p w14:paraId="05207F4F" w14:textId="71B739EC" w:rsidR="002A0486" w:rsidRDefault="002A0486" w:rsidP="00C318D7">
            <w:pPr>
              <w:widowControl/>
              <w:rPr>
                <w:rFonts w:ascii="Times New Roman"/>
                <w:szCs w:val="20"/>
              </w:rPr>
            </w:pPr>
            <w:r>
              <w:rPr>
                <w:rFonts w:ascii="Times New Roman"/>
                <w:szCs w:val="20"/>
              </w:rPr>
              <w:t>CATT</w:t>
            </w:r>
          </w:p>
        </w:tc>
        <w:tc>
          <w:tcPr>
            <w:tcW w:w="8080" w:type="dxa"/>
          </w:tcPr>
          <w:p w14:paraId="4AC0AB74" w14:textId="1D35F4D1"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437F842C" w14:textId="77777777" w:rsidTr="001F44C5">
        <w:tc>
          <w:tcPr>
            <w:tcW w:w="1271" w:type="dxa"/>
          </w:tcPr>
          <w:p w14:paraId="434792AB" w14:textId="15608F2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BD27281" w14:textId="345FA115"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44CB1FB" w14:textId="77777777" w:rsidTr="001F44C5">
        <w:tc>
          <w:tcPr>
            <w:tcW w:w="1271" w:type="dxa"/>
          </w:tcPr>
          <w:p w14:paraId="439FCB52" w14:textId="0525DB7E"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6447DF41" w14:textId="18621F15"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243303" w14:paraId="3B985E15" w14:textId="77777777" w:rsidTr="001F44C5">
        <w:tc>
          <w:tcPr>
            <w:tcW w:w="1271" w:type="dxa"/>
          </w:tcPr>
          <w:p w14:paraId="1E003212" w14:textId="60EFECDA" w:rsidR="00243303" w:rsidRDefault="00243303" w:rsidP="001F44C5">
            <w:pPr>
              <w:widowControl/>
              <w:rPr>
                <w:rFonts w:ascii="Times New Roman"/>
                <w:szCs w:val="20"/>
              </w:rPr>
            </w:pPr>
            <w:r>
              <w:rPr>
                <w:rFonts w:ascii="Times New Roman"/>
                <w:szCs w:val="20"/>
              </w:rPr>
              <w:t>Nokia</w:t>
            </w:r>
          </w:p>
        </w:tc>
        <w:tc>
          <w:tcPr>
            <w:tcW w:w="8080" w:type="dxa"/>
          </w:tcPr>
          <w:p w14:paraId="088D9BA2" w14:textId="6F5E5C4E" w:rsidR="00243303" w:rsidRDefault="00243303" w:rsidP="001F44C5">
            <w:pPr>
              <w:widowControl/>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76"/>
        <w:gridCol w:w="8486"/>
      </w:tblGrid>
      <w:tr w:rsidR="00846BFA" w14:paraId="6E350958" w14:textId="77777777" w:rsidTr="001F44C5">
        <w:tc>
          <w:tcPr>
            <w:tcW w:w="1271" w:type="dxa"/>
          </w:tcPr>
          <w:p w14:paraId="2596248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1F44C5">
            <w:pPr>
              <w:widowControl/>
              <w:rPr>
                <w:rFonts w:ascii="Times New Roman"/>
                <w:szCs w:val="20"/>
              </w:rPr>
            </w:pPr>
            <w:r>
              <w:rPr>
                <w:rFonts w:ascii="Times New Roman" w:hint="eastAsia"/>
                <w:szCs w:val="20"/>
              </w:rPr>
              <w:t>Comment</w:t>
            </w:r>
          </w:p>
        </w:tc>
      </w:tr>
      <w:tr w:rsidR="00846BFA" w14:paraId="239ADCB2" w14:textId="77777777" w:rsidTr="001F44C5">
        <w:tc>
          <w:tcPr>
            <w:tcW w:w="1271" w:type="dxa"/>
          </w:tcPr>
          <w:p w14:paraId="03B469F0" w14:textId="48E360D4" w:rsidR="00846BFA" w:rsidRDefault="00846BFA" w:rsidP="001F44C5">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3C166224" w14:textId="77777777" w:rsidTr="001F44C5">
        <w:tc>
          <w:tcPr>
            <w:tcW w:w="1271" w:type="dxa"/>
          </w:tcPr>
          <w:p w14:paraId="071150F0" w14:textId="3F6D6325"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E5ACA79" w14:textId="23B1A2DF"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1A529C59" w14:textId="77777777" w:rsidTr="001F44C5">
        <w:tc>
          <w:tcPr>
            <w:tcW w:w="1271" w:type="dxa"/>
          </w:tcPr>
          <w:p w14:paraId="41BFE548" w14:textId="53661F80" w:rsidR="00846BFA"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9CBCBB3" w14:textId="686E5DEC" w:rsidR="00846BFA" w:rsidRDefault="00322C10" w:rsidP="001F44C5">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0744E0F" w14:textId="77777777" w:rsidTr="001F44C5">
        <w:tc>
          <w:tcPr>
            <w:tcW w:w="1271"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080"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2A0486" w14:paraId="2AEDDE9A" w14:textId="77777777" w:rsidTr="001F44C5">
        <w:tc>
          <w:tcPr>
            <w:tcW w:w="1271" w:type="dxa"/>
          </w:tcPr>
          <w:p w14:paraId="21D058C0" w14:textId="74B21702" w:rsidR="002A0486" w:rsidRDefault="002A0486" w:rsidP="00CA33DC">
            <w:pPr>
              <w:widowControl/>
              <w:rPr>
                <w:rFonts w:ascii="Times New Roman"/>
                <w:szCs w:val="20"/>
              </w:rPr>
            </w:pPr>
            <w:r>
              <w:rPr>
                <w:rFonts w:ascii="Times New Roman"/>
                <w:szCs w:val="20"/>
              </w:rPr>
              <w:t>CATT</w:t>
            </w:r>
          </w:p>
        </w:tc>
        <w:tc>
          <w:tcPr>
            <w:tcW w:w="8080" w:type="dxa"/>
          </w:tcPr>
          <w:p w14:paraId="50E98DB3" w14:textId="6F29AFA5"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0F84E749" w14:textId="77777777" w:rsidTr="001F44C5">
        <w:tc>
          <w:tcPr>
            <w:tcW w:w="1271" w:type="dxa"/>
          </w:tcPr>
          <w:p w14:paraId="1BA5FF8F" w14:textId="046C4975"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A49E28C" w14:textId="494AC45A" w:rsidR="0016129E" w:rsidRDefault="0016129E" w:rsidP="0016129E">
            <w:pPr>
              <w:widowControl/>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62C692C9" w14:textId="77777777" w:rsidTr="001F44C5">
        <w:tc>
          <w:tcPr>
            <w:tcW w:w="1271" w:type="dxa"/>
          </w:tcPr>
          <w:p w14:paraId="799852DB" w14:textId="1ED06334" w:rsidR="001F44C5" w:rsidRDefault="001F44C5" w:rsidP="001F44C5">
            <w:pPr>
              <w:widowControl/>
              <w:rPr>
                <w:rFonts w:ascii="Times New Roman" w:eastAsia="SimSun"/>
                <w:szCs w:val="20"/>
                <w:lang w:eastAsia="zh-CN"/>
              </w:rPr>
            </w:pPr>
            <w:r>
              <w:rPr>
                <w:rFonts w:ascii="Times New Roman"/>
                <w:szCs w:val="20"/>
              </w:rPr>
              <w:t>Intel</w:t>
            </w:r>
          </w:p>
        </w:tc>
        <w:tc>
          <w:tcPr>
            <w:tcW w:w="8080" w:type="dxa"/>
          </w:tcPr>
          <w:p w14:paraId="63AF9A7D" w14:textId="789128AF"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243303" w14:paraId="2B8A84F8" w14:textId="77777777" w:rsidTr="001F44C5">
        <w:tc>
          <w:tcPr>
            <w:tcW w:w="1271" w:type="dxa"/>
          </w:tcPr>
          <w:p w14:paraId="5353AFF7" w14:textId="66A21DCF" w:rsidR="00243303" w:rsidRDefault="00243303" w:rsidP="001F44C5">
            <w:pPr>
              <w:widowControl/>
              <w:rPr>
                <w:rFonts w:ascii="Times New Roman"/>
                <w:szCs w:val="20"/>
              </w:rPr>
            </w:pPr>
            <w:r>
              <w:rPr>
                <w:rFonts w:ascii="Times New Roman"/>
                <w:szCs w:val="20"/>
              </w:rPr>
              <w:lastRenderedPageBreak/>
              <w:t>Nokia</w:t>
            </w:r>
          </w:p>
        </w:tc>
        <w:tc>
          <w:tcPr>
            <w:tcW w:w="8080" w:type="dxa"/>
          </w:tcPr>
          <w:p w14:paraId="4C9281CD" w14:textId="745E742C" w:rsidR="00243303" w:rsidRDefault="00243303" w:rsidP="001F44C5">
            <w:pPr>
              <w:widowControl/>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82"/>
        <w:gridCol w:w="8580"/>
      </w:tblGrid>
      <w:tr w:rsidR="00E35329" w14:paraId="716D23A5" w14:textId="77777777" w:rsidTr="00243303">
        <w:tc>
          <w:tcPr>
            <w:tcW w:w="782" w:type="dxa"/>
          </w:tcPr>
          <w:p w14:paraId="396473F9" w14:textId="77777777" w:rsidR="00E35329" w:rsidRDefault="00E35329" w:rsidP="001F44C5">
            <w:pPr>
              <w:widowControl/>
              <w:rPr>
                <w:rFonts w:ascii="Times New Roman"/>
                <w:szCs w:val="20"/>
              </w:rPr>
            </w:pPr>
            <w:r>
              <w:rPr>
                <w:rFonts w:ascii="Times New Roman" w:hint="eastAsia"/>
                <w:szCs w:val="20"/>
              </w:rPr>
              <w:t>Company</w:t>
            </w:r>
          </w:p>
        </w:tc>
        <w:tc>
          <w:tcPr>
            <w:tcW w:w="8580" w:type="dxa"/>
          </w:tcPr>
          <w:p w14:paraId="5DC1DDF7" w14:textId="77777777" w:rsidR="00E35329" w:rsidRDefault="00E35329" w:rsidP="001F44C5">
            <w:pPr>
              <w:widowControl/>
              <w:rPr>
                <w:rFonts w:ascii="Times New Roman"/>
                <w:szCs w:val="20"/>
              </w:rPr>
            </w:pPr>
            <w:r>
              <w:rPr>
                <w:rFonts w:ascii="Times New Roman" w:hint="eastAsia"/>
                <w:szCs w:val="20"/>
              </w:rPr>
              <w:t>Comment</w:t>
            </w:r>
          </w:p>
        </w:tc>
      </w:tr>
      <w:tr w:rsidR="00E35329" w14:paraId="7529B46A" w14:textId="77777777" w:rsidTr="00243303">
        <w:tc>
          <w:tcPr>
            <w:tcW w:w="782" w:type="dxa"/>
          </w:tcPr>
          <w:p w14:paraId="02FD65C2" w14:textId="77777777" w:rsidR="00E35329" w:rsidRDefault="00E35329" w:rsidP="001F44C5">
            <w:pPr>
              <w:widowControl/>
              <w:rPr>
                <w:rFonts w:ascii="Times New Roman"/>
                <w:szCs w:val="20"/>
              </w:rPr>
            </w:pPr>
            <w:r>
              <w:rPr>
                <w:rFonts w:ascii="Times New Roman" w:hint="eastAsia"/>
                <w:szCs w:val="20"/>
              </w:rPr>
              <w:t>LGE</w:t>
            </w:r>
          </w:p>
        </w:tc>
        <w:tc>
          <w:tcPr>
            <w:tcW w:w="85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243303">
        <w:tc>
          <w:tcPr>
            <w:tcW w:w="782" w:type="dxa"/>
          </w:tcPr>
          <w:p w14:paraId="5BFB3B65" w14:textId="442430B5"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80" w:type="dxa"/>
          </w:tcPr>
          <w:p w14:paraId="50227951" w14:textId="48AA76E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E4C9CA0" w14:textId="77777777" w:rsidTr="00243303">
        <w:tc>
          <w:tcPr>
            <w:tcW w:w="782" w:type="dxa"/>
          </w:tcPr>
          <w:p w14:paraId="4F527E89" w14:textId="5446488D" w:rsidR="00E35329" w:rsidRDefault="00322C10" w:rsidP="001F44C5">
            <w:pPr>
              <w:widowControl/>
              <w:rPr>
                <w:rFonts w:ascii="Times New Roman"/>
                <w:szCs w:val="20"/>
              </w:rPr>
            </w:pPr>
            <w:proofErr w:type="spellStart"/>
            <w:r>
              <w:rPr>
                <w:rFonts w:ascii="Times New Roman"/>
                <w:szCs w:val="20"/>
              </w:rPr>
              <w:t>Futurewei</w:t>
            </w:r>
            <w:proofErr w:type="spellEnd"/>
          </w:p>
        </w:tc>
        <w:tc>
          <w:tcPr>
            <w:tcW w:w="8580" w:type="dxa"/>
          </w:tcPr>
          <w:p w14:paraId="2ACD3A91" w14:textId="4CBA5726" w:rsidR="00E35329" w:rsidRDefault="00322C10" w:rsidP="001F44C5">
            <w:pPr>
              <w:widowControl/>
              <w:rPr>
                <w:rFonts w:ascii="Times New Roman"/>
                <w:szCs w:val="20"/>
              </w:rPr>
            </w:pPr>
            <w:r>
              <w:rPr>
                <w:rFonts w:ascii="Times New Roman"/>
                <w:szCs w:val="20"/>
              </w:rPr>
              <w:t>Same comment as Q2 above.</w:t>
            </w:r>
          </w:p>
        </w:tc>
      </w:tr>
      <w:tr w:rsidR="00CD5CDE" w14:paraId="7FFFE9E6" w14:textId="77777777" w:rsidTr="00243303">
        <w:tc>
          <w:tcPr>
            <w:tcW w:w="782" w:type="dxa"/>
          </w:tcPr>
          <w:p w14:paraId="2677C546" w14:textId="51BF4236" w:rsidR="00CD5CDE" w:rsidRDefault="00CD5CDE" w:rsidP="00CD5CDE">
            <w:pPr>
              <w:widowControl/>
              <w:rPr>
                <w:rFonts w:ascii="Times New Roman"/>
                <w:szCs w:val="20"/>
              </w:rPr>
            </w:pPr>
            <w:r>
              <w:rPr>
                <w:rFonts w:ascii="Times New Roman"/>
                <w:szCs w:val="20"/>
              </w:rPr>
              <w:t>Qualcomm</w:t>
            </w:r>
          </w:p>
        </w:tc>
        <w:tc>
          <w:tcPr>
            <w:tcW w:w="8580"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373E5B4D" w14:textId="77777777" w:rsidTr="00243303">
        <w:tc>
          <w:tcPr>
            <w:tcW w:w="782" w:type="dxa"/>
          </w:tcPr>
          <w:p w14:paraId="5228B14F" w14:textId="225D6C02" w:rsidR="002A0486" w:rsidRDefault="002A0486" w:rsidP="00CD5CDE">
            <w:pPr>
              <w:widowControl/>
              <w:rPr>
                <w:rFonts w:ascii="Times New Roman"/>
                <w:szCs w:val="20"/>
              </w:rPr>
            </w:pPr>
            <w:r>
              <w:rPr>
                <w:rFonts w:ascii="Times New Roman"/>
                <w:szCs w:val="20"/>
              </w:rPr>
              <w:t>CATT</w:t>
            </w:r>
          </w:p>
        </w:tc>
        <w:tc>
          <w:tcPr>
            <w:tcW w:w="8580" w:type="dxa"/>
          </w:tcPr>
          <w:p w14:paraId="7E26F2D2" w14:textId="75053AA0"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0B36417E" w14:textId="77777777" w:rsidTr="00243303">
        <w:tc>
          <w:tcPr>
            <w:tcW w:w="782" w:type="dxa"/>
          </w:tcPr>
          <w:p w14:paraId="7C2178B1" w14:textId="11E26880"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80" w:type="dxa"/>
          </w:tcPr>
          <w:p w14:paraId="2B2024F3" w14:textId="35CFC1F4"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5B02484F" w14:textId="77777777" w:rsidTr="00243303">
        <w:tc>
          <w:tcPr>
            <w:tcW w:w="782" w:type="dxa"/>
          </w:tcPr>
          <w:p w14:paraId="21494C46" w14:textId="0CE7A4E1" w:rsidR="001F44C5" w:rsidRDefault="001F44C5" w:rsidP="001F44C5">
            <w:pPr>
              <w:widowControl/>
              <w:rPr>
                <w:rFonts w:ascii="Times New Roman" w:eastAsia="SimSun"/>
                <w:szCs w:val="20"/>
                <w:lang w:eastAsia="zh-CN"/>
              </w:rPr>
            </w:pPr>
            <w:r>
              <w:rPr>
                <w:rFonts w:ascii="Times New Roman"/>
                <w:szCs w:val="20"/>
              </w:rPr>
              <w:t xml:space="preserve">Intel </w:t>
            </w:r>
          </w:p>
        </w:tc>
        <w:tc>
          <w:tcPr>
            <w:tcW w:w="8580" w:type="dxa"/>
          </w:tcPr>
          <w:p w14:paraId="13FFE509" w14:textId="2DACF7B9" w:rsidR="001F44C5" w:rsidRDefault="001F44C5" w:rsidP="001F44C5">
            <w:pPr>
              <w:widowControl/>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243303" w14:paraId="3981B530" w14:textId="77777777" w:rsidTr="00243303">
        <w:tc>
          <w:tcPr>
            <w:tcW w:w="782" w:type="dxa"/>
          </w:tcPr>
          <w:p w14:paraId="0D5A4566" w14:textId="2E70B5DE" w:rsidR="00243303" w:rsidRDefault="00243303" w:rsidP="00243303">
            <w:pPr>
              <w:widowControl/>
              <w:rPr>
                <w:rFonts w:ascii="Times New Roman"/>
                <w:szCs w:val="20"/>
              </w:rPr>
            </w:pPr>
            <w:r>
              <w:rPr>
                <w:rFonts w:ascii="Times New Roman"/>
                <w:szCs w:val="20"/>
              </w:rPr>
              <w:t>Nokia</w:t>
            </w:r>
          </w:p>
        </w:tc>
        <w:tc>
          <w:tcPr>
            <w:tcW w:w="8580" w:type="dxa"/>
          </w:tcPr>
          <w:p w14:paraId="5B251ACB" w14:textId="68BFD950" w:rsidR="00243303" w:rsidRDefault="00243303" w:rsidP="00243303">
            <w:pPr>
              <w:widowControl/>
              <w:jc w:val="left"/>
              <w:rPr>
                <w:rFonts w:ascii="Times New Roman"/>
                <w:szCs w:val="20"/>
              </w:rPr>
            </w:pPr>
            <w:r>
              <w:rPr>
                <w:rFonts w:ascii="Times New Roman"/>
                <w:szCs w:val="20"/>
              </w:rPr>
              <w:t>We support it. See our comments to Q2. We prefer to make the text generic by changing “measurements” to “assistance”.</w:t>
            </w: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A3C0EA5" w14:textId="77777777" w:rsidTr="001F44C5">
        <w:tc>
          <w:tcPr>
            <w:tcW w:w="1271" w:type="dxa"/>
          </w:tcPr>
          <w:p w14:paraId="78825F2F"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F44C5">
            <w:pPr>
              <w:widowControl/>
              <w:rPr>
                <w:rFonts w:ascii="Times New Roman"/>
                <w:szCs w:val="20"/>
              </w:rPr>
            </w:pPr>
            <w:r>
              <w:rPr>
                <w:rFonts w:ascii="Times New Roman" w:hint="eastAsia"/>
                <w:szCs w:val="20"/>
              </w:rPr>
              <w:t>Comment</w:t>
            </w:r>
          </w:p>
        </w:tc>
      </w:tr>
      <w:tr w:rsidR="00D432F1" w14:paraId="45492702" w14:textId="77777777" w:rsidTr="001F44C5">
        <w:tc>
          <w:tcPr>
            <w:tcW w:w="1271" w:type="dxa"/>
          </w:tcPr>
          <w:p w14:paraId="5D0AA01D" w14:textId="77777777" w:rsidR="00D432F1" w:rsidRDefault="00D432F1" w:rsidP="001F44C5">
            <w:pPr>
              <w:widowControl/>
              <w:rPr>
                <w:rFonts w:ascii="Times New Roman"/>
                <w:szCs w:val="20"/>
              </w:rPr>
            </w:pPr>
          </w:p>
        </w:tc>
        <w:tc>
          <w:tcPr>
            <w:tcW w:w="8080" w:type="dxa"/>
          </w:tcPr>
          <w:p w14:paraId="7BAD6002" w14:textId="77777777" w:rsidR="00D432F1" w:rsidRDefault="00D432F1" w:rsidP="001F44C5">
            <w:pPr>
              <w:widowControl/>
              <w:rPr>
                <w:rFonts w:ascii="Times New Roman"/>
                <w:szCs w:val="20"/>
              </w:rPr>
            </w:pPr>
          </w:p>
        </w:tc>
      </w:tr>
      <w:tr w:rsidR="00D432F1" w14:paraId="07524C3C" w14:textId="77777777" w:rsidTr="001F44C5">
        <w:tc>
          <w:tcPr>
            <w:tcW w:w="1271" w:type="dxa"/>
          </w:tcPr>
          <w:p w14:paraId="226A625A" w14:textId="77777777" w:rsidR="00D432F1" w:rsidRDefault="00D432F1" w:rsidP="001F44C5">
            <w:pPr>
              <w:widowControl/>
              <w:rPr>
                <w:rFonts w:ascii="Times New Roman"/>
                <w:szCs w:val="20"/>
              </w:rPr>
            </w:pPr>
          </w:p>
        </w:tc>
        <w:tc>
          <w:tcPr>
            <w:tcW w:w="8080" w:type="dxa"/>
          </w:tcPr>
          <w:p w14:paraId="664BDC60" w14:textId="77777777" w:rsidR="00D432F1" w:rsidRDefault="00D432F1" w:rsidP="001F44C5">
            <w:pPr>
              <w:widowControl/>
              <w:rPr>
                <w:rFonts w:ascii="Times New Roman"/>
                <w:szCs w:val="20"/>
              </w:rPr>
            </w:pPr>
          </w:p>
        </w:tc>
      </w:tr>
      <w:tr w:rsidR="00D432F1" w14:paraId="68B87F5C" w14:textId="77777777" w:rsidTr="001F44C5">
        <w:tc>
          <w:tcPr>
            <w:tcW w:w="1271" w:type="dxa"/>
          </w:tcPr>
          <w:p w14:paraId="7B4348D9" w14:textId="77777777" w:rsidR="00D432F1" w:rsidRDefault="00D432F1" w:rsidP="001F44C5">
            <w:pPr>
              <w:widowControl/>
              <w:rPr>
                <w:rFonts w:ascii="Times New Roman"/>
                <w:szCs w:val="20"/>
              </w:rPr>
            </w:pPr>
          </w:p>
        </w:tc>
        <w:tc>
          <w:tcPr>
            <w:tcW w:w="8080" w:type="dxa"/>
          </w:tcPr>
          <w:p w14:paraId="5F4EAFBB" w14:textId="77777777" w:rsidR="00D432F1" w:rsidRDefault="00D432F1" w:rsidP="001F44C5">
            <w:pPr>
              <w:widowControl/>
              <w:rPr>
                <w:rFonts w:ascii="Times New Roman"/>
                <w:szCs w:val="20"/>
              </w:rPr>
            </w:pPr>
          </w:p>
        </w:tc>
      </w:tr>
      <w:tr w:rsidR="00D432F1" w14:paraId="06B8CB89" w14:textId="77777777" w:rsidTr="001F44C5">
        <w:tc>
          <w:tcPr>
            <w:tcW w:w="1271" w:type="dxa"/>
          </w:tcPr>
          <w:p w14:paraId="08FAD1E1" w14:textId="77777777" w:rsidR="00D432F1" w:rsidRDefault="00D432F1" w:rsidP="001F44C5">
            <w:pPr>
              <w:widowControl/>
              <w:rPr>
                <w:rFonts w:ascii="Times New Roman"/>
                <w:szCs w:val="20"/>
              </w:rPr>
            </w:pPr>
          </w:p>
        </w:tc>
        <w:tc>
          <w:tcPr>
            <w:tcW w:w="8080" w:type="dxa"/>
          </w:tcPr>
          <w:p w14:paraId="195255F8" w14:textId="77777777" w:rsidR="00D432F1" w:rsidRDefault="00D432F1" w:rsidP="001F44C5">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8648F6" w14:textId="77777777" w:rsidTr="001F44C5">
        <w:tc>
          <w:tcPr>
            <w:tcW w:w="1271" w:type="dxa"/>
          </w:tcPr>
          <w:p w14:paraId="4195037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1F44C5">
            <w:pPr>
              <w:widowControl/>
              <w:rPr>
                <w:rFonts w:ascii="Times New Roman"/>
                <w:szCs w:val="20"/>
              </w:rPr>
            </w:pPr>
            <w:r>
              <w:rPr>
                <w:rFonts w:ascii="Times New Roman" w:hint="eastAsia"/>
                <w:szCs w:val="20"/>
              </w:rPr>
              <w:t>Comment</w:t>
            </w:r>
          </w:p>
        </w:tc>
      </w:tr>
      <w:tr w:rsidR="00846BFA" w14:paraId="2842FA40" w14:textId="77777777" w:rsidTr="001F44C5">
        <w:tc>
          <w:tcPr>
            <w:tcW w:w="1271" w:type="dxa"/>
          </w:tcPr>
          <w:p w14:paraId="72A9B8FD" w14:textId="025F061D" w:rsidR="00846BFA" w:rsidRDefault="003533CB" w:rsidP="001F44C5">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1F44C5">
        <w:tc>
          <w:tcPr>
            <w:tcW w:w="1271" w:type="dxa"/>
          </w:tcPr>
          <w:p w14:paraId="2C87384D" w14:textId="28976B9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A87ADA6" w14:textId="6E5C8FC7"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14:paraId="22F652C6" w14:textId="77777777" w:rsidTr="001F44C5">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42A73057" w14:textId="2D0CB453"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1F53383F" w14:textId="77777777" w:rsidTr="001F44C5">
        <w:tc>
          <w:tcPr>
            <w:tcW w:w="1271" w:type="dxa"/>
          </w:tcPr>
          <w:p w14:paraId="0D55A716" w14:textId="4449C975" w:rsidR="002A0486" w:rsidRDefault="002A0486" w:rsidP="004110C1">
            <w:pPr>
              <w:widowControl/>
              <w:rPr>
                <w:rFonts w:ascii="Times New Roman"/>
                <w:szCs w:val="20"/>
              </w:rPr>
            </w:pPr>
            <w:r>
              <w:rPr>
                <w:rFonts w:ascii="Times New Roman"/>
                <w:szCs w:val="20"/>
              </w:rPr>
              <w:t>CATT</w:t>
            </w:r>
          </w:p>
        </w:tc>
        <w:tc>
          <w:tcPr>
            <w:tcW w:w="8080" w:type="dxa"/>
          </w:tcPr>
          <w:p w14:paraId="29F7B7CF" w14:textId="5DC26D8F" w:rsidR="002A0486" w:rsidRDefault="002A0486" w:rsidP="004110C1">
            <w:pPr>
              <w:widowControl/>
              <w:rPr>
                <w:rFonts w:ascii="Times New Roman"/>
                <w:szCs w:val="20"/>
              </w:rPr>
            </w:pPr>
            <w:r>
              <w:rPr>
                <w:rFonts w:ascii="Times New Roman"/>
                <w:szCs w:val="20"/>
              </w:rPr>
              <w:t>Huawei’s proposal is fine to us.</w:t>
            </w:r>
          </w:p>
        </w:tc>
      </w:tr>
      <w:tr w:rsidR="0016129E" w14:paraId="77751B00" w14:textId="77777777" w:rsidTr="001F44C5">
        <w:tc>
          <w:tcPr>
            <w:tcW w:w="1271" w:type="dxa"/>
          </w:tcPr>
          <w:p w14:paraId="5ED22F40" w14:textId="4AEF1EAE"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06B825E" w14:textId="5278D333"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50E0BAFD" w14:textId="77777777" w:rsidTr="001F44C5">
        <w:tc>
          <w:tcPr>
            <w:tcW w:w="1271" w:type="dxa"/>
          </w:tcPr>
          <w:p w14:paraId="1443899C" w14:textId="0F03EEEA"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7E02EA3A" w14:textId="24F13FCE" w:rsidR="001F44C5" w:rsidRDefault="001F44C5" w:rsidP="001F44C5">
            <w:pPr>
              <w:widowControl/>
              <w:rPr>
                <w:rFonts w:ascii="Times New Roman" w:eastAsia="SimSun"/>
                <w:szCs w:val="20"/>
                <w:lang w:eastAsia="zh-CN"/>
              </w:rPr>
            </w:pPr>
            <w:r>
              <w:rPr>
                <w:rFonts w:ascii="Times New Roman"/>
                <w:szCs w:val="20"/>
              </w:rPr>
              <w:t>OK in principle</w:t>
            </w:r>
          </w:p>
        </w:tc>
      </w:tr>
      <w:tr w:rsidR="00243303" w14:paraId="496A8557" w14:textId="77777777" w:rsidTr="001F44C5">
        <w:tc>
          <w:tcPr>
            <w:tcW w:w="1271" w:type="dxa"/>
          </w:tcPr>
          <w:p w14:paraId="2085F458" w14:textId="37B597D2" w:rsidR="00243303" w:rsidRDefault="00243303" w:rsidP="001F44C5">
            <w:pPr>
              <w:widowControl/>
              <w:rPr>
                <w:rFonts w:ascii="Times New Roman"/>
                <w:szCs w:val="20"/>
              </w:rPr>
            </w:pPr>
            <w:r>
              <w:rPr>
                <w:rFonts w:ascii="Times New Roman"/>
                <w:szCs w:val="20"/>
              </w:rPr>
              <w:lastRenderedPageBreak/>
              <w:t>Nokia</w:t>
            </w:r>
          </w:p>
        </w:tc>
        <w:tc>
          <w:tcPr>
            <w:tcW w:w="8080" w:type="dxa"/>
          </w:tcPr>
          <w:p w14:paraId="4DFBA15F" w14:textId="4C8E2F27" w:rsidR="00243303" w:rsidRDefault="00243303" w:rsidP="001F44C5">
            <w:pPr>
              <w:widowControl/>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91"/>
      </w:tblGrid>
      <w:tr w:rsidR="00846BFA" w14:paraId="18038198" w14:textId="77777777" w:rsidTr="001F44C5">
        <w:tc>
          <w:tcPr>
            <w:tcW w:w="1271" w:type="dxa"/>
          </w:tcPr>
          <w:p w14:paraId="02A78044" w14:textId="77777777" w:rsidR="00846BFA" w:rsidRDefault="00846BFA" w:rsidP="001F44C5">
            <w:pPr>
              <w:widowControl/>
              <w:rPr>
                <w:rFonts w:ascii="Times New Roman"/>
                <w:szCs w:val="20"/>
              </w:rPr>
            </w:pPr>
            <w:r>
              <w:rPr>
                <w:rFonts w:ascii="Times New Roman" w:hint="eastAsia"/>
                <w:szCs w:val="20"/>
              </w:rPr>
              <w:t>Company</w:t>
            </w:r>
          </w:p>
        </w:tc>
        <w:tc>
          <w:tcPr>
            <w:tcW w:w="8091" w:type="dxa"/>
          </w:tcPr>
          <w:p w14:paraId="6EF06945" w14:textId="77777777" w:rsidR="00846BFA" w:rsidRDefault="00846BFA" w:rsidP="001F44C5">
            <w:pPr>
              <w:widowControl/>
              <w:rPr>
                <w:rFonts w:ascii="Times New Roman"/>
                <w:szCs w:val="20"/>
              </w:rPr>
            </w:pPr>
            <w:r>
              <w:rPr>
                <w:rFonts w:ascii="Times New Roman" w:hint="eastAsia"/>
                <w:szCs w:val="20"/>
              </w:rPr>
              <w:t>Comment</w:t>
            </w:r>
          </w:p>
        </w:tc>
      </w:tr>
      <w:tr w:rsidR="00846BFA" w14:paraId="471535AB" w14:textId="77777777" w:rsidTr="001F44C5">
        <w:tc>
          <w:tcPr>
            <w:tcW w:w="1271" w:type="dxa"/>
          </w:tcPr>
          <w:p w14:paraId="598F62A2" w14:textId="5F86785E" w:rsidR="00846BFA" w:rsidRDefault="00846BFA" w:rsidP="001F44C5">
            <w:pPr>
              <w:widowControl/>
              <w:rPr>
                <w:rFonts w:ascii="Times New Roman"/>
                <w:szCs w:val="20"/>
              </w:rPr>
            </w:pPr>
            <w:r>
              <w:rPr>
                <w:rFonts w:ascii="Times New Roman" w:hint="eastAsia"/>
                <w:szCs w:val="20"/>
              </w:rPr>
              <w:t>LGE</w:t>
            </w:r>
          </w:p>
        </w:tc>
        <w:tc>
          <w:tcPr>
            <w:tcW w:w="8091"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1F44C5">
        <w:tc>
          <w:tcPr>
            <w:tcW w:w="1271" w:type="dxa"/>
          </w:tcPr>
          <w:p w14:paraId="13B8BFC2" w14:textId="064EB03B"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tcPr>
          <w:p w14:paraId="31A138C3" w14:textId="24791A42"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6B726CD5" w14:textId="77777777" w:rsidTr="001F44C5">
        <w:tc>
          <w:tcPr>
            <w:tcW w:w="1271" w:type="dxa"/>
          </w:tcPr>
          <w:p w14:paraId="7EAF1F61" w14:textId="0E3CB51F" w:rsidR="00846BFA" w:rsidRDefault="00322C10" w:rsidP="001F44C5">
            <w:pPr>
              <w:widowControl/>
              <w:rPr>
                <w:rFonts w:ascii="Times New Roman"/>
                <w:szCs w:val="20"/>
              </w:rPr>
            </w:pPr>
            <w:proofErr w:type="spellStart"/>
            <w:r>
              <w:rPr>
                <w:rFonts w:ascii="Times New Roman"/>
                <w:szCs w:val="20"/>
              </w:rPr>
              <w:t>Futurewei</w:t>
            </w:r>
            <w:proofErr w:type="spellEnd"/>
          </w:p>
        </w:tc>
        <w:tc>
          <w:tcPr>
            <w:tcW w:w="8091" w:type="dxa"/>
          </w:tcPr>
          <w:p w14:paraId="1F53C327" w14:textId="7BF699DB" w:rsidR="00846BFA" w:rsidRDefault="00322C10" w:rsidP="001F44C5">
            <w:pPr>
              <w:widowControl/>
              <w:rPr>
                <w:rFonts w:ascii="Times New Roman"/>
                <w:szCs w:val="20"/>
              </w:rPr>
            </w:pPr>
            <w:r>
              <w:rPr>
                <w:rFonts w:ascii="Times New Roman"/>
                <w:szCs w:val="20"/>
              </w:rPr>
              <w:t>Not seeing this as important clarification at this time</w:t>
            </w:r>
          </w:p>
        </w:tc>
      </w:tr>
      <w:tr w:rsidR="00E62A51" w14:paraId="0BE1E8D1" w14:textId="77777777" w:rsidTr="001F44C5">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91"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17096C25" w14:textId="77777777" w:rsidTr="001F44C5">
        <w:tc>
          <w:tcPr>
            <w:tcW w:w="1271" w:type="dxa"/>
          </w:tcPr>
          <w:p w14:paraId="1FC61407" w14:textId="0E72647E" w:rsidR="002A0486" w:rsidRDefault="002A0486" w:rsidP="00E62A51">
            <w:pPr>
              <w:widowControl/>
              <w:rPr>
                <w:rFonts w:ascii="Times New Roman"/>
                <w:szCs w:val="20"/>
              </w:rPr>
            </w:pPr>
            <w:r>
              <w:rPr>
                <w:rFonts w:ascii="Times New Roman"/>
                <w:szCs w:val="20"/>
              </w:rPr>
              <w:t>CATT</w:t>
            </w:r>
          </w:p>
        </w:tc>
        <w:tc>
          <w:tcPr>
            <w:tcW w:w="8091" w:type="dxa"/>
          </w:tcPr>
          <w:p w14:paraId="0CFB12B5" w14:textId="7E32E70B"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4EB8B0D5" w14:textId="77777777" w:rsidTr="001F44C5">
        <w:tc>
          <w:tcPr>
            <w:tcW w:w="1271" w:type="dxa"/>
          </w:tcPr>
          <w:p w14:paraId="28953DDB" w14:textId="0BC6B86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0072C9E9" w14:textId="619C5321"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0846B850" w14:textId="77777777" w:rsidTr="001F44C5">
        <w:tc>
          <w:tcPr>
            <w:tcW w:w="1271" w:type="dxa"/>
          </w:tcPr>
          <w:p w14:paraId="72F27E6A" w14:textId="0470BC06"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tcPr>
          <w:p w14:paraId="5BE8AD21" w14:textId="73E9E9C6" w:rsidR="001F44C5" w:rsidRDefault="001F44C5" w:rsidP="001F44C5">
            <w:pPr>
              <w:widowControl/>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243303" w:rsidRPr="00126462" w14:paraId="71F1355C" w14:textId="77777777" w:rsidTr="001F44C5">
        <w:tc>
          <w:tcPr>
            <w:tcW w:w="1271" w:type="dxa"/>
          </w:tcPr>
          <w:p w14:paraId="223B20D2" w14:textId="4776C575" w:rsidR="00243303" w:rsidRDefault="00243303" w:rsidP="001F44C5">
            <w:pPr>
              <w:widowControl/>
              <w:rPr>
                <w:rFonts w:ascii="Times New Roman"/>
                <w:szCs w:val="20"/>
              </w:rPr>
            </w:pPr>
            <w:r>
              <w:rPr>
                <w:rFonts w:ascii="Times New Roman"/>
                <w:szCs w:val="20"/>
              </w:rPr>
              <w:t>Nokia</w:t>
            </w:r>
          </w:p>
        </w:tc>
        <w:tc>
          <w:tcPr>
            <w:tcW w:w="8091" w:type="dxa"/>
          </w:tcPr>
          <w:p w14:paraId="5166DB20" w14:textId="328200C2" w:rsidR="00243303" w:rsidRDefault="00243303" w:rsidP="001F44C5">
            <w:pPr>
              <w:widowControl/>
              <w:rPr>
                <w:rFonts w:ascii="Times New Roman"/>
                <w:szCs w:val="20"/>
              </w:rPr>
            </w:pPr>
            <w:r>
              <w:rPr>
                <w:rFonts w:ascii="Times New Roman"/>
                <w:szCs w:val="20"/>
              </w:rPr>
              <w:t>This level of solution details can be addressed during the solutions phase. These are not precluded in our understanding.</w:t>
            </w: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91"/>
        <w:gridCol w:w="8271"/>
      </w:tblGrid>
      <w:tr w:rsidR="00E35329" w14:paraId="706E5CFF" w14:textId="77777777" w:rsidTr="001F44C5">
        <w:tc>
          <w:tcPr>
            <w:tcW w:w="1413" w:type="dxa"/>
          </w:tcPr>
          <w:p w14:paraId="2926E1D2" w14:textId="77777777" w:rsidR="00E35329" w:rsidRDefault="00E35329" w:rsidP="001F44C5">
            <w:pPr>
              <w:widowControl/>
              <w:rPr>
                <w:rFonts w:ascii="Times New Roman"/>
                <w:szCs w:val="20"/>
              </w:rPr>
            </w:pPr>
            <w:r>
              <w:rPr>
                <w:rFonts w:ascii="Times New Roman" w:hint="eastAsia"/>
                <w:szCs w:val="20"/>
              </w:rPr>
              <w:t>Company</w:t>
            </w:r>
          </w:p>
        </w:tc>
        <w:tc>
          <w:tcPr>
            <w:tcW w:w="7949" w:type="dxa"/>
          </w:tcPr>
          <w:p w14:paraId="53B20B75" w14:textId="77777777" w:rsidR="00E35329" w:rsidRDefault="00E35329" w:rsidP="001F44C5">
            <w:pPr>
              <w:widowControl/>
              <w:rPr>
                <w:rFonts w:ascii="Times New Roman"/>
                <w:szCs w:val="20"/>
              </w:rPr>
            </w:pPr>
            <w:r>
              <w:rPr>
                <w:rFonts w:ascii="Times New Roman" w:hint="eastAsia"/>
                <w:szCs w:val="20"/>
              </w:rPr>
              <w:t>Comment</w:t>
            </w:r>
          </w:p>
        </w:tc>
      </w:tr>
      <w:tr w:rsidR="00E35329" w14:paraId="609FB68F" w14:textId="77777777" w:rsidTr="001F44C5">
        <w:tc>
          <w:tcPr>
            <w:tcW w:w="1413" w:type="dxa"/>
          </w:tcPr>
          <w:p w14:paraId="54F28624" w14:textId="77777777" w:rsidR="00E35329" w:rsidRDefault="00E35329" w:rsidP="001F44C5">
            <w:pPr>
              <w:widowControl/>
              <w:rPr>
                <w:rFonts w:ascii="Times New Roman"/>
                <w:szCs w:val="20"/>
              </w:rPr>
            </w:pPr>
            <w:r>
              <w:rPr>
                <w:rFonts w:ascii="Times New Roman" w:hint="eastAsia"/>
                <w:szCs w:val="20"/>
              </w:rPr>
              <w:t>LGE</w:t>
            </w:r>
          </w:p>
        </w:tc>
        <w:tc>
          <w:tcPr>
            <w:tcW w:w="7949"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F44C5">
        <w:tc>
          <w:tcPr>
            <w:tcW w:w="1413" w:type="dxa"/>
          </w:tcPr>
          <w:p w14:paraId="6A2B644A" w14:textId="62A6C248"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7949" w:type="dxa"/>
          </w:tcPr>
          <w:p w14:paraId="1DB34AA5" w14:textId="77DC030F"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579865E3" w14:textId="77777777" w:rsidTr="001F44C5">
        <w:tc>
          <w:tcPr>
            <w:tcW w:w="1413" w:type="dxa"/>
          </w:tcPr>
          <w:p w14:paraId="6C13C47D" w14:textId="50507283" w:rsidR="00E35329" w:rsidRDefault="00322C10" w:rsidP="001F44C5">
            <w:pPr>
              <w:widowControl/>
              <w:rPr>
                <w:rFonts w:ascii="Times New Roman"/>
                <w:szCs w:val="20"/>
              </w:rPr>
            </w:pPr>
            <w:proofErr w:type="spellStart"/>
            <w:r>
              <w:rPr>
                <w:rFonts w:ascii="Times New Roman"/>
                <w:szCs w:val="20"/>
              </w:rPr>
              <w:t>Futurewei</w:t>
            </w:r>
            <w:proofErr w:type="spellEnd"/>
          </w:p>
        </w:tc>
        <w:tc>
          <w:tcPr>
            <w:tcW w:w="7949" w:type="dxa"/>
          </w:tcPr>
          <w:p w14:paraId="4D65DB3C" w14:textId="7B4B231D" w:rsidR="00E35329" w:rsidRDefault="00322C10" w:rsidP="001F44C5">
            <w:pPr>
              <w:widowControl/>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5AAE0DF2" w14:textId="77777777" w:rsidTr="001F44C5">
        <w:tc>
          <w:tcPr>
            <w:tcW w:w="1413"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7949"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37B472C2" w14:textId="77777777" w:rsidTr="001F44C5">
        <w:tc>
          <w:tcPr>
            <w:tcW w:w="1413" w:type="dxa"/>
          </w:tcPr>
          <w:p w14:paraId="0C898E2F" w14:textId="625C0DB3" w:rsidR="002A0486" w:rsidRDefault="002A0486" w:rsidP="00EC5DD0">
            <w:pPr>
              <w:widowControl/>
              <w:rPr>
                <w:rFonts w:ascii="Times New Roman"/>
                <w:szCs w:val="20"/>
              </w:rPr>
            </w:pPr>
            <w:r>
              <w:rPr>
                <w:rFonts w:ascii="Times New Roman"/>
                <w:szCs w:val="20"/>
              </w:rPr>
              <w:t>CATT</w:t>
            </w:r>
          </w:p>
        </w:tc>
        <w:tc>
          <w:tcPr>
            <w:tcW w:w="7949" w:type="dxa"/>
          </w:tcPr>
          <w:p w14:paraId="142056F3" w14:textId="00868471"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728B36A0" w14:textId="77777777" w:rsidTr="001F44C5">
        <w:tc>
          <w:tcPr>
            <w:tcW w:w="1413" w:type="dxa"/>
          </w:tcPr>
          <w:p w14:paraId="77FC8720" w14:textId="7A333B7C"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7949" w:type="dxa"/>
          </w:tcPr>
          <w:p w14:paraId="2DD8D5B4" w14:textId="1A7DFEC8"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324EC682" w14:textId="77777777" w:rsidTr="001F44C5">
        <w:tc>
          <w:tcPr>
            <w:tcW w:w="1413" w:type="dxa"/>
          </w:tcPr>
          <w:p w14:paraId="1122626C" w14:textId="0C642A26" w:rsidR="001F44C5" w:rsidRDefault="001F44C5" w:rsidP="001F44C5">
            <w:pPr>
              <w:widowControl/>
              <w:rPr>
                <w:rFonts w:ascii="Times New Roman" w:eastAsia="SimSun"/>
                <w:szCs w:val="20"/>
                <w:lang w:eastAsia="zh-CN"/>
              </w:rPr>
            </w:pPr>
            <w:r>
              <w:rPr>
                <w:rFonts w:ascii="Times New Roman"/>
                <w:szCs w:val="20"/>
              </w:rPr>
              <w:t xml:space="preserve">Intel </w:t>
            </w:r>
          </w:p>
        </w:tc>
        <w:tc>
          <w:tcPr>
            <w:tcW w:w="7949" w:type="dxa"/>
          </w:tcPr>
          <w:p w14:paraId="6F267B22" w14:textId="79B1A5DB"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243303" w14:paraId="21865FBF" w14:textId="77777777" w:rsidTr="001F44C5">
        <w:tc>
          <w:tcPr>
            <w:tcW w:w="1413" w:type="dxa"/>
          </w:tcPr>
          <w:p w14:paraId="58A734DC" w14:textId="5A09A7A1" w:rsidR="00243303" w:rsidRDefault="00243303" w:rsidP="001F44C5">
            <w:pPr>
              <w:widowControl/>
              <w:rPr>
                <w:rFonts w:ascii="Times New Roman"/>
                <w:szCs w:val="20"/>
              </w:rPr>
            </w:pPr>
            <w:r>
              <w:rPr>
                <w:rFonts w:ascii="Times New Roman"/>
                <w:szCs w:val="20"/>
              </w:rPr>
              <w:t>Nokia</w:t>
            </w:r>
          </w:p>
        </w:tc>
        <w:tc>
          <w:tcPr>
            <w:tcW w:w="7949" w:type="dxa"/>
          </w:tcPr>
          <w:p w14:paraId="21A3BC95" w14:textId="3F70A973" w:rsidR="00243303" w:rsidRDefault="00243303" w:rsidP="001F44C5">
            <w:pPr>
              <w:widowControl/>
              <w:rPr>
                <w:rFonts w:ascii="Times New Roman"/>
                <w:szCs w:val="20"/>
              </w:rPr>
            </w:pPr>
            <w:r>
              <w:rPr>
                <w:rFonts w:ascii="Times New Roman"/>
                <w:szCs w:val="20"/>
              </w:rPr>
              <w:t>Agree with LGE and Xiaomi</w:t>
            </w: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E1F9C94" w14:textId="77777777" w:rsidTr="001F44C5">
        <w:tc>
          <w:tcPr>
            <w:tcW w:w="1271" w:type="dxa"/>
          </w:tcPr>
          <w:p w14:paraId="3F7600C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F44C5">
            <w:pPr>
              <w:widowControl/>
              <w:rPr>
                <w:rFonts w:ascii="Times New Roman"/>
                <w:szCs w:val="20"/>
              </w:rPr>
            </w:pPr>
            <w:r>
              <w:rPr>
                <w:rFonts w:ascii="Times New Roman" w:hint="eastAsia"/>
                <w:szCs w:val="20"/>
              </w:rPr>
              <w:t>Comment</w:t>
            </w:r>
          </w:p>
        </w:tc>
      </w:tr>
      <w:tr w:rsidR="00D432F1" w14:paraId="3296D34B" w14:textId="77777777" w:rsidTr="001F44C5">
        <w:tc>
          <w:tcPr>
            <w:tcW w:w="1271" w:type="dxa"/>
          </w:tcPr>
          <w:p w14:paraId="0DC694F6" w14:textId="77777777" w:rsidR="00D432F1" w:rsidRDefault="00D432F1" w:rsidP="001F44C5">
            <w:pPr>
              <w:widowControl/>
              <w:rPr>
                <w:rFonts w:ascii="Times New Roman"/>
                <w:szCs w:val="20"/>
              </w:rPr>
            </w:pPr>
          </w:p>
        </w:tc>
        <w:tc>
          <w:tcPr>
            <w:tcW w:w="8080" w:type="dxa"/>
          </w:tcPr>
          <w:p w14:paraId="164D67E1" w14:textId="77777777" w:rsidR="00D432F1" w:rsidRDefault="00D432F1" w:rsidP="001F44C5">
            <w:pPr>
              <w:widowControl/>
              <w:rPr>
                <w:rFonts w:ascii="Times New Roman"/>
                <w:szCs w:val="20"/>
              </w:rPr>
            </w:pPr>
          </w:p>
        </w:tc>
      </w:tr>
      <w:tr w:rsidR="00D432F1" w14:paraId="4D2F2AC4" w14:textId="77777777" w:rsidTr="001F44C5">
        <w:tc>
          <w:tcPr>
            <w:tcW w:w="1271" w:type="dxa"/>
          </w:tcPr>
          <w:p w14:paraId="5F34B2B2" w14:textId="77777777" w:rsidR="00D432F1" w:rsidRDefault="00D432F1" w:rsidP="001F44C5">
            <w:pPr>
              <w:widowControl/>
              <w:rPr>
                <w:rFonts w:ascii="Times New Roman"/>
                <w:szCs w:val="20"/>
              </w:rPr>
            </w:pPr>
          </w:p>
        </w:tc>
        <w:tc>
          <w:tcPr>
            <w:tcW w:w="8080" w:type="dxa"/>
          </w:tcPr>
          <w:p w14:paraId="03B83753" w14:textId="77777777" w:rsidR="00D432F1" w:rsidRDefault="00D432F1" w:rsidP="001F44C5">
            <w:pPr>
              <w:widowControl/>
              <w:rPr>
                <w:rFonts w:ascii="Times New Roman"/>
                <w:szCs w:val="20"/>
              </w:rPr>
            </w:pPr>
          </w:p>
        </w:tc>
      </w:tr>
      <w:tr w:rsidR="00D432F1" w14:paraId="09045D99" w14:textId="77777777" w:rsidTr="001F44C5">
        <w:tc>
          <w:tcPr>
            <w:tcW w:w="1271" w:type="dxa"/>
          </w:tcPr>
          <w:p w14:paraId="25888336" w14:textId="77777777" w:rsidR="00D432F1" w:rsidRDefault="00D432F1" w:rsidP="001F44C5">
            <w:pPr>
              <w:widowControl/>
              <w:rPr>
                <w:rFonts w:ascii="Times New Roman"/>
                <w:szCs w:val="20"/>
              </w:rPr>
            </w:pPr>
          </w:p>
        </w:tc>
        <w:tc>
          <w:tcPr>
            <w:tcW w:w="8080" w:type="dxa"/>
          </w:tcPr>
          <w:p w14:paraId="011E7893" w14:textId="77777777" w:rsidR="00D432F1" w:rsidRDefault="00D432F1" w:rsidP="001F44C5">
            <w:pPr>
              <w:widowControl/>
              <w:rPr>
                <w:rFonts w:ascii="Times New Roman"/>
                <w:szCs w:val="20"/>
              </w:rPr>
            </w:pPr>
          </w:p>
        </w:tc>
      </w:tr>
      <w:tr w:rsidR="00D432F1" w14:paraId="18CFAB24" w14:textId="77777777" w:rsidTr="001F44C5">
        <w:tc>
          <w:tcPr>
            <w:tcW w:w="1271" w:type="dxa"/>
          </w:tcPr>
          <w:p w14:paraId="078760EC" w14:textId="77777777" w:rsidR="00D432F1" w:rsidRDefault="00D432F1" w:rsidP="001F44C5">
            <w:pPr>
              <w:widowControl/>
              <w:rPr>
                <w:rFonts w:ascii="Times New Roman"/>
                <w:szCs w:val="20"/>
              </w:rPr>
            </w:pPr>
          </w:p>
        </w:tc>
        <w:tc>
          <w:tcPr>
            <w:tcW w:w="8080" w:type="dxa"/>
          </w:tcPr>
          <w:p w14:paraId="6F9DEE66" w14:textId="77777777" w:rsidR="00D432F1" w:rsidRDefault="00D432F1" w:rsidP="001F44C5">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FFE5056" w14:textId="4B6CEEF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lastRenderedPageBreak/>
        <w:t>Please provide your view on this.</w:t>
      </w:r>
    </w:p>
    <w:tbl>
      <w:tblPr>
        <w:tblStyle w:val="TableGrid"/>
        <w:tblW w:w="0" w:type="auto"/>
        <w:tblLook w:val="04A0" w:firstRow="1" w:lastRow="0" w:firstColumn="1" w:lastColumn="0" w:noHBand="0" w:noVBand="1"/>
      </w:tblPr>
      <w:tblGrid>
        <w:gridCol w:w="1271"/>
        <w:gridCol w:w="8080"/>
      </w:tblGrid>
      <w:tr w:rsidR="00E63678" w14:paraId="66976EA4" w14:textId="77777777" w:rsidTr="001F44C5">
        <w:tc>
          <w:tcPr>
            <w:tcW w:w="1271" w:type="dxa"/>
          </w:tcPr>
          <w:p w14:paraId="3CA43F61"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1F44C5">
            <w:pPr>
              <w:widowControl/>
              <w:rPr>
                <w:rFonts w:ascii="Times New Roman"/>
                <w:szCs w:val="20"/>
              </w:rPr>
            </w:pPr>
            <w:r>
              <w:rPr>
                <w:rFonts w:ascii="Times New Roman" w:hint="eastAsia"/>
                <w:szCs w:val="20"/>
              </w:rPr>
              <w:t>Comment</w:t>
            </w:r>
          </w:p>
        </w:tc>
      </w:tr>
      <w:tr w:rsidR="00E63678" w14:paraId="6A899184" w14:textId="77777777" w:rsidTr="001F44C5">
        <w:tc>
          <w:tcPr>
            <w:tcW w:w="1271" w:type="dxa"/>
          </w:tcPr>
          <w:p w14:paraId="5A7C74CD" w14:textId="32B02540" w:rsidR="00E63678" w:rsidRDefault="003533CB" w:rsidP="001F44C5">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1F44C5">
        <w:tc>
          <w:tcPr>
            <w:tcW w:w="1271" w:type="dxa"/>
          </w:tcPr>
          <w:p w14:paraId="3AA073CF" w14:textId="3241287A"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8879388" w14:textId="2E42E591"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2BF116B9" w14:textId="77777777" w:rsidTr="001F44C5">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C2E0A39" w14:textId="77777777" w:rsidTr="001F44C5">
        <w:tc>
          <w:tcPr>
            <w:tcW w:w="1271" w:type="dxa"/>
          </w:tcPr>
          <w:p w14:paraId="5B01765F" w14:textId="4C5C6CB2" w:rsidR="002A0486" w:rsidRDefault="002A0486" w:rsidP="00753218">
            <w:pPr>
              <w:widowControl/>
              <w:rPr>
                <w:rFonts w:ascii="Times New Roman"/>
                <w:szCs w:val="20"/>
              </w:rPr>
            </w:pPr>
            <w:r>
              <w:rPr>
                <w:rFonts w:ascii="Times New Roman"/>
                <w:szCs w:val="20"/>
              </w:rPr>
              <w:t>CATT</w:t>
            </w:r>
          </w:p>
        </w:tc>
        <w:tc>
          <w:tcPr>
            <w:tcW w:w="8080" w:type="dxa"/>
          </w:tcPr>
          <w:p w14:paraId="6226F912" w14:textId="10C2D83C"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61068D4C" w14:textId="77777777" w:rsidTr="001F44C5">
        <w:tc>
          <w:tcPr>
            <w:tcW w:w="1271" w:type="dxa"/>
          </w:tcPr>
          <w:p w14:paraId="6AB5AAEB" w14:textId="72C33BA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66AFA06" w14:textId="46D3DBD1"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7C22651F" w14:textId="77777777" w:rsidTr="001F44C5">
        <w:tc>
          <w:tcPr>
            <w:tcW w:w="1271" w:type="dxa"/>
          </w:tcPr>
          <w:p w14:paraId="65892650" w14:textId="18FF5D69"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98FC917" w14:textId="17AF3F37"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2CC8E186" w14:textId="77777777" w:rsidTr="001F44C5">
        <w:tc>
          <w:tcPr>
            <w:tcW w:w="1271" w:type="dxa"/>
          </w:tcPr>
          <w:p w14:paraId="62D2827E" w14:textId="2877F176"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40E503A0" w14:textId="1C7716E8"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243303" w14:paraId="5B24F71D" w14:textId="77777777" w:rsidTr="001F44C5">
        <w:tc>
          <w:tcPr>
            <w:tcW w:w="1271" w:type="dxa"/>
          </w:tcPr>
          <w:p w14:paraId="01238A2A" w14:textId="683F7A3F" w:rsidR="00243303" w:rsidRDefault="00243303" w:rsidP="001F44C5">
            <w:pPr>
              <w:widowControl/>
              <w:rPr>
                <w:rFonts w:ascii="Times New Roman"/>
                <w:szCs w:val="20"/>
              </w:rPr>
            </w:pPr>
            <w:r>
              <w:rPr>
                <w:rFonts w:ascii="Times New Roman"/>
                <w:szCs w:val="20"/>
              </w:rPr>
              <w:t>Nokia</w:t>
            </w:r>
          </w:p>
        </w:tc>
        <w:tc>
          <w:tcPr>
            <w:tcW w:w="8080" w:type="dxa"/>
          </w:tcPr>
          <w:p w14:paraId="4B7824B4" w14:textId="6641AA70" w:rsidR="00243303" w:rsidRDefault="00243303" w:rsidP="001F44C5">
            <w:pPr>
              <w:widowControl/>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968"/>
        <w:gridCol w:w="8394"/>
      </w:tblGrid>
      <w:tr w:rsidR="006E603F" w14:paraId="2F5E120A" w14:textId="77777777" w:rsidTr="001F44C5">
        <w:tc>
          <w:tcPr>
            <w:tcW w:w="1271" w:type="dxa"/>
          </w:tcPr>
          <w:p w14:paraId="1EDC9705" w14:textId="77777777" w:rsidR="006E603F" w:rsidRDefault="006E603F" w:rsidP="001F44C5">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1F44C5">
            <w:pPr>
              <w:widowControl/>
              <w:rPr>
                <w:rFonts w:ascii="Times New Roman"/>
                <w:szCs w:val="20"/>
              </w:rPr>
            </w:pPr>
            <w:r>
              <w:rPr>
                <w:rFonts w:ascii="Times New Roman" w:hint="eastAsia"/>
                <w:szCs w:val="20"/>
              </w:rPr>
              <w:t>Comment</w:t>
            </w:r>
          </w:p>
        </w:tc>
      </w:tr>
      <w:tr w:rsidR="006E603F" w14:paraId="31693ACE" w14:textId="77777777" w:rsidTr="001F44C5">
        <w:tc>
          <w:tcPr>
            <w:tcW w:w="1271" w:type="dxa"/>
          </w:tcPr>
          <w:p w14:paraId="46E6C8CC" w14:textId="3772831A" w:rsidR="006E603F" w:rsidRDefault="008B5635" w:rsidP="001F44C5">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1F44C5">
        <w:tc>
          <w:tcPr>
            <w:tcW w:w="1271" w:type="dxa"/>
          </w:tcPr>
          <w:p w14:paraId="2D01ACC8" w14:textId="040B20FA"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44E341F" w14:textId="489943AC"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2A0486" w14:paraId="300F5B7F" w14:textId="77777777" w:rsidTr="001F44C5">
        <w:tc>
          <w:tcPr>
            <w:tcW w:w="1271" w:type="dxa"/>
          </w:tcPr>
          <w:p w14:paraId="22335814" w14:textId="08E6472C" w:rsidR="002A0486" w:rsidRDefault="002A0486" w:rsidP="001F44C5">
            <w:pPr>
              <w:widowControl/>
              <w:rPr>
                <w:rFonts w:ascii="Times New Roman"/>
                <w:szCs w:val="20"/>
              </w:rPr>
            </w:pPr>
            <w:r>
              <w:rPr>
                <w:rFonts w:ascii="Times New Roman"/>
                <w:szCs w:val="20"/>
              </w:rPr>
              <w:t>CATT</w:t>
            </w:r>
          </w:p>
        </w:tc>
        <w:tc>
          <w:tcPr>
            <w:tcW w:w="8080" w:type="dxa"/>
          </w:tcPr>
          <w:p w14:paraId="26C6B4B5" w14:textId="05450681" w:rsidR="002A0486" w:rsidRDefault="002A0486" w:rsidP="001F44C5">
            <w:pPr>
              <w:widowControl/>
              <w:rPr>
                <w:rFonts w:ascii="Times New Roman"/>
                <w:szCs w:val="20"/>
              </w:rPr>
            </w:pPr>
            <w:r>
              <w:rPr>
                <w:rFonts w:ascii="Times New Roman"/>
                <w:szCs w:val="20"/>
              </w:rPr>
              <w:t>Support</w:t>
            </w:r>
            <w:r>
              <w:rPr>
                <w:rFonts w:ascii="Times New Roman" w:eastAsia="SimSun" w:hint="eastAsia"/>
                <w:szCs w:val="20"/>
                <w:lang w:eastAsia="zh-CN"/>
              </w:rPr>
              <w:t>.</w:t>
            </w:r>
          </w:p>
        </w:tc>
      </w:tr>
      <w:tr w:rsidR="00FF0F9A" w14:paraId="2F8809E5" w14:textId="77777777" w:rsidTr="001F44C5">
        <w:tc>
          <w:tcPr>
            <w:tcW w:w="1271" w:type="dxa"/>
          </w:tcPr>
          <w:p w14:paraId="5835E583" w14:textId="6C2E41D2"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6B2AC48" w14:textId="45A0084E"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w:t>
            </w:r>
          </w:p>
        </w:tc>
      </w:tr>
      <w:tr w:rsidR="0016129E" w14:paraId="6F8F8384" w14:textId="77777777" w:rsidTr="001F44C5">
        <w:tc>
          <w:tcPr>
            <w:tcW w:w="1271" w:type="dxa"/>
          </w:tcPr>
          <w:p w14:paraId="5FF2BE92" w14:textId="0B722CF1"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E85D6D4" w14:textId="3632C3D0"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DF5971" w14:paraId="67F62813" w14:textId="77777777" w:rsidTr="001F44C5">
        <w:tc>
          <w:tcPr>
            <w:tcW w:w="1271" w:type="dxa"/>
          </w:tcPr>
          <w:p w14:paraId="026A1362" w14:textId="52F3EB91"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A76505F" w14:textId="75BF5938" w:rsidR="00DF5971" w:rsidRDefault="00DF5971" w:rsidP="00DF5971">
            <w:pPr>
              <w:widowControl/>
              <w:rPr>
                <w:rFonts w:ascii="Times New Roman" w:eastAsia="SimSun"/>
                <w:szCs w:val="20"/>
                <w:lang w:eastAsia="zh-CN"/>
              </w:rPr>
            </w:pPr>
            <w:r>
              <w:rPr>
                <w:rFonts w:ascii="Times New Roman"/>
                <w:szCs w:val="20"/>
              </w:rPr>
              <w:t>In our view this is a part of evaluation methodology assumption and discussion. It is OK to add reference.</w:t>
            </w:r>
          </w:p>
        </w:tc>
      </w:tr>
      <w:tr w:rsidR="00243303" w14:paraId="79EBE770" w14:textId="77777777" w:rsidTr="001F44C5">
        <w:tc>
          <w:tcPr>
            <w:tcW w:w="1271" w:type="dxa"/>
          </w:tcPr>
          <w:p w14:paraId="486C82BA" w14:textId="1DA45776" w:rsidR="00243303" w:rsidRDefault="00243303" w:rsidP="00DF5971">
            <w:pPr>
              <w:widowControl/>
              <w:rPr>
                <w:rFonts w:ascii="Times New Roman"/>
                <w:szCs w:val="20"/>
              </w:rPr>
            </w:pPr>
            <w:r>
              <w:rPr>
                <w:rFonts w:ascii="Times New Roman"/>
                <w:szCs w:val="20"/>
              </w:rPr>
              <w:t>Nokia</w:t>
            </w:r>
          </w:p>
        </w:tc>
        <w:tc>
          <w:tcPr>
            <w:tcW w:w="8080" w:type="dxa"/>
          </w:tcPr>
          <w:p w14:paraId="05DFE8A0" w14:textId="44BC1E76" w:rsidR="00243303" w:rsidRDefault="00243303" w:rsidP="00DF5971">
            <w:pPr>
              <w:widowControl/>
              <w:rPr>
                <w:rFonts w:ascii="Times New Roman"/>
                <w:szCs w:val="20"/>
              </w:rPr>
            </w:pPr>
            <w:r>
              <w:rPr>
                <w:rFonts w:ascii="Times New Roman"/>
                <w:szCs w:val="20"/>
              </w:rPr>
              <w:t>This level of details about reference antenna configuration can be discussed during the solutions evaluation phase.</w:t>
            </w: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3012DDAB" w14:textId="77777777" w:rsidTr="001F44C5">
        <w:tc>
          <w:tcPr>
            <w:tcW w:w="1271" w:type="dxa"/>
          </w:tcPr>
          <w:p w14:paraId="2E0D3F6C"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1F44C5">
            <w:pPr>
              <w:widowControl/>
              <w:rPr>
                <w:rFonts w:ascii="Times New Roman"/>
                <w:szCs w:val="20"/>
              </w:rPr>
            </w:pPr>
            <w:r>
              <w:rPr>
                <w:rFonts w:ascii="Times New Roman" w:hint="eastAsia"/>
                <w:szCs w:val="20"/>
              </w:rPr>
              <w:t>Comment</w:t>
            </w:r>
          </w:p>
        </w:tc>
      </w:tr>
      <w:tr w:rsidR="00463712" w:rsidRPr="00754356" w14:paraId="0C704C05" w14:textId="77777777" w:rsidTr="001F44C5">
        <w:tc>
          <w:tcPr>
            <w:tcW w:w="1271" w:type="dxa"/>
          </w:tcPr>
          <w:p w14:paraId="5ECEB95E" w14:textId="07B3681D" w:rsidR="00463712" w:rsidRDefault="008B5635" w:rsidP="001F44C5">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1F44C5">
        <w:tc>
          <w:tcPr>
            <w:tcW w:w="1271" w:type="dxa"/>
          </w:tcPr>
          <w:p w14:paraId="4B212073" w14:textId="27961A69"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E6C44D" w14:textId="544AA61C"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5A60B03" w14:textId="77777777" w:rsidTr="001F44C5">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43E93A4C" w14:textId="77777777" w:rsidTr="001F44C5">
        <w:tc>
          <w:tcPr>
            <w:tcW w:w="1271" w:type="dxa"/>
          </w:tcPr>
          <w:p w14:paraId="2E0159F1" w14:textId="05E13B09" w:rsidR="002A0486" w:rsidRDefault="002A0486" w:rsidP="00EB7A6E">
            <w:pPr>
              <w:widowControl/>
              <w:rPr>
                <w:rFonts w:ascii="Times New Roman"/>
                <w:szCs w:val="20"/>
              </w:rPr>
            </w:pPr>
            <w:r>
              <w:rPr>
                <w:rFonts w:ascii="Times New Roman"/>
                <w:szCs w:val="20"/>
              </w:rPr>
              <w:t>CATT</w:t>
            </w:r>
          </w:p>
        </w:tc>
        <w:tc>
          <w:tcPr>
            <w:tcW w:w="8080" w:type="dxa"/>
          </w:tcPr>
          <w:p w14:paraId="04E442F4" w14:textId="2CA274EE"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61210057" w14:textId="77777777" w:rsidTr="001F44C5">
        <w:tc>
          <w:tcPr>
            <w:tcW w:w="1271" w:type="dxa"/>
          </w:tcPr>
          <w:p w14:paraId="6C535BE0" w14:textId="4435F55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4F8A00D" w14:textId="728107C3"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3AE6AAD2" w14:textId="77777777" w:rsidTr="001F44C5">
        <w:tc>
          <w:tcPr>
            <w:tcW w:w="1271" w:type="dxa"/>
          </w:tcPr>
          <w:p w14:paraId="0B5AF250" w14:textId="05E5A7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B0E9E96" w14:textId="56685477"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4999EE7A" w14:textId="77777777" w:rsidTr="001F44C5">
        <w:tc>
          <w:tcPr>
            <w:tcW w:w="1271" w:type="dxa"/>
          </w:tcPr>
          <w:p w14:paraId="53F7567A" w14:textId="568540A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25464B49" w14:textId="77777777"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14:paraId="52BD7763" w14:textId="047BD303" w:rsidR="00DF5971" w:rsidRDefault="00DF5971" w:rsidP="0016129E">
            <w:pPr>
              <w:widowControl/>
              <w:rPr>
                <w:rFonts w:ascii="Times New Roman" w:eastAsia="SimSun"/>
                <w:szCs w:val="20"/>
                <w:lang w:eastAsia="zh-CN"/>
              </w:rPr>
            </w:pPr>
            <w:r>
              <w:rPr>
                <w:rFonts w:ascii="Times New Roman"/>
                <w:szCs w:val="20"/>
              </w:rPr>
              <w:t>It is OK to add reference.</w:t>
            </w:r>
          </w:p>
        </w:tc>
      </w:tr>
      <w:tr w:rsidR="00243303" w14:paraId="3DB112EE" w14:textId="77777777" w:rsidTr="001F44C5">
        <w:tc>
          <w:tcPr>
            <w:tcW w:w="1271" w:type="dxa"/>
          </w:tcPr>
          <w:p w14:paraId="643B8501" w14:textId="2562915B" w:rsidR="00243303" w:rsidRDefault="00243303" w:rsidP="0016129E">
            <w:pPr>
              <w:widowControl/>
              <w:rPr>
                <w:rFonts w:ascii="Times New Roman" w:eastAsia="SimSun"/>
                <w:szCs w:val="20"/>
                <w:lang w:eastAsia="zh-CN"/>
              </w:rPr>
            </w:pPr>
            <w:r>
              <w:rPr>
                <w:rFonts w:ascii="Times New Roman" w:eastAsia="SimSun"/>
                <w:szCs w:val="20"/>
                <w:lang w:eastAsia="zh-CN"/>
              </w:rPr>
              <w:t>Nokia</w:t>
            </w:r>
          </w:p>
        </w:tc>
        <w:tc>
          <w:tcPr>
            <w:tcW w:w="8080" w:type="dxa"/>
          </w:tcPr>
          <w:p w14:paraId="5A6A5E50" w14:textId="516F1837" w:rsidR="00243303" w:rsidRDefault="00243303" w:rsidP="0016129E">
            <w:pPr>
              <w:widowControl/>
              <w:rPr>
                <w:rFonts w:ascii="Times New Roman"/>
                <w:szCs w:val="20"/>
              </w:rPr>
            </w:pPr>
            <w:r>
              <w:rPr>
                <w:rFonts w:ascii="Times New Roman"/>
                <w:szCs w:val="20"/>
              </w:rPr>
              <w:t>This level of details about reference antenna configuration can be discussed during the solutions evaluation phase.</w:t>
            </w: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559"/>
        <w:gridCol w:w="8803"/>
      </w:tblGrid>
      <w:tr w:rsidR="00463712" w14:paraId="152084D5" w14:textId="77777777" w:rsidTr="001F44C5">
        <w:tc>
          <w:tcPr>
            <w:tcW w:w="1271" w:type="dxa"/>
          </w:tcPr>
          <w:p w14:paraId="6C7E56E3"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1F44C5">
            <w:pPr>
              <w:widowControl/>
              <w:rPr>
                <w:rFonts w:ascii="Times New Roman"/>
                <w:szCs w:val="20"/>
              </w:rPr>
            </w:pPr>
            <w:r>
              <w:rPr>
                <w:rFonts w:ascii="Times New Roman" w:hint="eastAsia"/>
                <w:szCs w:val="20"/>
              </w:rPr>
              <w:t>Comment</w:t>
            </w:r>
          </w:p>
        </w:tc>
      </w:tr>
      <w:tr w:rsidR="00463712" w14:paraId="4EBC6F01" w14:textId="77777777" w:rsidTr="001F44C5">
        <w:tc>
          <w:tcPr>
            <w:tcW w:w="1271" w:type="dxa"/>
          </w:tcPr>
          <w:p w14:paraId="1B94A3DE" w14:textId="6A53933B" w:rsidR="00463712" w:rsidRDefault="008B5635" w:rsidP="001F44C5">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1F44C5">
        <w:tc>
          <w:tcPr>
            <w:tcW w:w="1271" w:type="dxa"/>
          </w:tcPr>
          <w:p w14:paraId="2DFB4FE8" w14:textId="7F2E22B0"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lastRenderedPageBreak/>
              <w:t>X</w:t>
            </w:r>
            <w:r>
              <w:rPr>
                <w:rFonts w:ascii="Times New Roman" w:eastAsia="SimSun"/>
                <w:szCs w:val="20"/>
                <w:lang w:eastAsia="zh-CN"/>
              </w:rPr>
              <w:t>iaomi</w:t>
            </w:r>
          </w:p>
        </w:tc>
        <w:tc>
          <w:tcPr>
            <w:tcW w:w="8080" w:type="dxa"/>
          </w:tcPr>
          <w:p w14:paraId="1D354941" w14:textId="764577BE"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4FE6AC43" w14:textId="77777777" w:rsidTr="001F44C5">
        <w:tc>
          <w:tcPr>
            <w:tcW w:w="1271" w:type="dxa"/>
          </w:tcPr>
          <w:p w14:paraId="07D4B2B3" w14:textId="4A16FFD8"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05D823EB" w14:textId="3D5AA6EA"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706A7905" w14:textId="77777777" w:rsidTr="001F44C5">
        <w:tc>
          <w:tcPr>
            <w:tcW w:w="1271" w:type="dxa"/>
          </w:tcPr>
          <w:p w14:paraId="5F6B6187" w14:textId="5713113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589540E" w14:textId="1188E877"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243303" w14:paraId="3AC68C6C" w14:textId="77777777" w:rsidTr="001F44C5">
        <w:tc>
          <w:tcPr>
            <w:tcW w:w="1271" w:type="dxa"/>
          </w:tcPr>
          <w:p w14:paraId="59A07A43" w14:textId="71672D7C" w:rsidR="00243303" w:rsidRDefault="00243303" w:rsidP="00243303">
            <w:pPr>
              <w:widowControl/>
              <w:rPr>
                <w:rFonts w:ascii="Times New Roman" w:eastAsia="SimSun" w:hint="eastAsia"/>
                <w:szCs w:val="20"/>
                <w:lang w:eastAsia="zh-CN"/>
              </w:rPr>
            </w:pPr>
            <w:r>
              <w:rPr>
                <w:rFonts w:ascii="Times New Roman" w:eastAsia="SimSun"/>
                <w:szCs w:val="20"/>
                <w:lang w:eastAsia="zh-CN"/>
              </w:rPr>
              <w:t>Nokia</w:t>
            </w:r>
          </w:p>
        </w:tc>
        <w:tc>
          <w:tcPr>
            <w:tcW w:w="8080" w:type="dxa"/>
          </w:tcPr>
          <w:p w14:paraId="7C7F4D54" w14:textId="58903E31" w:rsidR="00243303" w:rsidRDefault="00243303" w:rsidP="00243303">
            <w:pPr>
              <w:widowControl/>
              <w:rPr>
                <w:rFonts w:ascii="Times New Roman" w:eastAsia="SimSun"/>
                <w:szCs w:val="20"/>
                <w:lang w:eastAsia="zh-CN"/>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88DAF6" w14:textId="77777777" w:rsidTr="001F44C5">
        <w:tc>
          <w:tcPr>
            <w:tcW w:w="1271" w:type="dxa"/>
          </w:tcPr>
          <w:p w14:paraId="4B37F93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F44C5">
            <w:pPr>
              <w:widowControl/>
              <w:rPr>
                <w:rFonts w:ascii="Times New Roman"/>
                <w:szCs w:val="20"/>
              </w:rPr>
            </w:pPr>
            <w:r>
              <w:rPr>
                <w:rFonts w:ascii="Times New Roman" w:hint="eastAsia"/>
                <w:szCs w:val="20"/>
              </w:rPr>
              <w:t>Comment</w:t>
            </w:r>
          </w:p>
        </w:tc>
      </w:tr>
      <w:tr w:rsidR="00D432F1" w14:paraId="23462B69" w14:textId="77777777" w:rsidTr="001F44C5">
        <w:tc>
          <w:tcPr>
            <w:tcW w:w="1271" w:type="dxa"/>
          </w:tcPr>
          <w:p w14:paraId="0244E5D7" w14:textId="77777777" w:rsidR="00D432F1" w:rsidRDefault="00D432F1" w:rsidP="001F44C5">
            <w:pPr>
              <w:widowControl/>
              <w:rPr>
                <w:rFonts w:ascii="Times New Roman"/>
                <w:szCs w:val="20"/>
              </w:rPr>
            </w:pPr>
          </w:p>
        </w:tc>
        <w:tc>
          <w:tcPr>
            <w:tcW w:w="8080" w:type="dxa"/>
          </w:tcPr>
          <w:p w14:paraId="28320DBF" w14:textId="77777777" w:rsidR="00D432F1" w:rsidRDefault="00D432F1" w:rsidP="001F44C5">
            <w:pPr>
              <w:widowControl/>
              <w:rPr>
                <w:rFonts w:ascii="Times New Roman"/>
                <w:szCs w:val="20"/>
              </w:rPr>
            </w:pPr>
          </w:p>
        </w:tc>
      </w:tr>
      <w:tr w:rsidR="00D432F1" w14:paraId="0DE800B8" w14:textId="77777777" w:rsidTr="001F44C5">
        <w:tc>
          <w:tcPr>
            <w:tcW w:w="1271" w:type="dxa"/>
          </w:tcPr>
          <w:p w14:paraId="55FC2F83" w14:textId="77777777" w:rsidR="00D432F1" w:rsidRDefault="00D432F1" w:rsidP="001F44C5">
            <w:pPr>
              <w:widowControl/>
              <w:rPr>
                <w:rFonts w:ascii="Times New Roman"/>
                <w:szCs w:val="20"/>
              </w:rPr>
            </w:pPr>
          </w:p>
        </w:tc>
        <w:tc>
          <w:tcPr>
            <w:tcW w:w="8080" w:type="dxa"/>
          </w:tcPr>
          <w:p w14:paraId="46B7A2A9" w14:textId="77777777" w:rsidR="00D432F1" w:rsidRDefault="00D432F1" w:rsidP="001F44C5">
            <w:pPr>
              <w:widowControl/>
              <w:rPr>
                <w:rFonts w:ascii="Times New Roman"/>
                <w:szCs w:val="20"/>
              </w:rPr>
            </w:pPr>
          </w:p>
        </w:tc>
      </w:tr>
      <w:tr w:rsidR="00D432F1" w14:paraId="08E0FE23" w14:textId="77777777" w:rsidTr="001F44C5">
        <w:tc>
          <w:tcPr>
            <w:tcW w:w="1271" w:type="dxa"/>
          </w:tcPr>
          <w:p w14:paraId="187045B9" w14:textId="77777777" w:rsidR="00D432F1" w:rsidRDefault="00D432F1" w:rsidP="001F44C5">
            <w:pPr>
              <w:widowControl/>
              <w:rPr>
                <w:rFonts w:ascii="Times New Roman"/>
                <w:szCs w:val="20"/>
              </w:rPr>
            </w:pPr>
          </w:p>
        </w:tc>
        <w:tc>
          <w:tcPr>
            <w:tcW w:w="8080" w:type="dxa"/>
          </w:tcPr>
          <w:p w14:paraId="262F8A7F" w14:textId="77777777" w:rsidR="00D432F1" w:rsidRDefault="00D432F1" w:rsidP="001F44C5">
            <w:pPr>
              <w:widowControl/>
              <w:rPr>
                <w:rFonts w:ascii="Times New Roman"/>
                <w:szCs w:val="20"/>
              </w:rPr>
            </w:pPr>
          </w:p>
        </w:tc>
      </w:tr>
      <w:tr w:rsidR="00D432F1" w14:paraId="4B7B2FAB" w14:textId="77777777" w:rsidTr="001F44C5">
        <w:tc>
          <w:tcPr>
            <w:tcW w:w="1271" w:type="dxa"/>
          </w:tcPr>
          <w:p w14:paraId="3A822995" w14:textId="77777777" w:rsidR="00D432F1" w:rsidRDefault="00D432F1" w:rsidP="001F44C5">
            <w:pPr>
              <w:widowControl/>
              <w:rPr>
                <w:rFonts w:ascii="Times New Roman"/>
                <w:szCs w:val="20"/>
              </w:rPr>
            </w:pPr>
          </w:p>
        </w:tc>
        <w:tc>
          <w:tcPr>
            <w:tcW w:w="8080" w:type="dxa"/>
          </w:tcPr>
          <w:p w14:paraId="2E81FAB1" w14:textId="77777777" w:rsidR="00D432F1" w:rsidRDefault="00D432F1" w:rsidP="001F44C5">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7E05251" w14:textId="77777777" w:rsidTr="001F44C5">
        <w:tc>
          <w:tcPr>
            <w:tcW w:w="1271" w:type="dxa"/>
          </w:tcPr>
          <w:p w14:paraId="52C8530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1F44C5">
            <w:pPr>
              <w:widowControl/>
              <w:rPr>
                <w:rFonts w:ascii="Times New Roman"/>
                <w:szCs w:val="20"/>
              </w:rPr>
            </w:pPr>
            <w:r>
              <w:rPr>
                <w:rFonts w:ascii="Times New Roman" w:hint="eastAsia"/>
                <w:szCs w:val="20"/>
              </w:rPr>
              <w:t>Comment</w:t>
            </w:r>
          </w:p>
        </w:tc>
      </w:tr>
      <w:tr w:rsidR="00E63678" w14:paraId="24C8F8E0" w14:textId="77777777" w:rsidTr="001F44C5">
        <w:tc>
          <w:tcPr>
            <w:tcW w:w="1271" w:type="dxa"/>
          </w:tcPr>
          <w:p w14:paraId="63C2A3E6" w14:textId="22628C15" w:rsidR="00E63678" w:rsidRDefault="008B5635" w:rsidP="001F44C5">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1F44C5">
            <w:pPr>
              <w:widowControl/>
              <w:rPr>
                <w:rFonts w:ascii="Times New Roman"/>
                <w:szCs w:val="20"/>
              </w:rPr>
            </w:pPr>
            <w:r>
              <w:rPr>
                <w:rFonts w:ascii="Times New Roman" w:hint="eastAsia"/>
                <w:szCs w:val="20"/>
              </w:rPr>
              <w:t>Okay.</w:t>
            </w:r>
          </w:p>
        </w:tc>
      </w:tr>
      <w:tr w:rsidR="00E63678" w14:paraId="7AB1031D" w14:textId="77777777" w:rsidTr="001F44C5">
        <w:tc>
          <w:tcPr>
            <w:tcW w:w="1271" w:type="dxa"/>
          </w:tcPr>
          <w:p w14:paraId="4D006039" w14:textId="3727A163"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278430D" w14:textId="28978450"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1B0AA590" w14:textId="77777777" w:rsidTr="001F44C5">
        <w:tc>
          <w:tcPr>
            <w:tcW w:w="1271" w:type="dxa"/>
          </w:tcPr>
          <w:p w14:paraId="73D174FB" w14:textId="3FF5B6A8"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1F44C5">
            <w:pPr>
              <w:widowControl/>
              <w:rPr>
                <w:rFonts w:ascii="Times New Roman"/>
                <w:szCs w:val="20"/>
              </w:rPr>
            </w:pPr>
            <w:r>
              <w:rPr>
                <w:rFonts w:ascii="Times New Roman"/>
                <w:szCs w:val="20"/>
              </w:rPr>
              <w:t>Support</w:t>
            </w:r>
          </w:p>
        </w:tc>
      </w:tr>
      <w:tr w:rsidR="00FA56EB" w14:paraId="29A8A601" w14:textId="77777777" w:rsidTr="001F44C5">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EA5E32" w14:paraId="52A68F76" w14:textId="77777777" w:rsidTr="001F44C5">
        <w:tc>
          <w:tcPr>
            <w:tcW w:w="1271" w:type="dxa"/>
          </w:tcPr>
          <w:p w14:paraId="3705EAEE" w14:textId="5D8C2B4B" w:rsidR="00EA5E32" w:rsidRDefault="00EA5E32" w:rsidP="00FA56EB">
            <w:pPr>
              <w:widowControl/>
              <w:rPr>
                <w:rFonts w:ascii="Times New Roman"/>
                <w:szCs w:val="20"/>
              </w:rPr>
            </w:pPr>
            <w:r>
              <w:rPr>
                <w:rFonts w:ascii="Times New Roman"/>
                <w:szCs w:val="20"/>
              </w:rPr>
              <w:t>CATT</w:t>
            </w:r>
          </w:p>
        </w:tc>
        <w:tc>
          <w:tcPr>
            <w:tcW w:w="8080" w:type="dxa"/>
          </w:tcPr>
          <w:p w14:paraId="79126B2D" w14:textId="6565C525"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1F7C3792" w14:textId="77777777" w:rsidTr="001F44C5">
        <w:tc>
          <w:tcPr>
            <w:tcW w:w="1271" w:type="dxa"/>
          </w:tcPr>
          <w:p w14:paraId="7A77F2C8" w14:textId="599BC17B"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6A9E9D3" w14:textId="475A81FF"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54797767" w14:textId="77777777" w:rsidTr="001F44C5">
        <w:tc>
          <w:tcPr>
            <w:tcW w:w="1271" w:type="dxa"/>
          </w:tcPr>
          <w:p w14:paraId="4015E0C4" w14:textId="22339D94"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25C92D3" w14:textId="3130EF9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413BCE00" w14:textId="77777777" w:rsidTr="001F44C5">
        <w:tc>
          <w:tcPr>
            <w:tcW w:w="1271" w:type="dxa"/>
          </w:tcPr>
          <w:p w14:paraId="65CFD43C" w14:textId="638B860B"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710E00A6" w14:textId="7AA24582" w:rsidR="00DF5971" w:rsidRPr="00191E23" w:rsidRDefault="00DF5971" w:rsidP="00DF5971">
            <w:pPr>
              <w:widowControl/>
              <w:rPr>
                <w:rFonts w:ascii="Times New Roman" w:eastAsia="SimSun"/>
                <w:szCs w:val="20"/>
                <w:lang w:eastAsia="zh-CN"/>
              </w:rPr>
            </w:pPr>
            <w:r>
              <w:rPr>
                <w:rFonts w:ascii="Times New Roman"/>
                <w:szCs w:val="20"/>
              </w:rPr>
              <w:t>Support</w:t>
            </w:r>
          </w:p>
        </w:tc>
      </w:tr>
      <w:tr w:rsidR="00243303" w14:paraId="676B91D0" w14:textId="77777777" w:rsidTr="001F44C5">
        <w:tc>
          <w:tcPr>
            <w:tcW w:w="1271" w:type="dxa"/>
          </w:tcPr>
          <w:p w14:paraId="2D4DF133" w14:textId="6D35B74B" w:rsidR="00243303" w:rsidRDefault="00243303" w:rsidP="00DF5971">
            <w:pPr>
              <w:widowControl/>
              <w:rPr>
                <w:rFonts w:ascii="Times New Roman"/>
                <w:szCs w:val="20"/>
              </w:rPr>
            </w:pPr>
            <w:r>
              <w:rPr>
                <w:rFonts w:ascii="Times New Roman"/>
                <w:szCs w:val="20"/>
              </w:rPr>
              <w:t>Nokia</w:t>
            </w:r>
          </w:p>
        </w:tc>
        <w:tc>
          <w:tcPr>
            <w:tcW w:w="8080" w:type="dxa"/>
          </w:tcPr>
          <w:p w14:paraId="222B0500" w14:textId="40C5B3A7" w:rsidR="00243303" w:rsidRDefault="00243303" w:rsidP="00DF5971">
            <w:pPr>
              <w:widowControl/>
              <w:rPr>
                <w:rFonts w:ascii="Times New Roman"/>
                <w:szCs w:val="20"/>
              </w:rPr>
            </w:pPr>
            <w:r>
              <w:rPr>
                <w:rFonts w:ascii="Times New Roman"/>
                <w:szCs w:val="20"/>
              </w:rPr>
              <w:t>Should be driven by regulatory requirements and can be studied further in RAN4 during solutions phase.</w:t>
            </w: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51D482C4" w14:textId="77777777" w:rsidTr="001F44C5">
        <w:tc>
          <w:tcPr>
            <w:tcW w:w="1271" w:type="dxa"/>
          </w:tcPr>
          <w:p w14:paraId="6B6D2EE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1F44C5">
            <w:pPr>
              <w:widowControl/>
              <w:rPr>
                <w:rFonts w:ascii="Times New Roman"/>
                <w:szCs w:val="20"/>
              </w:rPr>
            </w:pPr>
            <w:r>
              <w:rPr>
                <w:rFonts w:ascii="Times New Roman" w:hint="eastAsia"/>
                <w:szCs w:val="20"/>
              </w:rPr>
              <w:t>Comment</w:t>
            </w:r>
          </w:p>
        </w:tc>
      </w:tr>
      <w:tr w:rsidR="00E63678" w14:paraId="11A84B13" w14:textId="77777777" w:rsidTr="001F44C5">
        <w:tc>
          <w:tcPr>
            <w:tcW w:w="1271" w:type="dxa"/>
          </w:tcPr>
          <w:p w14:paraId="60A98AA5" w14:textId="03E36383" w:rsidR="00E63678" w:rsidRDefault="008B5635" w:rsidP="001F44C5">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1F44C5">
        <w:tc>
          <w:tcPr>
            <w:tcW w:w="1271" w:type="dxa"/>
          </w:tcPr>
          <w:p w14:paraId="0054C2B1" w14:textId="06B0F053"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14:paraId="4EBDA8E9" w14:textId="54E993E9"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349E93AB" w14:textId="77777777" w:rsidTr="001F44C5">
        <w:tc>
          <w:tcPr>
            <w:tcW w:w="1271" w:type="dxa"/>
          </w:tcPr>
          <w:p w14:paraId="4517B35C" w14:textId="02C1B9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1F44C5">
            <w:pPr>
              <w:widowControl/>
              <w:rPr>
                <w:rFonts w:ascii="Times New Roman"/>
                <w:szCs w:val="20"/>
              </w:rPr>
            </w:pPr>
            <w:r>
              <w:rPr>
                <w:rFonts w:ascii="Times New Roman"/>
                <w:szCs w:val="20"/>
              </w:rPr>
              <w:t>Support</w:t>
            </w:r>
          </w:p>
        </w:tc>
      </w:tr>
      <w:tr w:rsidR="006C05A5" w14:paraId="654B91EA" w14:textId="77777777" w:rsidTr="001F44C5">
        <w:tc>
          <w:tcPr>
            <w:tcW w:w="1271" w:type="dxa"/>
          </w:tcPr>
          <w:p w14:paraId="4293C9BC" w14:textId="02CAE467" w:rsidR="006C05A5" w:rsidRDefault="006C05A5" w:rsidP="006C05A5">
            <w:pPr>
              <w:widowControl/>
              <w:rPr>
                <w:rFonts w:ascii="Times New Roman"/>
                <w:szCs w:val="20"/>
              </w:rPr>
            </w:pPr>
            <w:r>
              <w:rPr>
                <w:rFonts w:ascii="Times New Roman"/>
                <w:szCs w:val="20"/>
              </w:rPr>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6D226872" w14:textId="77777777" w:rsidTr="001F44C5">
        <w:tc>
          <w:tcPr>
            <w:tcW w:w="1271" w:type="dxa"/>
          </w:tcPr>
          <w:p w14:paraId="1D18DD17" w14:textId="6A0440CB" w:rsidR="00EA5E32" w:rsidRDefault="00EA5E32" w:rsidP="006C05A5">
            <w:pPr>
              <w:widowControl/>
              <w:rPr>
                <w:rFonts w:ascii="Times New Roman"/>
                <w:szCs w:val="20"/>
              </w:rPr>
            </w:pPr>
            <w:r>
              <w:rPr>
                <w:rFonts w:ascii="Times New Roman"/>
                <w:szCs w:val="20"/>
              </w:rPr>
              <w:t>CATT</w:t>
            </w:r>
          </w:p>
        </w:tc>
        <w:tc>
          <w:tcPr>
            <w:tcW w:w="8080" w:type="dxa"/>
          </w:tcPr>
          <w:p w14:paraId="5DE674F9" w14:textId="4036A894"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5E0EF95B" w14:textId="77777777" w:rsidTr="001F44C5">
        <w:tc>
          <w:tcPr>
            <w:tcW w:w="1271" w:type="dxa"/>
          </w:tcPr>
          <w:p w14:paraId="0F54390E" w14:textId="3D381A9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D1D749A" w14:textId="2C605198"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6170C2F6" w14:textId="77777777" w:rsidTr="001F44C5">
        <w:tc>
          <w:tcPr>
            <w:tcW w:w="1271" w:type="dxa"/>
          </w:tcPr>
          <w:p w14:paraId="50C21098" w14:textId="6464EA4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400380CB" w14:textId="0E7C8C26" w:rsidR="00DF5971" w:rsidRDefault="00DF5971" w:rsidP="00DF5971">
            <w:pPr>
              <w:widowControl/>
              <w:rPr>
                <w:rFonts w:ascii="Times New Roman" w:eastAsia="SimSun"/>
                <w:szCs w:val="20"/>
                <w:lang w:eastAsia="zh-CN"/>
              </w:rPr>
            </w:pPr>
            <w:r>
              <w:rPr>
                <w:rFonts w:ascii="Times New Roman"/>
                <w:szCs w:val="20"/>
              </w:rPr>
              <w:t>Support proposed changes in RP-212004</w:t>
            </w:r>
          </w:p>
        </w:tc>
      </w:tr>
      <w:tr w:rsidR="00243303" w14:paraId="78F0D7D1" w14:textId="77777777" w:rsidTr="001F44C5">
        <w:tc>
          <w:tcPr>
            <w:tcW w:w="1271" w:type="dxa"/>
          </w:tcPr>
          <w:p w14:paraId="1A510F9A" w14:textId="79F4471F" w:rsidR="00243303" w:rsidRDefault="00243303" w:rsidP="00DF5971">
            <w:pPr>
              <w:widowControl/>
              <w:rPr>
                <w:rFonts w:ascii="Times New Roman"/>
                <w:szCs w:val="20"/>
              </w:rPr>
            </w:pPr>
            <w:r>
              <w:rPr>
                <w:rFonts w:ascii="Times New Roman"/>
                <w:szCs w:val="20"/>
              </w:rPr>
              <w:t>Nokia</w:t>
            </w:r>
          </w:p>
        </w:tc>
        <w:tc>
          <w:tcPr>
            <w:tcW w:w="8080" w:type="dxa"/>
          </w:tcPr>
          <w:p w14:paraId="32D03793" w14:textId="2B59788F" w:rsidR="00243303" w:rsidRDefault="00243303" w:rsidP="00DF5971">
            <w:pPr>
              <w:widowControl/>
              <w:rPr>
                <w:rFonts w:ascii="Times New Roman"/>
                <w:szCs w:val="20"/>
              </w:rPr>
            </w:pPr>
            <w:r>
              <w:rPr>
                <w:rFonts w:ascii="Times New Roman"/>
                <w:szCs w:val="20"/>
              </w:rPr>
              <w:t>Should be driven by regulatory requirements and can be studied further in RAN4 during solutions phase.</w:t>
            </w: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lastRenderedPageBreak/>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63"/>
        <w:gridCol w:w="8499"/>
      </w:tblGrid>
      <w:tr w:rsidR="00463712" w14:paraId="13BB4301" w14:textId="77777777" w:rsidTr="00DF5971">
        <w:tc>
          <w:tcPr>
            <w:tcW w:w="1555" w:type="dxa"/>
          </w:tcPr>
          <w:p w14:paraId="66DAFBE0" w14:textId="77777777" w:rsidR="00463712" w:rsidRDefault="00463712" w:rsidP="00DF5971">
            <w:pPr>
              <w:widowControl/>
              <w:ind w:right="-806"/>
              <w:rPr>
                <w:rFonts w:ascii="Times New Roman"/>
                <w:szCs w:val="20"/>
              </w:rPr>
            </w:pPr>
            <w:r>
              <w:rPr>
                <w:rFonts w:ascii="Times New Roman" w:hint="eastAsia"/>
                <w:szCs w:val="20"/>
              </w:rPr>
              <w:t>Company</w:t>
            </w:r>
          </w:p>
        </w:tc>
        <w:tc>
          <w:tcPr>
            <w:tcW w:w="7807" w:type="dxa"/>
          </w:tcPr>
          <w:p w14:paraId="79FDABF8" w14:textId="77777777" w:rsidR="00463712" w:rsidRDefault="00463712" w:rsidP="001F44C5">
            <w:pPr>
              <w:widowControl/>
              <w:rPr>
                <w:rFonts w:ascii="Times New Roman"/>
                <w:szCs w:val="20"/>
              </w:rPr>
            </w:pPr>
            <w:r>
              <w:rPr>
                <w:rFonts w:ascii="Times New Roman" w:hint="eastAsia"/>
                <w:szCs w:val="20"/>
              </w:rPr>
              <w:t>Comment</w:t>
            </w:r>
          </w:p>
        </w:tc>
      </w:tr>
      <w:tr w:rsidR="00463712" w14:paraId="5CF922F1" w14:textId="77777777" w:rsidTr="00DF5971">
        <w:tc>
          <w:tcPr>
            <w:tcW w:w="1555" w:type="dxa"/>
          </w:tcPr>
          <w:p w14:paraId="12064539" w14:textId="6147BE57" w:rsidR="00463712" w:rsidRDefault="008B5635" w:rsidP="001F44C5">
            <w:pPr>
              <w:widowControl/>
              <w:rPr>
                <w:rFonts w:ascii="Times New Roman"/>
                <w:szCs w:val="20"/>
              </w:rPr>
            </w:pPr>
            <w:r>
              <w:rPr>
                <w:rFonts w:ascii="Times New Roman" w:hint="eastAsia"/>
                <w:szCs w:val="20"/>
              </w:rPr>
              <w:t>LGE</w:t>
            </w:r>
          </w:p>
        </w:tc>
        <w:tc>
          <w:tcPr>
            <w:tcW w:w="7807" w:type="dxa"/>
          </w:tcPr>
          <w:p w14:paraId="159A569B" w14:textId="185DF4D6" w:rsidR="00463712" w:rsidRDefault="008B5635" w:rsidP="001F44C5">
            <w:pPr>
              <w:widowControl/>
              <w:rPr>
                <w:rFonts w:ascii="Times New Roman"/>
                <w:szCs w:val="20"/>
              </w:rPr>
            </w:pPr>
            <w:r>
              <w:rPr>
                <w:rFonts w:ascii="Times New Roman" w:hint="eastAsia"/>
                <w:szCs w:val="20"/>
              </w:rPr>
              <w:t>Support.</w:t>
            </w:r>
          </w:p>
        </w:tc>
      </w:tr>
      <w:tr w:rsidR="00463712" w14:paraId="4EBE2699" w14:textId="77777777" w:rsidTr="00DF5971">
        <w:tc>
          <w:tcPr>
            <w:tcW w:w="1555" w:type="dxa"/>
          </w:tcPr>
          <w:p w14:paraId="5CBE5EF3" w14:textId="5739585B"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7807" w:type="dxa"/>
          </w:tcPr>
          <w:p w14:paraId="0E4D8398" w14:textId="5F738BD3"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3980CA6" w14:textId="77777777" w:rsidTr="00DF5971">
        <w:tc>
          <w:tcPr>
            <w:tcW w:w="1555" w:type="dxa"/>
          </w:tcPr>
          <w:p w14:paraId="6FDBA740" w14:textId="0B0EF8A4" w:rsidR="00463712" w:rsidRDefault="00322C10" w:rsidP="001F44C5">
            <w:pPr>
              <w:widowControl/>
              <w:rPr>
                <w:rFonts w:ascii="Times New Roman"/>
                <w:szCs w:val="20"/>
              </w:rPr>
            </w:pPr>
            <w:proofErr w:type="spellStart"/>
            <w:r>
              <w:rPr>
                <w:rFonts w:ascii="Times New Roman"/>
                <w:szCs w:val="20"/>
              </w:rPr>
              <w:t>Futurewei</w:t>
            </w:r>
            <w:proofErr w:type="spellEnd"/>
          </w:p>
        </w:tc>
        <w:tc>
          <w:tcPr>
            <w:tcW w:w="7807" w:type="dxa"/>
          </w:tcPr>
          <w:p w14:paraId="58AC4320" w14:textId="31EE98D6" w:rsidR="00463712" w:rsidRDefault="00322C10" w:rsidP="001F44C5">
            <w:pPr>
              <w:widowControl/>
              <w:rPr>
                <w:rFonts w:ascii="Times New Roman"/>
                <w:szCs w:val="20"/>
              </w:rPr>
            </w:pPr>
            <w:r>
              <w:rPr>
                <w:rFonts w:ascii="Times New Roman"/>
                <w:szCs w:val="20"/>
              </w:rPr>
              <w:t>Support</w:t>
            </w:r>
          </w:p>
        </w:tc>
      </w:tr>
      <w:tr w:rsidR="00D30655" w14:paraId="77DACDB8" w14:textId="77777777" w:rsidTr="00DF5971">
        <w:tc>
          <w:tcPr>
            <w:tcW w:w="1555"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7807"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51FBC7EA" w14:textId="77777777" w:rsidTr="00DF5971">
        <w:tc>
          <w:tcPr>
            <w:tcW w:w="1555" w:type="dxa"/>
          </w:tcPr>
          <w:p w14:paraId="5CB459B8" w14:textId="25F6A0F0" w:rsidR="00EA5E32" w:rsidRDefault="00EA5E32" w:rsidP="00D30655">
            <w:pPr>
              <w:widowControl/>
              <w:rPr>
                <w:rFonts w:ascii="Times New Roman"/>
                <w:szCs w:val="20"/>
              </w:rPr>
            </w:pPr>
            <w:r>
              <w:rPr>
                <w:rFonts w:ascii="Times New Roman" w:eastAsia="SimSun" w:hint="eastAsia"/>
                <w:szCs w:val="20"/>
                <w:lang w:eastAsia="zh-CN"/>
              </w:rPr>
              <w:t>CATT</w:t>
            </w:r>
          </w:p>
        </w:tc>
        <w:tc>
          <w:tcPr>
            <w:tcW w:w="7807" w:type="dxa"/>
          </w:tcPr>
          <w:p w14:paraId="0DE2D46B" w14:textId="0188D53B"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2"/>
            <w:bookmarkEnd w:id="3"/>
          </w:p>
        </w:tc>
      </w:tr>
      <w:tr w:rsidR="00FF0F9A" w14:paraId="5E0A3E7A" w14:textId="77777777" w:rsidTr="00DF5971">
        <w:tc>
          <w:tcPr>
            <w:tcW w:w="1555" w:type="dxa"/>
          </w:tcPr>
          <w:p w14:paraId="53DA7A80" w14:textId="2D75D3A4"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7807" w:type="dxa"/>
          </w:tcPr>
          <w:p w14:paraId="7F9A505F" w14:textId="1C4506EF"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45DA377D" w14:textId="77777777" w:rsidTr="00DF5971">
        <w:tc>
          <w:tcPr>
            <w:tcW w:w="1555" w:type="dxa"/>
          </w:tcPr>
          <w:p w14:paraId="512E472F" w14:textId="15E6D3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7807" w:type="dxa"/>
          </w:tcPr>
          <w:p w14:paraId="776DAEDC" w14:textId="535D5CAE"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0EF7D14" w14:textId="77777777" w:rsidTr="00DF5971">
        <w:tc>
          <w:tcPr>
            <w:tcW w:w="1555" w:type="dxa"/>
          </w:tcPr>
          <w:p w14:paraId="330FC20F" w14:textId="0E2D02D8" w:rsidR="00DF5971" w:rsidRDefault="00DF5971" w:rsidP="00DF5971">
            <w:pPr>
              <w:widowControl/>
              <w:rPr>
                <w:rFonts w:ascii="Times New Roman" w:eastAsia="SimSun"/>
                <w:szCs w:val="20"/>
                <w:lang w:eastAsia="zh-CN"/>
              </w:rPr>
            </w:pPr>
            <w:r>
              <w:rPr>
                <w:rFonts w:ascii="Times New Roman"/>
                <w:szCs w:val="20"/>
              </w:rPr>
              <w:t>Intel</w:t>
            </w:r>
          </w:p>
        </w:tc>
        <w:tc>
          <w:tcPr>
            <w:tcW w:w="7807" w:type="dxa"/>
          </w:tcPr>
          <w:p w14:paraId="7E9478E9" w14:textId="6FD2D95B"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243303" w14:paraId="5A050FEC" w14:textId="77777777" w:rsidTr="00DF5971">
        <w:tc>
          <w:tcPr>
            <w:tcW w:w="1555" w:type="dxa"/>
          </w:tcPr>
          <w:p w14:paraId="722CD404" w14:textId="3E2B7D9E" w:rsidR="00243303" w:rsidRDefault="00243303" w:rsidP="00DF5971">
            <w:pPr>
              <w:widowControl/>
              <w:rPr>
                <w:rFonts w:ascii="Times New Roman"/>
                <w:szCs w:val="20"/>
              </w:rPr>
            </w:pPr>
            <w:r>
              <w:rPr>
                <w:rFonts w:ascii="Times New Roman"/>
                <w:szCs w:val="20"/>
              </w:rPr>
              <w:t>Nokia</w:t>
            </w:r>
          </w:p>
        </w:tc>
        <w:tc>
          <w:tcPr>
            <w:tcW w:w="7807" w:type="dxa"/>
          </w:tcPr>
          <w:p w14:paraId="3CCE865A" w14:textId="257EE11B" w:rsidR="00243303" w:rsidRDefault="00243303" w:rsidP="00DF5971">
            <w:pPr>
              <w:widowControl/>
              <w:rPr>
                <w:rFonts w:ascii="Times New Roman"/>
                <w:szCs w:val="20"/>
              </w:rPr>
            </w:pPr>
            <w:r>
              <w:rPr>
                <w:rFonts w:ascii="Times New Roman"/>
                <w:szCs w:val="20"/>
              </w:rPr>
              <w:t>Should be driven by regulatory requirements and can be studied further in RAN4 during solutions phase.</w:t>
            </w: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54"/>
        <w:gridCol w:w="8308"/>
      </w:tblGrid>
      <w:tr w:rsidR="00846BFA" w14:paraId="349412FA" w14:textId="77777777" w:rsidTr="001F44C5">
        <w:tc>
          <w:tcPr>
            <w:tcW w:w="1271" w:type="dxa"/>
          </w:tcPr>
          <w:p w14:paraId="7ED8C59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1F44C5">
            <w:pPr>
              <w:widowControl/>
              <w:rPr>
                <w:rFonts w:ascii="Times New Roman"/>
                <w:szCs w:val="20"/>
              </w:rPr>
            </w:pPr>
            <w:r>
              <w:rPr>
                <w:rFonts w:ascii="Times New Roman" w:hint="eastAsia"/>
                <w:szCs w:val="20"/>
              </w:rPr>
              <w:t>Comment</w:t>
            </w:r>
          </w:p>
        </w:tc>
      </w:tr>
      <w:tr w:rsidR="00846BFA" w14:paraId="4441840D" w14:textId="77777777" w:rsidTr="001F44C5">
        <w:tc>
          <w:tcPr>
            <w:tcW w:w="1271" w:type="dxa"/>
          </w:tcPr>
          <w:p w14:paraId="2FA8DC62" w14:textId="6786786D" w:rsidR="00846BFA" w:rsidRDefault="008B5635" w:rsidP="001F44C5">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1F44C5">
        <w:tc>
          <w:tcPr>
            <w:tcW w:w="1271" w:type="dxa"/>
          </w:tcPr>
          <w:p w14:paraId="2073BD91" w14:textId="05D8DDB0"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33C2B29" w14:textId="0A0C3DED"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0BD48610" w14:textId="77777777" w:rsidTr="001F44C5">
        <w:tc>
          <w:tcPr>
            <w:tcW w:w="1271"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080"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184E9370" w14:textId="77777777" w:rsidTr="001F44C5">
        <w:tc>
          <w:tcPr>
            <w:tcW w:w="1271" w:type="dxa"/>
          </w:tcPr>
          <w:p w14:paraId="7327D021" w14:textId="3A8EC3C0" w:rsidR="00EA5E32" w:rsidRDefault="00EA5E32" w:rsidP="00D379F9">
            <w:pPr>
              <w:widowControl/>
              <w:rPr>
                <w:rFonts w:ascii="Times New Roman"/>
                <w:szCs w:val="20"/>
              </w:rPr>
            </w:pPr>
            <w:r>
              <w:rPr>
                <w:rFonts w:ascii="Times New Roman"/>
                <w:szCs w:val="20"/>
              </w:rPr>
              <w:t>CATT</w:t>
            </w:r>
          </w:p>
        </w:tc>
        <w:tc>
          <w:tcPr>
            <w:tcW w:w="8080" w:type="dxa"/>
          </w:tcPr>
          <w:p w14:paraId="59687B49" w14:textId="11F87A7D"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1DE039EF" w14:textId="77777777" w:rsidTr="001F44C5">
        <w:tc>
          <w:tcPr>
            <w:tcW w:w="1271" w:type="dxa"/>
          </w:tcPr>
          <w:p w14:paraId="4AA2CF18" w14:textId="3515061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2EFA029" w14:textId="02977A8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22BBEBFB" w14:textId="77777777" w:rsidTr="001F44C5">
        <w:tc>
          <w:tcPr>
            <w:tcW w:w="1271" w:type="dxa"/>
          </w:tcPr>
          <w:p w14:paraId="1FB8C422" w14:textId="462C283F"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0E4907C6" w14:textId="2673DE84"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243303" w14:paraId="0FDC2B8C" w14:textId="77777777" w:rsidTr="001F44C5">
        <w:tc>
          <w:tcPr>
            <w:tcW w:w="1271" w:type="dxa"/>
          </w:tcPr>
          <w:p w14:paraId="4458EF1A" w14:textId="6D426225" w:rsidR="00243303" w:rsidRDefault="00243303" w:rsidP="00DF5971">
            <w:pPr>
              <w:widowControl/>
              <w:rPr>
                <w:rFonts w:ascii="Times New Roman"/>
                <w:szCs w:val="20"/>
              </w:rPr>
            </w:pPr>
            <w:r>
              <w:rPr>
                <w:rFonts w:ascii="Times New Roman"/>
                <w:szCs w:val="20"/>
              </w:rPr>
              <w:t>Nokia</w:t>
            </w:r>
          </w:p>
        </w:tc>
        <w:tc>
          <w:tcPr>
            <w:tcW w:w="8080" w:type="dxa"/>
          </w:tcPr>
          <w:p w14:paraId="22D992A9" w14:textId="26BC1503" w:rsidR="00243303" w:rsidRDefault="00243303" w:rsidP="00DF5971">
            <w:pPr>
              <w:widowControl/>
              <w:rPr>
                <w:rFonts w:ascii="Times New Roman"/>
                <w:szCs w:val="20"/>
              </w:rPr>
            </w:pPr>
            <w:r>
              <w:rPr>
                <w:rFonts w:ascii="Times New Roman"/>
                <w:szCs w:val="20"/>
              </w:rPr>
              <w:t>Should be driven by regulatory requirements and can be studied further in RAN4 during solutions phase.</w:t>
            </w: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9507BEF" w14:textId="77777777" w:rsidTr="001F44C5">
        <w:tc>
          <w:tcPr>
            <w:tcW w:w="1271" w:type="dxa"/>
          </w:tcPr>
          <w:p w14:paraId="1CED2EC1"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F44C5">
            <w:pPr>
              <w:widowControl/>
              <w:rPr>
                <w:rFonts w:ascii="Times New Roman"/>
                <w:szCs w:val="20"/>
              </w:rPr>
            </w:pPr>
            <w:r>
              <w:rPr>
                <w:rFonts w:ascii="Times New Roman" w:hint="eastAsia"/>
                <w:szCs w:val="20"/>
              </w:rPr>
              <w:t>Comment</w:t>
            </w:r>
          </w:p>
        </w:tc>
      </w:tr>
      <w:tr w:rsidR="00D432F1" w14:paraId="7D6A40FD" w14:textId="77777777" w:rsidTr="001F44C5">
        <w:tc>
          <w:tcPr>
            <w:tcW w:w="1271" w:type="dxa"/>
          </w:tcPr>
          <w:p w14:paraId="2FAF588A" w14:textId="77777777" w:rsidR="00D432F1" w:rsidRDefault="00D432F1" w:rsidP="001F44C5">
            <w:pPr>
              <w:widowControl/>
              <w:rPr>
                <w:rFonts w:ascii="Times New Roman"/>
                <w:szCs w:val="20"/>
              </w:rPr>
            </w:pPr>
          </w:p>
        </w:tc>
        <w:tc>
          <w:tcPr>
            <w:tcW w:w="8080" w:type="dxa"/>
          </w:tcPr>
          <w:p w14:paraId="74E4825E" w14:textId="77777777" w:rsidR="00D432F1" w:rsidRDefault="00D432F1" w:rsidP="001F44C5">
            <w:pPr>
              <w:widowControl/>
              <w:rPr>
                <w:rFonts w:ascii="Times New Roman"/>
                <w:szCs w:val="20"/>
              </w:rPr>
            </w:pPr>
          </w:p>
        </w:tc>
      </w:tr>
      <w:tr w:rsidR="00D432F1" w14:paraId="02A89786" w14:textId="77777777" w:rsidTr="001F44C5">
        <w:tc>
          <w:tcPr>
            <w:tcW w:w="1271" w:type="dxa"/>
          </w:tcPr>
          <w:p w14:paraId="704C1907" w14:textId="77777777" w:rsidR="00D432F1" w:rsidRDefault="00D432F1" w:rsidP="001F44C5">
            <w:pPr>
              <w:widowControl/>
              <w:rPr>
                <w:rFonts w:ascii="Times New Roman"/>
                <w:szCs w:val="20"/>
              </w:rPr>
            </w:pPr>
          </w:p>
        </w:tc>
        <w:tc>
          <w:tcPr>
            <w:tcW w:w="8080" w:type="dxa"/>
          </w:tcPr>
          <w:p w14:paraId="326909C5" w14:textId="77777777" w:rsidR="00D432F1" w:rsidRDefault="00D432F1" w:rsidP="001F44C5">
            <w:pPr>
              <w:widowControl/>
              <w:rPr>
                <w:rFonts w:ascii="Times New Roman"/>
                <w:szCs w:val="20"/>
              </w:rPr>
            </w:pPr>
          </w:p>
        </w:tc>
      </w:tr>
      <w:tr w:rsidR="00D432F1" w14:paraId="4E5BE5C2" w14:textId="77777777" w:rsidTr="001F44C5">
        <w:tc>
          <w:tcPr>
            <w:tcW w:w="1271" w:type="dxa"/>
          </w:tcPr>
          <w:p w14:paraId="18C991B3" w14:textId="77777777" w:rsidR="00D432F1" w:rsidRDefault="00D432F1" w:rsidP="001F44C5">
            <w:pPr>
              <w:widowControl/>
              <w:rPr>
                <w:rFonts w:ascii="Times New Roman"/>
                <w:szCs w:val="20"/>
              </w:rPr>
            </w:pPr>
          </w:p>
        </w:tc>
        <w:tc>
          <w:tcPr>
            <w:tcW w:w="8080" w:type="dxa"/>
          </w:tcPr>
          <w:p w14:paraId="07E74558" w14:textId="77777777" w:rsidR="00D432F1" w:rsidRDefault="00D432F1" w:rsidP="001F44C5">
            <w:pPr>
              <w:widowControl/>
              <w:rPr>
                <w:rFonts w:ascii="Times New Roman"/>
                <w:szCs w:val="20"/>
              </w:rPr>
            </w:pPr>
          </w:p>
        </w:tc>
      </w:tr>
      <w:tr w:rsidR="00D432F1" w14:paraId="007AAA17" w14:textId="77777777" w:rsidTr="001F44C5">
        <w:tc>
          <w:tcPr>
            <w:tcW w:w="1271" w:type="dxa"/>
          </w:tcPr>
          <w:p w14:paraId="368A246F" w14:textId="77777777" w:rsidR="00D432F1" w:rsidRDefault="00D432F1" w:rsidP="001F44C5">
            <w:pPr>
              <w:widowControl/>
              <w:rPr>
                <w:rFonts w:ascii="Times New Roman"/>
                <w:szCs w:val="20"/>
              </w:rPr>
            </w:pPr>
          </w:p>
        </w:tc>
        <w:tc>
          <w:tcPr>
            <w:tcW w:w="8080" w:type="dxa"/>
          </w:tcPr>
          <w:p w14:paraId="6CA491CF" w14:textId="77777777" w:rsidR="00D432F1" w:rsidRDefault="00D432F1" w:rsidP="001F44C5">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5BF1A0FA" w14:textId="77777777" w:rsidTr="001F44C5">
        <w:tc>
          <w:tcPr>
            <w:tcW w:w="1271" w:type="dxa"/>
          </w:tcPr>
          <w:p w14:paraId="07E9744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1F44C5">
            <w:pPr>
              <w:widowControl/>
              <w:rPr>
                <w:rFonts w:ascii="Times New Roman"/>
                <w:szCs w:val="20"/>
              </w:rPr>
            </w:pPr>
            <w:r>
              <w:rPr>
                <w:rFonts w:ascii="Times New Roman" w:hint="eastAsia"/>
                <w:szCs w:val="20"/>
              </w:rPr>
              <w:t>Comment</w:t>
            </w:r>
          </w:p>
        </w:tc>
      </w:tr>
      <w:tr w:rsidR="00E63678" w14:paraId="4F21201E" w14:textId="77777777" w:rsidTr="001F44C5">
        <w:tc>
          <w:tcPr>
            <w:tcW w:w="1271" w:type="dxa"/>
          </w:tcPr>
          <w:p w14:paraId="5FB97EAB" w14:textId="5C7298A5" w:rsidR="00E63678" w:rsidRDefault="008B5635" w:rsidP="001F44C5">
            <w:pPr>
              <w:widowControl/>
              <w:rPr>
                <w:rFonts w:ascii="Times New Roman"/>
                <w:szCs w:val="20"/>
              </w:rPr>
            </w:pPr>
            <w:r>
              <w:rPr>
                <w:rFonts w:ascii="Times New Roman" w:hint="eastAsia"/>
                <w:szCs w:val="20"/>
              </w:rPr>
              <w:lastRenderedPageBreak/>
              <w:t>LGE</w:t>
            </w:r>
          </w:p>
        </w:tc>
        <w:tc>
          <w:tcPr>
            <w:tcW w:w="8080" w:type="dxa"/>
          </w:tcPr>
          <w:p w14:paraId="6A3D5CE1" w14:textId="2A1279A4"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1F44C5">
        <w:tc>
          <w:tcPr>
            <w:tcW w:w="1271" w:type="dxa"/>
          </w:tcPr>
          <w:p w14:paraId="44DA0CD1" w14:textId="721196D9"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C2A99AB" w14:textId="37588787"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749C7CCB" w14:textId="77777777" w:rsidTr="001F44C5">
        <w:tc>
          <w:tcPr>
            <w:tcW w:w="1271" w:type="dxa"/>
          </w:tcPr>
          <w:p w14:paraId="4C6DB5B5" w14:textId="52C8EBF1"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1F44C5">
            <w:pPr>
              <w:widowControl/>
              <w:rPr>
                <w:rFonts w:ascii="Times New Roman"/>
                <w:szCs w:val="20"/>
              </w:rPr>
            </w:pPr>
            <w:r>
              <w:rPr>
                <w:rFonts w:ascii="Times New Roman"/>
                <w:szCs w:val="20"/>
              </w:rPr>
              <w:t>Agree with LGE suggestion</w:t>
            </w:r>
          </w:p>
        </w:tc>
      </w:tr>
      <w:tr w:rsidR="00D7544F" w14:paraId="4B613FC1" w14:textId="77777777" w:rsidTr="001F44C5">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3BD94DF" w14:textId="77777777" w:rsidTr="001F44C5">
        <w:tc>
          <w:tcPr>
            <w:tcW w:w="1271" w:type="dxa"/>
          </w:tcPr>
          <w:p w14:paraId="5F13CB25" w14:textId="6DD8373F"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14:paraId="1565215C" w14:textId="1ACC668C"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33B06A97" w14:textId="77777777" w:rsidTr="001F44C5">
        <w:tc>
          <w:tcPr>
            <w:tcW w:w="1271" w:type="dxa"/>
          </w:tcPr>
          <w:p w14:paraId="35C98AF0" w14:textId="709AAC2D"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FE3DD60" w14:textId="78CC3A66"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1FE17854" w14:textId="77777777" w:rsidTr="001F44C5">
        <w:tc>
          <w:tcPr>
            <w:tcW w:w="1271" w:type="dxa"/>
          </w:tcPr>
          <w:p w14:paraId="10F25534" w14:textId="5DC8C429"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BBB6A15" w14:textId="7A1A3281"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243303" w14:paraId="64EF427F" w14:textId="77777777" w:rsidTr="001F44C5">
        <w:tc>
          <w:tcPr>
            <w:tcW w:w="1271" w:type="dxa"/>
          </w:tcPr>
          <w:p w14:paraId="39F9FA2B" w14:textId="5555EAF5" w:rsidR="00243303" w:rsidRDefault="00243303" w:rsidP="00DF5971">
            <w:pPr>
              <w:widowControl/>
              <w:rPr>
                <w:rFonts w:ascii="Times New Roman"/>
                <w:szCs w:val="20"/>
              </w:rPr>
            </w:pPr>
            <w:r>
              <w:rPr>
                <w:rFonts w:ascii="Times New Roman"/>
                <w:szCs w:val="20"/>
              </w:rPr>
              <w:t>Nokia</w:t>
            </w:r>
          </w:p>
        </w:tc>
        <w:tc>
          <w:tcPr>
            <w:tcW w:w="8080" w:type="dxa"/>
          </w:tcPr>
          <w:p w14:paraId="45FF0F00" w14:textId="5C23A3ED" w:rsidR="00243303" w:rsidRDefault="00243303" w:rsidP="00DF5971">
            <w:pPr>
              <w:widowControl/>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36"/>
        <w:gridCol w:w="8626"/>
      </w:tblGrid>
      <w:tr w:rsidR="00463712" w14:paraId="7BA0F2AB" w14:textId="77777777" w:rsidTr="001F44C5">
        <w:tc>
          <w:tcPr>
            <w:tcW w:w="1271" w:type="dxa"/>
          </w:tcPr>
          <w:p w14:paraId="6BC74CB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1F44C5">
            <w:pPr>
              <w:widowControl/>
              <w:rPr>
                <w:rFonts w:ascii="Times New Roman"/>
                <w:szCs w:val="20"/>
              </w:rPr>
            </w:pPr>
            <w:r>
              <w:rPr>
                <w:rFonts w:ascii="Times New Roman" w:hint="eastAsia"/>
                <w:szCs w:val="20"/>
              </w:rPr>
              <w:t>Comment</w:t>
            </w:r>
          </w:p>
        </w:tc>
      </w:tr>
      <w:tr w:rsidR="00463712" w14:paraId="410551FD" w14:textId="77777777" w:rsidTr="001F44C5">
        <w:tc>
          <w:tcPr>
            <w:tcW w:w="1271" w:type="dxa"/>
          </w:tcPr>
          <w:p w14:paraId="688A7EB5" w14:textId="21D15156" w:rsidR="00463712" w:rsidRDefault="008B5635" w:rsidP="001F44C5">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1F44C5">
            <w:pPr>
              <w:widowControl/>
              <w:rPr>
                <w:rFonts w:ascii="Times New Roman"/>
                <w:szCs w:val="20"/>
              </w:rPr>
            </w:pPr>
            <w:r>
              <w:rPr>
                <w:rFonts w:ascii="Times New Roman" w:hint="eastAsia"/>
                <w:szCs w:val="20"/>
              </w:rPr>
              <w:t>Support.</w:t>
            </w:r>
          </w:p>
        </w:tc>
      </w:tr>
      <w:tr w:rsidR="00463712" w14:paraId="24B27559" w14:textId="77777777" w:rsidTr="001F44C5">
        <w:tc>
          <w:tcPr>
            <w:tcW w:w="1271" w:type="dxa"/>
          </w:tcPr>
          <w:p w14:paraId="042737CC" w14:textId="7E44D42A"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943B43" w14:textId="6D10C7C9"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3C41200" w14:textId="77777777" w:rsidTr="001F44C5">
        <w:tc>
          <w:tcPr>
            <w:tcW w:w="1271" w:type="dxa"/>
          </w:tcPr>
          <w:p w14:paraId="6D4CA27C" w14:textId="25676830"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30025001" w14:textId="6EBE6C27"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0FADB18F" w14:textId="77777777" w:rsidTr="001F44C5">
        <w:tc>
          <w:tcPr>
            <w:tcW w:w="1271" w:type="dxa"/>
          </w:tcPr>
          <w:p w14:paraId="73F36975" w14:textId="5B1E9D4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C219714" w14:textId="408525EE"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6C0848A" w14:textId="77777777" w:rsidTr="001F44C5">
        <w:tc>
          <w:tcPr>
            <w:tcW w:w="1271" w:type="dxa"/>
          </w:tcPr>
          <w:p w14:paraId="47650889" w14:textId="75ED68B9"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0A0541F8" w14:textId="77B2204D"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r w:rsidR="00243303" w14:paraId="31FDCE6E" w14:textId="77777777" w:rsidTr="001F44C5">
        <w:tc>
          <w:tcPr>
            <w:tcW w:w="1271" w:type="dxa"/>
          </w:tcPr>
          <w:p w14:paraId="4121E3AB" w14:textId="7EF087C7" w:rsidR="00243303" w:rsidRDefault="00243303" w:rsidP="0016129E">
            <w:pPr>
              <w:widowControl/>
              <w:rPr>
                <w:rFonts w:ascii="Times New Roman" w:eastAsia="SimSun"/>
                <w:szCs w:val="20"/>
                <w:lang w:eastAsia="zh-CN"/>
              </w:rPr>
            </w:pPr>
            <w:r>
              <w:rPr>
                <w:rFonts w:ascii="Times New Roman" w:eastAsia="SimSun"/>
                <w:szCs w:val="20"/>
                <w:lang w:eastAsia="zh-CN"/>
              </w:rPr>
              <w:t>Nokia</w:t>
            </w:r>
          </w:p>
        </w:tc>
        <w:tc>
          <w:tcPr>
            <w:tcW w:w="8080" w:type="dxa"/>
          </w:tcPr>
          <w:p w14:paraId="4C27E80B" w14:textId="6C95C9F0" w:rsidR="00243303" w:rsidRDefault="00243303" w:rsidP="0016129E">
            <w:pPr>
              <w:widowControl/>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6E105958" w14:textId="77777777" w:rsidTr="001F44C5">
        <w:tc>
          <w:tcPr>
            <w:tcW w:w="1271" w:type="dxa"/>
          </w:tcPr>
          <w:p w14:paraId="5B70E7B6"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F44C5">
            <w:pPr>
              <w:widowControl/>
              <w:rPr>
                <w:rFonts w:ascii="Times New Roman"/>
                <w:szCs w:val="20"/>
              </w:rPr>
            </w:pPr>
            <w:r>
              <w:rPr>
                <w:rFonts w:ascii="Times New Roman" w:hint="eastAsia"/>
                <w:szCs w:val="20"/>
              </w:rPr>
              <w:t>Comment</w:t>
            </w:r>
          </w:p>
        </w:tc>
      </w:tr>
      <w:tr w:rsidR="00D432F1" w14:paraId="6D6F6F08" w14:textId="77777777" w:rsidTr="001F44C5">
        <w:tc>
          <w:tcPr>
            <w:tcW w:w="1271" w:type="dxa"/>
          </w:tcPr>
          <w:p w14:paraId="04407597" w14:textId="77777777" w:rsidR="00D432F1" w:rsidRDefault="00D432F1" w:rsidP="001F44C5">
            <w:pPr>
              <w:widowControl/>
              <w:rPr>
                <w:rFonts w:ascii="Times New Roman"/>
                <w:szCs w:val="20"/>
              </w:rPr>
            </w:pPr>
          </w:p>
        </w:tc>
        <w:tc>
          <w:tcPr>
            <w:tcW w:w="8080" w:type="dxa"/>
          </w:tcPr>
          <w:p w14:paraId="37EBD5A2" w14:textId="77777777" w:rsidR="00D432F1" w:rsidRDefault="00D432F1" w:rsidP="001F44C5">
            <w:pPr>
              <w:widowControl/>
              <w:rPr>
                <w:rFonts w:ascii="Times New Roman"/>
                <w:szCs w:val="20"/>
              </w:rPr>
            </w:pPr>
          </w:p>
        </w:tc>
      </w:tr>
      <w:tr w:rsidR="00D432F1" w14:paraId="1258E971" w14:textId="77777777" w:rsidTr="001F44C5">
        <w:tc>
          <w:tcPr>
            <w:tcW w:w="1271" w:type="dxa"/>
          </w:tcPr>
          <w:p w14:paraId="6703752C" w14:textId="77777777" w:rsidR="00D432F1" w:rsidRDefault="00D432F1" w:rsidP="001F44C5">
            <w:pPr>
              <w:widowControl/>
              <w:rPr>
                <w:rFonts w:ascii="Times New Roman"/>
                <w:szCs w:val="20"/>
              </w:rPr>
            </w:pPr>
          </w:p>
        </w:tc>
        <w:tc>
          <w:tcPr>
            <w:tcW w:w="8080" w:type="dxa"/>
          </w:tcPr>
          <w:p w14:paraId="0AB30F26" w14:textId="77777777" w:rsidR="00D432F1" w:rsidRDefault="00D432F1" w:rsidP="001F44C5">
            <w:pPr>
              <w:widowControl/>
              <w:rPr>
                <w:rFonts w:ascii="Times New Roman"/>
                <w:szCs w:val="20"/>
              </w:rPr>
            </w:pPr>
          </w:p>
        </w:tc>
      </w:tr>
      <w:tr w:rsidR="00D432F1" w14:paraId="317D7397" w14:textId="77777777" w:rsidTr="001F44C5">
        <w:tc>
          <w:tcPr>
            <w:tcW w:w="1271" w:type="dxa"/>
          </w:tcPr>
          <w:p w14:paraId="78005636" w14:textId="77777777" w:rsidR="00D432F1" w:rsidRDefault="00D432F1" w:rsidP="001F44C5">
            <w:pPr>
              <w:widowControl/>
              <w:rPr>
                <w:rFonts w:ascii="Times New Roman"/>
                <w:szCs w:val="20"/>
              </w:rPr>
            </w:pPr>
          </w:p>
        </w:tc>
        <w:tc>
          <w:tcPr>
            <w:tcW w:w="8080" w:type="dxa"/>
          </w:tcPr>
          <w:p w14:paraId="3FF83E5E" w14:textId="77777777" w:rsidR="00D432F1" w:rsidRDefault="00D432F1" w:rsidP="001F44C5">
            <w:pPr>
              <w:widowControl/>
              <w:rPr>
                <w:rFonts w:ascii="Times New Roman"/>
                <w:szCs w:val="20"/>
              </w:rPr>
            </w:pPr>
          </w:p>
        </w:tc>
      </w:tr>
      <w:tr w:rsidR="00D432F1" w14:paraId="03CB2B0F" w14:textId="77777777" w:rsidTr="001F44C5">
        <w:tc>
          <w:tcPr>
            <w:tcW w:w="1271" w:type="dxa"/>
          </w:tcPr>
          <w:p w14:paraId="34C840B9" w14:textId="77777777" w:rsidR="00D432F1" w:rsidRDefault="00D432F1" w:rsidP="001F44C5">
            <w:pPr>
              <w:widowControl/>
              <w:rPr>
                <w:rFonts w:ascii="Times New Roman"/>
                <w:szCs w:val="20"/>
              </w:rPr>
            </w:pPr>
          </w:p>
        </w:tc>
        <w:tc>
          <w:tcPr>
            <w:tcW w:w="8080" w:type="dxa"/>
          </w:tcPr>
          <w:p w14:paraId="0167BD05" w14:textId="77777777" w:rsidR="00D432F1" w:rsidRDefault="00D432F1" w:rsidP="001F44C5">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0EA3" w14:textId="77777777" w:rsidR="00F91506" w:rsidRDefault="00F91506">
      <w:r>
        <w:separator/>
      </w:r>
    </w:p>
  </w:endnote>
  <w:endnote w:type="continuationSeparator" w:id="0">
    <w:p w14:paraId="7978F921" w14:textId="77777777" w:rsidR="00F91506" w:rsidRDefault="00F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3A2"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1F44C5" w:rsidRDefault="001F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C33E"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4BEDBA" w14:textId="77777777" w:rsidR="001F44C5" w:rsidRDefault="001F4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0D26" w14:textId="77777777" w:rsidR="00DF5971" w:rsidRDefault="00DF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0072" w14:textId="77777777" w:rsidR="00F91506" w:rsidRDefault="00F91506">
      <w:r>
        <w:separator/>
      </w:r>
    </w:p>
  </w:footnote>
  <w:footnote w:type="continuationSeparator" w:id="0">
    <w:p w14:paraId="35A50D47" w14:textId="77777777" w:rsidR="00F91506" w:rsidRDefault="00F9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ED1F" w14:textId="77777777" w:rsidR="00DF5971" w:rsidRDefault="00DF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4251" w14:textId="77777777" w:rsidR="00DF5971" w:rsidRDefault="00DF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C089" w14:textId="77777777" w:rsidR="00DF5971" w:rsidRDefault="00DF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0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D3916"/>
  <w15:docId w15:val="{5AD95AD8-2BF7-4F60-9A56-F0CC16D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756E-F40D-4918-A018-234ED41C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3916</Words>
  <Characters>23888</Characters>
  <Application>Microsoft Office Word</Application>
  <DocSecurity>0</DocSecurity>
  <Lines>199</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Vejlgaard, Benny (Nokia - DK/Aalborg)</cp:lastModifiedBy>
  <cp:revision>4</cp:revision>
  <cp:lastPrinted>2014-01-26T05:26:00Z</cp:lastPrinted>
  <dcterms:created xsi:type="dcterms:W3CDTF">2021-09-14T06:27:00Z</dcterms:created>
  <dcterms:modified xsi:type="dcterms:W3CDTF">2021-09-14T06:56:00Z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